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xlsx" ContentType="application/vnd.openxmlformats-officedocument.spreadsheetml.sheet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charts/chart1.xml" ContentType="application/vnd.openxmlformats-officedocument.drawingml.chart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E2BF1" w:rsidRDefault="008E2BF1" w:rsidP="008E2BF1">
      <w:pPr>
        <w:spacing w:line="360" w:lineRule="auto"/>
        <w:jc w:val="both"/>
        <w:rPr>
          <w:lang w:val="en-US"/>
        </w:rPr>
      </w:pPr>
      <w:r>
        <w:rPr>
          <w:lang w:val="en-US"/>
        </w:rPr>
        <w:t xml:space="preserve">Graph1: </w:t>
      </w:r>
      <w:r w:rsidRPr="004C3580">
        <w:rPr>
          <w:lang w:val="en-US"/>
        </w:rPr>
        <w:t xml:space="preserve">Clinical course of patients with normal sodium, </w:t>
      </w:r>
      <w:proofErr w:type="spellStart"/>
      <w:r w:rsidRPr="004C3580">
        <w:rPr>
          <w:lang w:val="en-US"/>
        </w:rPr>
        <w:t>hyponatremia</w:t>
      </w:r>
      <w:proofErr w:type="spellEnd"/>
      <w:r w:rsidRPr="004C3580">
        <w:rPr>
          <w:lang w:val="en-US"/>
        </w:rPr>
        <w:t xml:space="preserve"> and hypernatremia on admission</w:t>
      </w:r>
    </w:p>
    <w:p w:rsidR="008E2BF1" w:rsidRDefault="008E2BF1" w:rsidP="008E2BF1">
      <w:pPr>
        <w:spacing w:line="360" w:lineRule="auto"/>
        <w:jc w:val="both"/>
        <w:rPr>
          <w:lang w:val="en-US"/>
        </w:rPr>
      </w:pPr>
      <w:r>
        <w:rPr>
          <w:noProof/>
          <w:lang w:eastAsia="tr-TR"/>
        </w:rPr>
        <w:drawing>
          <wp:inline distT="0" distB="0" distL="0" distR="0" wp14:anchorId="2121E8B0" wp14:editId="2CE86FCC">
            <wp:extent cx="5486400" cy="3200400"/>
            <wp:effectExtent l="0" t="0" r="19050" b="19050"/>
            <wp:docPr id="2" name="Grafik 2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5"/>
              </a:graphicData>
            </a:graphic>
          </wp:inline>
        </w:drawing>
      </w:r>
    </w:p>
    <w:p w:rsidR="00A34961" w:rsidRDefault="008E2BF1" w:rsidP="008E2BF1">
      <w:r w:rsidRPr="001B723F">
        <w:rPr>
          <w:lang w:val="en-US"/>
        </w:rPr>
        <w:t>PICU: pediatric intensive care unit</w:t>
      </w:r>
      <w:bookmarkStart w:id="0" w:name="_GoBack"/>
      <w:bookmarkEnd w:id="0"/>
    </w:p>
    <w:sectPr w:rsidR="00A34961" w:rsidSect="00275F31">
      <w:pgSz w:w="11906" w:h="16838"/>
      <w:pgMar w:top="1134" w:right="1134" w:bottom="1134" w:left="1417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A2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Times New Roman (CS Gövde)">
    <w:altName w:val="Times New Roman"/>
    <w:charset w:val="00"/>
    <w:family w:val="roman"/>
    <w:pitch w:val="default"/>
  </w:font>
  <w:font w:name="Tahoma">
    <w:panose1 w:val="020B0604030504040204"/>
    <w:charset w:val="A2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A2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drawingGridHorizontalSpacing w:val="110"/>
  <w:displayHorizontalDrawingGridEvery w:val="2"/>
  <w:displayVerticalDrawingGridEvery w:val="2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17854"/>
    <w:rsid w:val="00275F31"/>
    <w:rsid w:val="00317854"/>
    <w:rsid w:val="008E2BF1"/>
    <w:rsid w:val="00A3496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E2BF1"/>
    <w:pPr>
      <w:spacing w:after="0" w:line="240" w:lineRule="auto"/>
    </w:pPr>
    <w:rPr>
      <w:rFonts w:ascii="Times New Roman" w:hAnsi="Times New Roman" w:cs="Times New Roman (CS Gövde)"/>
      <w:kern w:val="2"/>
      <w:sz w:val="24"/>
      <w:szCs w:val="24"/>
      <w14:ligatures w14:val="standardContextual"/>
    </w:rPr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styleId="BalonMetni">
    <w:name w:val="Balloon Text"/>
    <w:basedOn w:val="Normal"/>
    <w:link w:val="BalonMetniChar"/>
    <w:uiPriority w:val="99"/>
    <w:semiHidden/>
    <w:unhideWhenUsed/>
    <w:rsid w:val="008E2BF1"/>
    <w:rPr>
      <w:rFonts w:ascii="Tahoma" w:hAnsi="Tahoma" w:cs="Tahoma"/>
      <w:sz w:val="16"/>
      <w:szCs w:val="16"/>
    </w:rPr>
  </w:style>
  <w:style w:type="character" w:customStyle="1" w:styleId="BalonMetniChar">
    <w:name w:val="Balon Metni Char"/>
    <w:basedOn w:val="VarsaylanParagrafYazTipi"/>
    <w:link w:val="BalonMetni"/>
    <w:uiPriority w:val="99"/>
    <w:semiHidden/>
    <w:rsid w:val="008E2BF1"/>
    <w:rPr>
      <w:rFonts w:ascii="Tahoma" w:hAnsi="Tahoma" w:cs="Tahoma"/>
      <w:kern w:val="2"/>
      <w:sz w:val="16"/>
      <w:szCs w:val="16"/>
      <w14:ligatures w14:val="standardContextual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E2BF1"/>
    <w:pPr>
      <w:spacing w:after="0" w:line="240" w:lineRule="auto"/>
    </w:pPr>
    <w:rPr>
      <w:rFonts w:ascii="Times New Roman" w:hAnsi="Times New Roman" w:cs="Times New Roman (CS Gövde)"/>
      <w:kern w:val="2"/>
      <w:sz w:val="24"/>
      <w:szCs w:val="24"/>
      <w14:ligatures w14:val="standardContextual"/>
    </w:rPr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styleId="BalonMetni">
    <w:name w:val="Balloon Text"/>
    <w:basedOn w:val="Normal"/>
    <w:link w:val="BalonMetniChar"/>
    <w:uiPriority w:val="99"/>
    <w:semiHidden/>
    <w:unhideWhenUsed/>
    <w:rsid w:val="008E2BF1"/>
    <w:rPr>
      <w:rFonts w:ascii="Tahoma" w:hAnsi="Tahoma" w:cs="Tahoma"/>
      <w:sz w:val="16"/>
      <w:szCs w:val="16"/>
    </w:rPr>
  </w:style>
  <w:style w:type="character" w:customStyle="1" w:styleId="BalonMetniChar">
    <w:name w:val="Balon Metni Char"/>
    <w:basedOn w:val="VarsaylanParagrafYazTipi"/>
    <w:link w:val="BalonMetni"/>
    <w:uiPriority w:val="99"/>
    <w:semiHidden/>
    <w:rsid w:val="008E2BF1"/>
    <w:rPr>
      <w:rFonts w:ascii="Tahoma" w:hAnsi="Tahoma" w:cs="Tahoma"/>
      <w:kern w:val="2"/>
      <w:sz w:val="16"/>
      <w:szCs w:val="16"/>
      <w14:ligatures w14:val="standardContextua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chart" Target="charts/chart1.xml"/><Relationship Id="rId4" Type="http://schemas.openxmlformats.org/officeDocument/2006/relationships/webSettings" Target="webSettings.xml"/></Relationships>
</file>

<file path=word/charts/_rels/chart1.xml.rels><?xml version="1.0" encoding="UTF-8" standalone="yes"?>
<Relationships xmlns="http://schemas.openxmlformats.org/package/2006/relationships"><Relationship Id="rId1" Type="http://schemas.openxmlformats.org/officeDocument/2006/relationships/package" Target="../embeddings/Microsoft_Excel_Worksheet1.xlsx"/></Relationships>
</file>

<file path=word/charts/chart1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0"/>
  <c:lang val="tr-TR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autoTitleDeleted val="0"/>
    <c:plotArea>
      <c:layout/>
      <c:barChart>
        <c:barDir val="col"/>
        <c:grouping val="clustered"/>
        <c:varyColors val="0"/>
        <c:ser>
          <c:idx val="0"/>
          <c:order val="0"/>
          <c:tx>
            <c:strRef>
              <c:f>Sayfa1!$B$1</c:f>
              <c:strCache>
                <c:ptCount val="1"/>
                <c:pt idx="0">
                  <c:v>NORMONATREMİA</c:v>
                </c:pt>
              </c:strCache>
            </c:strRef>
          </c:tx>
          <c:invertIfNegative val="0"/>
          <c:cat>
            <c:strRef>
              <c:f>Sayfa1!$A$2:$A$9</c:f>
              <c:strCache>
                <c:ptCount val="8"/>
                <c:pt idx="0">
                  <c:v>FASCIOTOMY</c:v>
                </c:pt>
                <c:pt idx="1">
                  <c:v>AMPUTATION</c:v>
                </c:pt>
                <c:pt idx="2">
                  <c:v>MULTI ORGAN DYSFUNCTION</c:v>
                </c:pt>
                <c:pt idx="3">
                  <c:v>PICU </c:v>
                </c:pt>
                <c:pt idx="4">
                  <c:v>ACUTE KIDNEY INJURY</c:v>
                </c:pt>
                <c:pt idx="5">
                  <c:v>CRUSH SYNDROME</c:v>
                </c:pt>
                <c:pt idx="6">
                  <c:v>RENAL REPLACEMENT THERAPY</c:v>
                </c:pt>
                <c:pt idx="7">
                  <c:v>MORTALITY</c:v>
                </c:pt>
              </c:strCache>
            </c:strRef>
          </c:cat>
          <c:val>
            <c:numRef>
              <c:f>Sayfa1!$B$2:$B$9</c:f>
              <c:numCache>
                <c:formatCode>0.00%</c:formatCode>
                <c:ptCount val="8"/>
                <c:pt idx="0">
                  <c:v>0.28299999999999997</c:v>
                </c:pt>
                <c:pt idx="1">
                  <c:v>0.10299999999999999</c:v>
                </c:pt>
                <c:pt idx="2">
                  <c:v>0.10299999999999999</c:v>
                </c:pt>
                <c:pt idx="3">
                  <c:v>0.26900000000000002</c:v>
                </c:pt>
                <c:pt idx="4">
                  <c:v>0.32400000000000001</c:v>
                </c:pt>
                <c:pt idx="5">
                  <c:v>0.28299999999999997</c:v>
                </c:pt>
                <c:pt idx="6">
                  <c:v>6.2E-2</c:v>
                </c:pt>
                <c:pt idx="7">
                  <c:v>4.8000000000000001E-2</c:v>
                </c:pt>
              </c:numCache>
            </c:numRef>
          </c:val>
        </c:ser>
        <c:ser>
          <c:idx val="1"/>
          <c:order val="1"/>
          <c:tx>
            <c:strRef>
              <c:f>Sayfa1!$C$1</c:f>
              <c:strCache>
                <c:ptCount val="1"/>
                <c:pt idx="0">
                  <c:v>HYPERNATREMİA</c:v>
                </c:pt>
              </c:strCache>
            </c:strRef>
          </c:tx>
          <c:invertIfNegative val="0"/>
          <c:cat>
            <c:strRef>
              <c:f>Sayfa1!$A$2:$A$9</c:f>
              <c:strCache>
                <c:ptCount val="8"/>
                <c:pt idx="0">
                  <c:v>FASCIOTOMY</c:v>
                </c:pt>
                <c:pt idx="1">
                  <c:v>AMPUTATION</c:v>
                </c:pt>
                <c:pt idx="2">
                  <c:v>MULTI ORGAN DYSFUNCTION</c:v>
                </c:pt>
                <c:pt idx="3">
                  <c:v>PICU </c:v>
                </c:pt>
                <c:pt idx="4">
                  <c:v>ACUTE KIDNEY INJURY</c:v>
                </c:pt>
                <c:pt idx="5">
                  <c:v>CRUSH SYNDROME</c:v>
                </c:pt>
                <c:pt idx="6">
                  <c:v>RENAL REPLACEMENT THERAPY</c:v>
                </c:pt>
                <c:pt idx="7">
                  <c:v>MORTALITY</c:v>
                </c:pt>
              </c:strCache>
            </c:strRef>
          </c:cat>
          <c:val>
            <c:numRef>
              <c:f>Sayfa1!$C$2:$C$9</c:f>
              <c:numCache>
                <c:formatCode>0.00%</c:formatCode>
                <c:ptCount val="8"/>
                <c:pt idx="0">
                  <c:v>0.29599999999999999</c:v>
                </c:pt>
                <c:pt idx="1">
                  <c:v>0.29599999999999999</c:v>
                </c:pt>
                <c:pt idx="2">
                  <c:v>0.315</c:v>
                </c:pt>
                <c:pt idx="3">
                  <c:v>0.51900000000000002</c:v>
                </c:pt>
                <c:pt idx="4">
                  <c:v>0.85199999999999998</c:v>
                </c:pt>
                <c:pt idx="5">
                  <c:v>0.55600000000000005</c:v>
                </c:pt>
                <c:pt idx="6">
                  <c:v>7.3999999999999996E-2</c:v>
                </c:pt>
                <c:pt idx="7">
                  <c:v>0.111</c:v>
                </c:pt>
              </c:numCache>
            </c:numRef>
          </c:val>
        </c:ser>
        <c:ser>
          <c:idx val="2"/>
          <c:order val="2"/>
          <c:tx>
            <c:strRef>
              <c:f>Sayfa1!$D$1</c:f>
              <c:strCache>
                <c:ptCount val="1"/>
                <c:pt idx="0">
                  <c:v>HYPONATREMİA</c:v>
                </c:pt>
              </c:strCache>
            </c:strRef>
          </c:tx>
          <c:invertIfNegative val="0"/>
          <c:cat>
            <c:strRef>
              <c:f>Sayfa1!$A$2:$A$9</c:f>
              <c:strCache>
                <c:ptCount val="8"/>
                <c:pt idx="0">
                  <c:v>FASCIOTOMY</c:v>
                </c:pt>
                <c:pt idx="1">
                  <c:v>AMPUTATION</c:v>
                </c:pt>
                <c:pt idx="2">
                  <c:v>MULTI ORGAN DYSFUNCTION</c:v>
                </c:pt>
                <c:pt idx="3">
                  <c:v>PICU </c:v>
                </c:pt>
                <c:pt idx="4">
                  <c:v>ACUTE KIDNEY INJURY</c:v>
                </c:pt>
                <c:pt idx="5">
                  <c:v>CRUSH SYNDROME</c:v>
                </c:pt>
                <c:pt idx="6">
                  <c:v>RENAL REPLACEMENT THERAPY</c:v>
                </c:pt>
                <c:pt idx="7">
                  <c:v>MORTALITY</c:v>
                </c:pt>
              </c:strCache>
            </c:strRef>
          </c:cat>
          <c:val>
            <c:numRef>
              <c:f>Sayfa1!$D$2:$D$9</c:f>
              <c:numCache>
                <c:formatCode>0.00%</c:formatCode>
                <c:ptCount val="8"/>
                <c:pt idx="0">
                  <c:v>0.56599999999999995</c:v>
                </c:pt>
                <c:pt idx="1">
                  <c:v>0.14199999999999999</c:v>
                </c:pt>
                <c:pt idx="2">
                  <c:v>0.115</c:v>
                </c:pt>
                <c:pt idx="3">
                  <c:v>0.31900000000000001</c:v>
                </c:pt>
                <c:pt idx="4">
                  <c:v>0.628</c:v>
                </c:pt>
                <c:pt idx="5">
                  <c:v>0.56599999999999995</c:v>
                </c:pt>
                <c:pt idx="6">
                  <c:v>0.17</c:v>
                </c:pt>
                <c:pt idx="7">
                  <c:v>3.5000000000000003E-2</c:v>
                </c:pt>
              </c:numCache>
            </c:numRef>
          </c:val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150"/>
        <c:axId val="130354688"/>
        <c:axId val="36995648"/>
      </c:barChart>
      <c:catAx>
        <c:axId val="130354688"/>
        <c:scaling>
          <c:orientation val="minMax"/>
        </c:scaling>
        <c:delete val="0"/>
        <c:axPos val="b"/>
        <c:majorTickMark val="out"/>
        <c:minorTickMark val="none"/>
        <c:tickLblPos val="nextTo"/>
        <c:crossAx val="36995648"/>
        <c:crosses val="autoZero"/>
        <c:auto val="1"/>
        <c:lblAlgn val="ctr"/>
        <c:lblOffset val="100"/>
        <c:noMultiLvlLbl val="0"/>
      </c:catAx>
      <c:valAx>
        <c:axId val="36995648"/>
        <c:scaling>
          <c:orientation val="minMax"/>
        </c:scaling>
        <c:delete val="0"/>
        <c:axPos val="l"/>
        <c:majorGridlines/>
        <c:numFmt formatCode="0.00%" sourceLinked="1"/>
        <c:majorTickMark val="out"/>
        <c:minorTickMark val="none"/>
        <c:tickLblPos val="nextTo"/>
        <c:crossAx val="130354688"/>
        <c:crosses val="autoZero"/>
        <c:crossBetween val="between"/>
      </c:valAx>
    </c:plotArea>
    <c:legend>
      <c:legendPos val="r"/>
      <c:overlay val="0"/>
    </c:legend>
    <c:plotVisOnly val="1"/>
    <c:dispBlanksAs val="gap"/>
    <c:showDLblsOverMax val="0"/>
  </c:chart>
  <c:externalData r:id="rId1">
    <c:autoUpdate val="0"/>
  </c:externalData>
</c:chartSpace>
</file>

<file path=word/theme/theme1.xml><?xml version="1.0" encoding="utf-8"?>
<a:theme xmlns:a="http://schemas.openxmlformats.org/drawingml/2006/main" name="Ofis Teması">
  <a:themeElements>
    <a:clrScheme name="Ofis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is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is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20</Words>
  <Characters>118</Characters>
  <Application>Microsoft Office Word</Application>
  <DocSecurity>0</DocSecurity>
  <Lines>1</Lines>
  <Paragraphs>1</Paragraphs>
  <ScaleCrop>false</ScaleCrop>
  <Company>Progressive</Company>
  <LinksUpToDate>false</LinksUpToDate>
  <CharactersWithSpaces>137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EFE</dc:creator>
  <cp:keywords/>
  <dc:description/>
  <cp:lastModifiedBy>EFE</cp:lastModifiedBy>
  <cp:revision>2</cp:revision>
  <dcterms:created xsi:type="dcterms:W3CDTF">2025-03-16T08:50:00Z</dcterms:created>
  <dcterms:modified xsi:type="dcterms:W3CDTF">2025-03-16T08:50:00Z</dcterms:modified>
</cp:coreProperties>
</file>