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286C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b/>
          <w:bCs/>
          <w:sz w:val="20"/>
          <w:szCs w:val="20"/>
        </w:rPr>
        <w:t>Supplementary Table S1</w:t>
      </w:r>
      <w:r>
        <w:rPr>
          <w:rFonts w:hint="default" w:ascii="Times New Roman" w:hAnsi="Times New Roman" w:cs="Times New Roman"/>
          <w:sz w:val="20"/>
          <w:szCs w:val="20"/>
        </w:rPr>
        <w:t xml:space="preserve"> The sequence and parameter details in three cohorts.</w:t>
      </w:r>
    </w:p>
    <w:tbl>
      <w:tblPr>
        <w:tblStyle w:val="10"/>
        <w:tblpPr w:leftFromText="180" w:rightFromText="180" w:vertAnchor="text" w:horzAnchor="page" w:tblpX="1212" w:tblpY="33"/>
        <w:tblOverlap w:val="never"/>
        <w:tblW w:w="90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0"/>
        <w:gridCol w:w="1023"/>
        <w:gridCol w:w="1095"/>
        <w:gridCol w:w="889"/>
        <w:gridCol w:w="812"/>
        <w:gridCol w:w="1070"/>
        <w:gridCol w:w="1034"/>
        <w:gridCol w:w="1053"/>
        <w:gridCol w:w="997"/>
      </w:tblGrid>
      <w:tr w14:paraId="74903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070" w:type="dxa"/>
            <w:tcBorders>
              <w:top w:val="single" w:color="auto" w:sz="4" w:space="0"/>
              <w:bottom w:val="single" w:color="auto" w:sz="4" w:space="0"/>
            </w:tcBorders>
          </w:tcPr>
          <w:p w14:paraId="2A5042A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Cohort</w:t>
            </w:r>
          </w:p>
        </w:tc>
        <w:tc>
          <w:tcPr>
            <w:tcW w:w="1023" w:type="dxa"/>
            <w:tcBorders>
              <w:top w:val="single" w:color="auto" w:sz="4" w:space="0"/>
              <w:bottom w:val="single" w:color="auto" w:sz="4" w:space="0"/>
            </w:tcBorders>
          </w:tcPr>
          <w:p w14:paraId="575EA61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Scanner</w:t>
            </w:r>
          </w:p>
        </w:tc>
        <w:tc>
          <w:tcPr>
            <w:tcW w:w="1095" w:type="dxa"/>
            <w:tcBorders>
              <w:top w:val="single" w:color="auto" w:sz="4" w:space="0"/>
              <w:bottom w:val="single" w:color="auto" w:sz="4" w:space="0"/>
            </w:tcBorders>
          </w:tcPr>
          <w:p w14:paraId="6822826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Sequence</w:t>
            </w:r>
          </w:p>
        </w:tc>
        <w:tc>
          <w:tcPr>
            <w:tcW w:w="889" w:type="dxa"/>
            <w:tcBorders>
              <w:top w:val="single" w:color="auto" w:sz="4" w:space="0"/>
              <w:bottom w:val="single" w:color="auto" w:sz="4" w:space="0"/>
            </w:tcBorders>
          </w:tcPr>
          <w:p w14:paraId="0AF7FE7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TR (ms)</w:t>
            </w:r>
          </w:p>
        </w:tc>
        <w:tc>
          <w:tcPr>
            <w:tcW w:w="812" w:type="dxa"/>
            <w:tcBorders>
              <w:top w:val="single" w:color="auto" w:sz="4" w:space="0"/>
              <w:bottom w:val="single" w:color="auto" w:sz="4" w:space="0"/>
            </w:tcBorders>
          </w:tcPr>
          <w:p w14:paraId="4470EF7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TE (ms)</w:t>
            </w:r>
          </w:p>
        </w:tc>
        <w:tc>
          <w:tcPr>
            <w:tcW w:w="1070" w:type="dxa"/>
            <w:tcBorders>
              <w:top w:val="single" w:color="auto" w:sz="4" w:space="0"/>
              <w:bottom w:val="single" w:color="auto" w:sz="4" w:space="0"/>
            </w:tcBorders>
          </w:tcPr>
          <w:p w14:paraId="336423E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FOV (mm</w:t>
            </w:r>
            <w:r>
              <w:rPr>
                <w:rFonts w:hint="default" w:ascii="Times New Roman" w:hAnsi="Times New Roman" w:cs="Times New Roman"/>
                <w:sz w:val="20"/>
                <w:szCs w:val="20"/>
                <w:vertAlign w:val="superscript"/>
              </w:rPr>
              <w:t>2</w:t>
            </w:r>
            <w:r>
              <w:rPr>
                <w:rFonts w:hint="default" w:ascii="Times New Roman" w:hAnsi="Times New Roman" w:cs="Times New Roman"/>
                <w:sz w:val="20"/>
                <w:szCs w:val="20"/>
              </w:rPr>
              <w:t>)</w:t>
            </w:r>
          </w:p>
        </w:tc>
        <w:tc>
          <w:tcPr>
            <w:tcW w:w="1034" w:type="dxa"/>
            <w:tcBorders>
              <w:top w:val="single" w:color="auto" w:sz="4" w:space="0"/>
              <w:bottom w:val="single" w:color="auto" w:sz="4" w:space="0"/>
            </w:tcBorders>
          </w:tcPr>
          <w:p w14:paraId="66B81CB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Matrix</w:t>
            </w:r>
          </w:p>
        </w:tc>
        <w:tc>
          <w:tcPr>
            <w:tcW w:w="1053" w:type="dxa"/>
            <w:tcBorders>
              <w:top w:val="single" w:color="auto" w:sz="4" w:space="0"/>
              <w:bottom w:val="single" w:color="auto" w:sz="4" w:space="0"/>
            </w:tcBorders>
          </w:tcPr>
          <w:p w14:paraId="18DCAF8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Slice thickness</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(mm)</w:t>
            </w:r>
          </w:p>
        </w:tc>
        <w:tc>
          <w:tcPr>
            <w:tcW w:w="997" w:type="dxa"/>
            <w:tcBorders>
              <w:top w:val="single" w:color="auto" w:sz="4" w:space="0"/>
              <w:bottom w:val="single" w:color="auto" w:sz="4" w:space="0"/>
            </w:tcBorders>
          </w:tcPr>
          <w:p w14:paraId="308A16F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Slice gap (mm)</w:t>
            </w:r>
          </w:p>
        </w:tc>
      </w:tr>
      <w:tr w14:paraId="195B8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70" w:type="dxa"/>
            <w:vMerge w:val="restart"/>
            <w:tcBorders>
              <w:top w:val="single" w:color="auto" w:sz="4" w:space="0"/>
            </w:tcBorders>
          </w:tcPr>
          <w:p w14:paraId="52886D8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Training and internal validation </w:t>
            </w:r>
          </w:p>
        </w:tc>
        <w:tc>
          <w:tcPr>
            <w:tcW w:w="1023" w:type="dxa"/>
            <w:vMerge w:val="restart"/>
            <w:tcBorders>
              <w:top w:val="single" w:color="auto" w:sz="4" w:space="0"/>
            </w:tcBorders>
          </w:tcPr>
          <w:p w14:paraId="08CBB2D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GE Signa Pioneer 3.0 T</w:t>
            </w:r>
          </w:p>
        </w:tc>
        <w:tc>
          <w:tcPr>
            <w:tcW w:w="1095" w:type="dxa"/>
            <w:tcBorders>
              <w:top w:val="single" w:color="auto" w:sz="4" w:space="0"/>
            </w:tcBorders>
          </w:tcPr>
          <w:p w14:paraId="0C85E6B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tcBorders>
              <w:top w:val="single" w:color="auto" w:sz="4" w:space="0"/>
            </w:tcBorders>
          </w:tcPr>
          <w:p w14:paraId="531C043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2200</w:t>
            </w:r>
          </w:p>
        </w:tc>
        <w:tc>
          <w:tcPr>
            <w:tcW w:w="812" w:type="dxa"/>
            <w:tcBorders>
              <w:top w:val="single" w:color="auto" w:sz="4" w:space="0"/>
            </w:tcBorders>
          </w:tcPr>
          <w:p w14:paraId="66E73A3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85</w:t>
            </w:r>
          </w:p>
        </w:tc>
        <w:tc>
          <w:tcPr>
            <w:tcW w:w="1070" w:type="dxa"/>
            <w:tcBorders>
              <w:top w:val="single" w:color="auto" w:sz="4" w:space="0"/>
            </w:tcBorders>
          </w:tcPr>
          <w:p w14:paraId="186F0D9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380×380</w:t>
            </w:r>
          </w:p>
        </w:tc>
        <w:tc>
          <w:tcPr>
            <w:tcW w:w="1034" w:type="dxa"/>
            <w:tcBorders>
              <w:top w:val="single" w:color="auto" w:sz="4" w:space="0"/>
            </w:tcBorders>
          </w:tcPr>
          <w:p w14:paraId="2949F5B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480×256</w:t>
            </w:r>
          </w:p>
        </w:tc>
        <w:tc>
          <w:tcPr>
            <w:tcW w:w="1053" w:type="dxa"/>
            <w:tcBorders>
              <w:top w:val="single" w:color="auto" w:sz="4" w:space="0"/>
            </w:tcBorders>
          </w:tcPr>
          <w:p w14:paraId="650BE2C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997" w:type="dxa"/>
            <w:tcBorders>
              <w:top w:val="single" w:color="auto" w:sz="4" w:space="0"/>
            </w:tcBorders>
          </w:tcPr>
          <w:p w14:paraId="2169418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0D43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70" w:type="dxa"/>
            <w:vMerge w:val="continue"/>
          </w:tcPr>
          <w:p w14:paraId="4AAA730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518BDDC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5B15B5B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tcPr>
          <w:p w14:paraId="6397ED8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3600</w:t>
            </w:r>
          </w:p>
        </w:tc>
        <w:tc>
          <w:tcPr>
            <w:tcW w:w="812" w:type="dxa"/>
          </w:tcPr>
          <w:p w14:paraId="579563F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107.6</w:t>
            </w:r>
          </w:p>
        </w:tc>
        <w:tc>
          <w:tcPr>
            <w:tcW w:w="1070" w:type="dxa"/>
          </w:tcPr>
          <w:p w14:paraId="07BF2D7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280×224</w:t>
            </w:r>
          </w:p>
        </w:tc>
        <w:tc>
          <w:tcPr>
            <w:tcW w:w="1034" w:type="dxa"/>
          </w:tcPr>
          <w:p w14:paraId="14C419F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128×80</w:t>
            </w:r>
          </w:p>
        </w:tc>
        <w:tc>
          <w:tcPr>
            <w:tcW w:w="1053" w:type="dxa"/>
          </w:tcPr>
          <w:p w14:paraId="3278FD7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997" w:type="dxa"/>
          </w:tcPr>
          <w:p w14:paraId="53FE1A2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2FD36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70" w:type="dxa"/>
            <w:vMerge w:val="continue"/>
          </w:tcPr>
          <w:p w14:paraId="746361F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6A873D9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29BF70D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Pr>
          <w:p w14:paraId="6D86AA9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3.9</w:t>
            </w:r>
          </w:p>
        </w:tc>
        <w:tc>
          <w:tcPr>
            <w:tcW w:w="812" w:type="dxa"/>
          </w:tcPr>
          <w:p w14:paraId="6785ECC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1.7</w:t>
            </w:r>
          </w:p>
        </w:tc>
        <w:tc>
          <w:tcPr>
            <w:tcW w:w="1070" w:type="dxa"/>
          </w:tcPr>
          <w:p w14:paraId="48F2284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400×320</w:t>
            </w:r>
          </w:p>
        </w:tc>
        <w:tc>
          <w:tcPr>
            <w:tcW w:w="1034" w:type="dxa"/>
          </w:tcPr>
          <w:p w14:paraId="20C8C17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360×288</w:t>
            </w:r>
          </w:p>
        </w:tc>
        <w:tc>
          <w:tcPr>
            <w:tcW w:w="1053" w:type="dxa"/>
          </w:tcPr>
          <w:p w14:paraId="19D7A88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0D20EA0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w:t>
            </w:r>
          </w:p>
        </w:tc>
      </w:tr>
      <w:tr w14:paraId="46D58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70" w:type="dxa"/>
            <w:vMerge w:val="continue"/>
          </w:tcPr>
          <w:p w14:paraId="51D5264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tcPr>
          <w:p w14:paraId="4AB08BF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Philips Ingenia </w:t>
            </w:r>
          </w:p>
          <w:p w14:paraId="664444B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 T</w:t>
            </w:r>
          </w:p>
        </w:tc>
        <w:tc>
          <w:tcPr>
            <w:tcW w:w="1095" w:type="dxa"/>
          </w:tcPr>
          <w:p w14:paraId="6FADED0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tcPr>
          <w:p w14:paraId="01ED450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4091</w:t>
            </w:r>
          </w:p>
        </w:tc>
        <w:tc>
          <w:tcPr>
            <w:tcW w:w="812" w:type="dxa"/>
          </w:tcPr>
          <w:p w14:paraId="78F51DF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100</w:t>
            </w:r>
          </w:p>
        </w:tc>
        <w:tc>
          <w:tcPr>
            <w:tcW w:w="1070" w:type="dxa"/>
          </w:tcPr>
          <w:p w14:paraId="01A8780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300×378</w:t>
            </w:r>
          </w:p>
        </w:tc>
        <w:tc>
          <w:tcPr>
            <w:tcW w:w="1034" w:type="dxa"/>
          </w:tcPr>
          <w:p w14:paraId="3A2CCB0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352×376</w:t>
            </w:r>
          </w:p>
        </w:tc>
        <w:tc>
          <w:tcPr>
            <w:tcW w:w="1053" w:type="dxa"/>
          </w:tcPr>
          <w:p w14:paraId="01998AA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72465B4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46BC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70" w:type="dxa"/>
            <w:vMerge w:val="continue"/>
          </w:tcPr>
          <w:p w14:paraId="2A53FF7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37ED1CE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1EE6E1E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tcPr>
          <w:p w14:paraId="639FBDF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9000</w:t>
            </w:r>
          </w:p>
        </w:tc>
        <w:tc>
          <w:tcPr>
            <w:tcW w:w="812" w:type="dxa"/>
          </w:tcPr>
          <w:p w14:paraId="1711115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55</w:t>
            </w:r>
          </w:p>
        </w:tc>
        <w:tc>
          <w:tcPr>
            <w:tcW w:w="1070" w:type="dxa"/>
          </w:tcPr>
          <w:p w14:paraId="478251B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300×242</w:t>
            </w:r>
          </w:p>
        </w:tc>
        <w:tc>
          <w:tcPr>
            <w:tcW w:w="1034" w:type="dxa"/>
          </w:tcPr>
          <w:p w14:paraId="23CBE1E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120×97</w:t>
            </w:r>
          </w:p>
        </w:tc>
        <w:tc>
          <w:tcPr>
            <w:tcW w:w="1053" w:type="dxa"/>
          </w:tcPr>
          <w:p w14:paraId="0D49170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6918D9D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4AC69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070" w:type="dxa"/>
            <w:vMerge w:val="continue"/>
          </w:tcPr>
          <w:p w14:paraId="543B962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5A9C57A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504A946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Pr>
          <w:p w14:paraId="2F744DB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3.7</w:t>
            </w:r>
          </w:p>
        </w:tc>
        <w:tc>
          <w:tcPr>
            <w:tcW w:w="812" w:type="dxa"/>
          </w:tcPr>
          <w:p w14:paraId="35CFD05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1.31</w:t>
            </w:r>
          </w:p>
        </w:tc>
        <w:tc>
          <w:tcPr>
            <w:tcW w:w="1070" w:type="dxa"/>
          </w:tcPr>
          <w:p w14:paraId="1ADBF9A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400×353</w:t>
            </w:r>
          </w:p>
        </w:tc>
        <w:tc>
          <w:tcPr>
            <w:tcW w:w="1034" w:type="dxa"/>
          </w:tcPr>
          <w:p w14:paraId="188C174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208×253</w:t>
            </w:r>
          </w:p>
        </w:tc>
        <w:tc>
          <w:tcPr>
            <w:tcW w:w="1053" w:type="dxa"/>
          </w:tcPr>
          <w:p w14:paraId="46A294F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1B20811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-2.5</w:t>
            </w:r>
          </w:p>
        </w:tc>
      </w:tr>
      <w:tr w14:paraId="1A667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58B5944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tcPr>
          <w:p w14:paraId="76B39F9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Philips Ingenia </w:t>
            </w:r>
          </w:p>
          <w:p w14:paraId="1249BD5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1.5 T</w:t>
            </w:r>
          </w:p>
        </w:tc>
        <w:tc>
          <w:tcPr>
            <w:tcW w:w="1095" w:type="dxa"/>
          </w:tcPr>
          <w:p w14:paraId="61AEA32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tcPr>
          <w:p w14:paraId="704AC66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3351</w:t>
            </w:r>
          </w:p>
        </w:tc>
        <w:tc>
          <w:tcPr>
            <w:tcW w:w="812" w:type="dxa"/>
          </w:tcPr>
          <w:p w14:paraId="2E293B0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90</w:t>
            </w:r>
          </w:p>
        </w:tc>
        <w:tc>
          <w:tcPr>
            <w:tcW w:w="1070" w:type="dxa"/>
          </w:tcPr>
          <w:p w14:paraId="1C20AF6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300×373</w:t>
            </w:r>
          </w:p>
        </w:tc>
        <w:tc>
          <w:tcPr>
            <w:tcW w:w="1034" w:type="dxa"/>
          </w:tcPr>
          <w:p w14:paraId="589BABA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352×272</w:t>
            </w:r>
          </w:p>
        </w:tc>
        <w:tc>
          <w:tcPr>
            <w:tcW w:w="1053" w:type="dxa"/>
          </w:tcPr>
          <w:p w14:paraId="0C1B9F1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290682D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0177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19EE716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2E01031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326229B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tcPr>
          <w:p w14:paraId="682E515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6758</w:t>
            </w:r>
          </w:p>
        </w:tc>
        <w:tc>
          <w:tcPr>
            <w:tcW w:w="812" w:type="dxa"/>
          </w:tcPr>
          <w:p w14:paraId="45D4BF7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77</w:t>
            </w:r>
          </w:p>
        </w:tc>
        <w:tc>
          <w:tcPr>
            <w:tcW w:w="1070" w:type="dxa"/>
          </w:tcPr>
          <w:p w14:paraId="12F5780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270×259</w:t>
            </w:r>
          </w:p>
        </w:tc>
        <w:tc>
          <w:tcPr>
            <w:tcW w:w="1034" w:type="dxa"/>
          </w:tcPr>
          <w:p w14:paraId="2646C71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92×90</w:t>
            </w:r>
          </w:p>
        </w:tc>
        <w:tc>
          <w:tcPr>
            <w:tcW w:w="1053" w:type="dxa"/>
          </w:tcPr>
          <w:p w14:paraId="07F7900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622EC3A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4D74C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70" w:type="dxa"/>
            <w:vMerge w:val="continue"/>
          </w:tcPr>
          <w:p w14:paraId="117BE17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462A2B8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6DA1950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Pr>
          <w:p w14:paraId="09F9D6D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6.0</w:t>
            </w:r>
          </w:p>
        </w:tc>
        <w:tc>
          <w:tcPr>
            <w:tcW w:w="812" w:type="dxa"/>
          </w:tcPr>
          <w:p w14:paraId="5B7887D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1.87</w:t>
            </w:r>
          </w:p>
        </w:tc>
        <w:tc>
          <w:tcPr>
            <w:tcW w:w="1070" w:type="dxa"/>
          </w:tcPr>
          <w:p w14:paraId="25E0C1D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400×326</w:t>
            </w:r>
          </w:p>
        </w:tc>
        <w:tc>
          <w:tcPr>
            <w:tcW w:w="1034" w:type="dxa"/>
          </w:tcPr>
          <w:p w14:paraId="26D9A82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288×203</w:t>
            </w:r>
          </w:p>
        </w:tc>
        <w:tc>
          <w:tcPr>
            <w:tcW w:w="1053" w:type="dxa"/>
          </w:tcPr>
          <w:p w14:paraId="5AD5FFC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997" w:type="dxa"/>
          </w:tcPr>
          <w:p w14:paraId="3D4025C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r>
      <w:tr w14:paraId="0CF1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restart"/>
          </w:tcPr>
          <w:p w14:paraId="2A93936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External test</w:t>
            </w:r>
          </w:p>
        </w:tc>
        <w:tc>
          <w:tcPr>
            <w:tcW w:w="1023" w:type="dxa"/>
            <w:vMerge w:val="restart"/>
          </w:tcPr>
          <w:p w14:paraId="0B6AFA0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GE Signa HDxt </w:t>
            </w:r>
          </w:p>
          <w:p w14:paraId="442928A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 T</w:t>
            </w:r>
          </w:p>
        </w:tc>
        <w:tc>
          <w:tcPr>
            <w:tcW w:w="1095" w:type="dxa"/>
          </w:tcPr>
          <w:p w14:paraId="4861829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tcPr>
          <w:p w14:paraId="4EA6613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3345</w:t>
            </w:r>
          </w:p>
        </w:tc>
        <w:tc>
          <w:tcPr>
            <w:tcW w:w="812" w:type="dxa"/>
          </w:tcPr>
          <w:p w14:paraId="3700CD2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102</w:t>
            </w:r>
          </w:p>
        </w:tc>
        <w:tc>
          <w:tcPr>
            <w:tcW w:w="1070" w:type="dxa"/>
          </w:tcPr>
          <w:p w14:paraId="7BB2E17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tcPr>
          <w:p w14:paraId="422DEE1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320×224</w:t>
            </w:r>
          </w:p>
        </w:tc>
        <w:tc>
          <w:tcPr>
            <w:tcW w:w="1053" w:type="dxa"/>
          </w:tcPr>
          <w:p w14:paraId="29D9857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5BC9CE4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0.5</w:t>
            </w:r>
          </w:p>
        </w:tc>
      </w:tr>
      <w:tr w14:paraId="1D443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17F7AAA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45FA55A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5E7BEFD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tcPr>
          <w:p w14:paraId="5C23BD8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4050</w:t>
            </w:r>
          </w:p>
        </w:tc>
        <w:tc>
          <w:tcPr>
            <w:tcW w:w="812" w:type="dxa"/>
          </w:tcPr>
          <w:p w14:paraId="4F26649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65.6</w:t>
            </w:r>
          </w:p>
        </w:tc>
        <w:tc>
          <w:tcPr>
            <w:tcW w:w="1070" w:type="dxa"/>
          </w:tcPr>
          <w:p w14:paraId="14D648A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380×380</w:t>
            </w:r>
          </w:p>
        </w:tc>
        <w:tc>
          <w:tcPr>
            <w:tcW w:w="1034" w:type="dxa"/>
          </w:tcPr>
          <w:p w14:paraId="5401C9B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130×96</w:t>
            </w:r>
          </w:p>
        </w:tc>
        <w:tc>
          <w:tcPr>
            <w:tcW w:w="1053" w:type="dxa"/>
          </w:tcPr>
          <w:p w14:paraId="2A85913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12ECCB1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3D83C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7D96D66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46E2C3A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0593629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Pr>
          <w:p w14:paraId="48474BB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4.2</w:t>
            </w:r>
          </w:p>
        </w:tc>
        <w:tc>
          <w:tcPr>
            <w:tcW w:w="812" w:type="dxa"/>
          </w:tcPr>
          <w:p w14:paraId="2376235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1.1</w:t>
            </w:r>
          </w:p>
        </w:tc>
        <w:tc>
          <w:tcPr>
            <w:tcW w:w="1070" w:type="dxa"/>
          </w:tcPr>
          <w:p w14:paraId="776C51D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400×320</w:t>
            </w:r>
          </w:p>
        </w:tc>
        <w:tc>
          <w:tcPr>
            <w:tcW w:w="1034" w:type="dxa"/>
          </w:tcPr>
          <w:p w14:paraId="7AF74AA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320×224</w:t>
            </w:r>
          </w:p>
        </w:tc>
        <w:tc>
          <w:tcPr>
            <w:tcW w:w="1053" w:type="dxa"/>
          </w:tcPr>
          <w:p w14:paraId="52AA360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1EE62CB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w:t>
            </w:r>
          </w:p>
        </w:tc>
      </w:tr>
      <w:tr w14:paraId="24AF7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3095390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tcPr>
          <w:p w14:paraId="668D49B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GE Signa HDxt </w:t>
            </w:r>
          </w:p>
          <w:p w14:paraId="33CC68C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1.5 T</w:t>
            </w:r>
          </w:p>
        </w:tc>
        <w:tc>
          <w:tcPr>
            <w:tcW w:w="1095" w:type="dxa"/>
          </w:tcPr>
          <w:p w14:paraId="6586878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tcPr>
          <w:p w14:paraId="211D82F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6680 </w:t>
            </w:r>
          </w:p>
        </w:tc>
        <w:tc>
          <w:tcPr>
            <w:tcW w:w="812" w:type="dxa"/>
          </w:tcPr>
          <w:p w14:paraId="793397A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130</w:t>
            </w:r>
          </w:p>
        </w:tc>
        <w:tc>
          <w:tcPr>
            <w:tcW w:w="1070" w:type="dxa"/>
          </w:tcPr>
          <w:p w14:paraId="0DF316E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tcPr>
          <w:p w14:paraId="3E13963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320×224</w:t>
            </w:r>
          </w:p>
        </w:tc>
        <w:tc>
          <w:tcPr>
            <w:tcW w:w="1053" w:type="dxa"/>
          </w:tcPr>
          <w:p w14:paraId="36FC8CF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20C0F80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0.5</w:t>
            </w:r>
          </w:p>
        </w:tc>
      </w:tr>
      <w:tr w14:paraId="25EAB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6919CFD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1F8DB9C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255626D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tcPr>
          <w:p w14:paraId="1B0D3CF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7000</w:t>
            </w:r>
          </w:p>
        </w:tc>
        <w:tc>
          <w:tcPr>
            <w:tcW w:w="812" w:type="dxa"/>
          </w:tcPr>
          <w:p w14:paraId="5971EA6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77.5</w:t>
            </w:r>
          </w:p>
        </w:tc>
        <w:tc>
          <w:tcPr>
            <w:tcW w:w="1070" w:type="dxa"/>
          </w:tcPr>
          <w:p w14:paraId="45AFC89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tcPr>
          <w:p w14:paraId="707F2A7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320×256</w:t>
            </w:r>
          </w:p>
        </w:tc>
        <w:tc>
          <w:tcPr>
            <w:tcW w:w="1053" w:type="dxa"/>
          </w:tcPr>
          <w:p w14:paraId="0137F0F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tcPr>
          <w:p w14:paraId="0CADB67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72C0B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246AF90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1BCAD22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74D2CA4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Pr>
          <w:p w14:paraId="296948B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3.4</w:t>
            </w:r>
          </w:p>
        </w:tc>
        <w:tc>
          <w:tcPr>
            <w:tcW w:w="812" w:type="dxa"/>
          </w:tcPr>
          <w:p w14:paraId="33435A4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1.6</w:t>
            </w:r>
          </w:p>
        </w:tc>
        <w:tc>
          <w:tcPr>
            <w:tcW w:w="1070" w:type="dxa"/>
          </w:tcPr>
          <w:p w14:paraId="639037C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tcPr>
          <w:p w14:paraId="6B6605B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320×224</w:t>
            </w:r>
          </w:p>
        </w:tc>
        <w:tc>
          <w:tcPr>
            <w:tcW w:w="1053" w:type="dxa"/>
          </w:tcPr>
          <w:p w14:paraId="5F3E342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997" w:type="dxa"/>
          </w:tcPr>
          <w:p w14:paraId="0980DCC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w:t>
            </w:r>
          </w:p>
        </w:tc>
      </w:tr>
      <w:tr w14:paraId="1F2FC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3CF4249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tcPr>
          <w:p w14:paraId="08BEAD8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Philips Ingenia </w:t>
            </w:r>
          </w:p>
          <w:p w14:paraId="1644241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 T</w:t>
            </w:r>
          </w:p>
        </w:tc>
        <w:tc>
          <w:tcPr>
            <w:tcW w:w="1095" w:type="dxa"/>
          </w:tcPr>
          <w:p w14:paraId="3305BF8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tcPr>
          <w:p w14:paraId="1DDBF9B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3276</w:t>
            </w:r>
          </w:p>
        </w:tc>
        <w:tc>
          <w:tcPr>
            <w:tcW w:w="812" w:type="dxa"/>
          </w:tcPr>
          <w:p w14:paraId="4C17419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100</w:t>
            </w:r>
          </w:p>
        </w:tc>
        <w:tc>
          <w:tcPr>
            <w:tcW w:w="1070" w:type="dxa"/>
          </w:tcPr>
          <w:p w14:paraId="7397611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220×220</w:t>
            </w:r>
          </w:p>
        </w:tc>
        <w:tc>
          <w:tcPr>
            <w:tcW w:w="1034" w:type="dxa"/>
          </w:tcPr>
          <w:p w14:paraId="329CD13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292×220</w:t>
            </w:r>
          </w:p>
        </w:tc>
        <w:tc>
          <w:tcPr>
            <w:tcW w:w="1053" w:type="dxa"/>
          </w:tcPr>
          <w:p w14:paraId="730F902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022FA27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4227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06372AA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61AFB47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61167B3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tcPr>
          <w:p w14:paraId="6C5D66A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6000</w:t>
            </w:r>
          </w:p>
        </w:tc>
        <w:tc>
          <w:tcPr>
            <w:tcW w:w="812" w:type="dxa"/>
          </w:tcPr>
          <w:p w14:paraId="76BEC64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56</w:t>
            </w:r>
          </w:p>
        </w:tc>
        <w:tc>
          <w:tcPr>
            <w:tcW w:w="1070" w:type="dxa"/>
          </w:tcPr>
          <w:p w14:paraId="18F29D6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220×220</w:t>
            </w:r>
          </w:p>
        </w:tc>
        <w:tc>
          <w:tcPr>
            <w:tcW w:w="1034" w:type="dxa"/>
          </w:tcPr>
          <w:p w14:paraId="37D12CA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88×106</w:t>
            </w:r>
          </w:p>
        </w:tc>
        <w:tc>
          <w:tcPr>
            <w:tcW w:w="1053" w:type="dxa"/>
          </w:tcPr>
          <w:p w14:paraId="480B7FE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0EAA6F5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69632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4786F08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3DD27CF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Pr>
          <w:p w14:paraId="314B120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Pr>
          <w:p w14:paraId="070B246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3.7</w:t>
            </w:r>
          </w:p>
        </w:tc>
        <w:tc>
          <w:tcPr>
            <w:tcW w:w="812" w:type="dxa"/>
          </w:tcPr>
          <w:p w14:paraId="308D318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1.33</w:t>
            </w:r>
          </w:p>
        </w:tc>
        <w:tc>
          <w:tcPr>
            <w:tcW w:w="1070" w:type="dxa"/>
          </w:tcPr>
          <w:p w14:paraId="7612BAB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360×320</w:t>
            </w:r>
          </w:p>
        </w:tc>
        <w:tc>
          <w:tcPr>
            <w:tcW w:w="1034" w:type="dxa"/>
          </w:tcPr>
          <w:p w14:paraId="379F6FF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240×215</w:t>
            </w:r>
          </w:p>
        </w:tc>
        <w:tc>
          <w:tcPr>
            <w:tcW w:w="1053" w:type="dxa"/>
          </w:tcPr>
          <w:p w14:paraId="47AA5ED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tcPr>
          <w:p w14:paraId="469E379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w:t>
            </w:r>
          </w:p>
        </w:tc>
      </w:tr>
      <w:tr w14:paraId="5EF62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3D80568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shd w:val="clear" w:color="auto" w:fill="auto"/>
          </w:tcPr>
          <w:p w14:paraId="02EB984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Siemens Prisma </w:t>
            </w:r>
          </w:p>
          <w:p w14:paraId="7E23A31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 T</w:t>
            </w:r>
          </w:p>
        </w:tc>
        <w:tc>
          <w:tcPr>
            <w:tcW w:w="1095" w:type="dxa"/>
            <w:shd w:val="clear" w:color="auto" w:fill="auto"/>
          </w:tcPr>
          <w:p w14:paraId="0C4AFEC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shd w:val="clear" w:color="auto" w:fill="auto"/>
          </w:tcPr>
          <w:p w14:paraId="770C8BB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3200</w:t>
            </w:r>
          </w:p>
        </w:tc>
        <w:tc>
          <w:tcPr>
            <w:tcW w:w="812" w:type="dxa"/>
            <w:shd w:val="clear" w:color="auto" w:fill="auto"/>
          </w:tcPr>
          <w:p w14:paraId="5FBEEB7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1070" w:type="dxa"/>
            <w:shd w:val="clear" w:color="auto" w:fill="auto"/>
          </w:tcPr>
          <w:p w14:paraId="3001400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200×200</w:t>
            </w:r>
          </w:p>
        </w:tc>
        <w:tc>
          <w:tcPr>
            <w:tcW w:w="1034" w:type="dxa"/>
            <w:shd w:val="clear" w:color="auto" w:fill="auto"/>
          </w:tcPr>
          <w:p w14:paraId="1F8BB65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320×240</w:t>
            </w:r>
          </w:p>
        </w:tc>
        <w:tc>
          <w:tcPr>
            <w:tcW w:w="1053" w:type="dxa"/>
            <w:shd w:val="clear" w:color="auto" w:fill="auto"/>
          </w:tcPr>
          <w:p w14:paraId="3212E45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997" w:type="dxa"/>
            <w:shd w:val="clear" w:color="auto" w:fill="auto"/>
          </w:tcPr>
          <w:p w14:paraId="4C5BD9B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0.3</w:t>
            </w:r>
          </w:p>
        </w:tc>
      </w:tr>
      <w:tr w14:paraId="49BD2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1D2C589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3E9A86B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shd w:val="clear" w:color="auto" w:fill="auto"/>
          </w:tcPr>
          <w:p w14:paraId="0BD45A1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shd w:val="clear" w:color="auto" w:fill="auto"/>
          </w:tcPr>
          <w:p w14:paraId="312917D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6300</w:t>
            </w:r>
          </w:p>
        </w:tc>
        <w:tc>
          <w:tcPr>
            <w:tcW w:w="812" w:type="dxa"/>
            <w:shd w:val="clear" w:color="auto" w:fill="auto"/>
          </w:tcPr>
          <w:p w14:paraId="3F3DF70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75</w:t>
            </w:r>
          </w:p>
        </w:tc>
        <w:tc>
          <w:tcPr>
            <w:tcW w:w="1070" w:type="dxa"/>
            <w:shd w:val="clear" w:color="auto" w:fill="auto"/>
          </w:tcPr>
          <w:p w14:paraId="0EAB960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250×134</w:t>
            </w:r>
          </w:p>
        </w:tc>
        <w:tc>
          <w:tcPr>
            <w:tcW w:w="1034" w:type="dxa"/>
            <w:shd w:val="clear" w:color="auto" w:fill="auto"/>
          </w:tcPr>
          <w:p w14:paraId="68B6443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134×72</w:t>
            </w:r>
          </w:p>
        </w:tc>
        <w:tc>
          <w:tcPr>
            <w:tcW w:w="1053" w:type="dxa"/>
            <w:shd w:val="clear" w:color="auto" w:fill="auto"/>
          </w:tcPr>
          <w:p w14:paraId="7EF80F7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997" w:type="dxa"/>
            <w:shd w:val="clear" w:color="auto" w:fill="auto"/>
          </w:tcPr>
          <w:p w14:paraId="3A4B52E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0.3</w:t>
            </w:r>
          </w:p>
        </w:tc>
      </w:tr>
      <w:tr w14:paraId="2F9E3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4D0D792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0F1E8E1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shd w:val="clear" w:color="auto" w:fill="auto"/>
          </w:tcPr>
          <w:p w14:paraId="7EA2974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shd w:val="clear" w:color="auto" w:fill="auto"/>
          </w:tcPr>
          <w:p w14:paraId="5422323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2.9</w:t>
            </w:r>
          </w:p>
        </w:tc>
        <w:tc>
          <w:tcPr>
            <w:tcW w:w="812" w:type="dxa"/>
            <w:shd w:val="clear" w:color="auto" w:fill="auto"/>
          </w:tcPr>
          <w:p w14:paraId="269D0BF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1.09</w:t>
            </w:r>
          </w:p>
        </w:tc>
        <w:tc>
          <w:tcPr>
            <w:tcW w:w="1070" w:type="dxa"/>
            <w:shd w:val="clear" w:color="auto" w:fill="auto"/>
          </w:tcPr>
          <w:p w14:paraId="5C60A11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300×270</w:t>
            </w:r>
          </w:p>
        </w:tc>
        <w:tc>
          <w:tcPr>
            <w:tcW w:w="1034" w:type="dxa"/>
            <w:shd w:val="clear" w:color="auto" w:fill="auto"/>
          </w:tcPr>
          <w:p w14:paraId="0542F30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320×203</w:t>
            </w:r>
          </w:p>
        </w:tc>
        <w:tc>
          <w:tcPr>
            <w:tcW w:w="1053" w:type="dxa"/>
            <w:shd w:val="clear" w:color="auto" w:fill="auto"/>
          </w:tcPr>
          <w:p w14:paraId="06683EE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997" w:type="dxa"/>
            <w:shd w:val="clear" w:color="auto" w:fill="auto"/>
          </w:tcPr>
          <w:p w14:paraId="73E29BE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w:t>
            </w:r>
          </w:p>
        </w:tc>
      </w:tr>
      <w:tr w14:paraId="0F53F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4BDE22F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shd w:val="clear" w:color="auto" w:fill="auto"/>
          </w:tcPr>
          <w:p w14:paraId="2328BAD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Siemens Vida </w:t>
            </w:r>
          </w:p>
          <w:p w14:paraId="2DB0430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 T</w:t>
            </w:r>
          </w:p>
        </w:tc>
        <w:tc>
          <w:tcPr>
            <w:tcW w:w="1095" w:type="dxa"/>
            <w:shd w:val="clear" w:color="auto" w:fill="auto"/>
          </w:tcPr>
          <w:p w14:paraId="7E40512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shd w:val="clear" w:color="auto" w:fill="auto"/>
          </w:tcPr>
          <w:p w14:paraId="4509F1E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3570</w:t>
            </w:r>
          </w:p>
        </w:tc>
        <w:tc>
          <w:tcPr>
            <w:tcW w:w="812" w:type="dxa"/>
            <w:shd w:val="clear" w:color="auto" w:fill="auto"/>
          </w:tcPr>
          <w:p w14:paraId="0E016CF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76</w:t>
            </w:r>
          </w:p>
        </w:tc>
        <w:tc>
          <w:tcPr>
            <w:tcW w:w="1070" w:type="dxa"/>
            <w:shd w:val="clear" w:color="auto" w:fill="auto"/>
          </w:tcPr>
          <w:p w14:paraId="4767CD8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224×224</w:t>
            </w:r>
          </w:p>
        </w:tc>
        <w:tc>
          <w:tcPr>
            <w:tcW w:w="1034" w:type="dxa"/>
            <w:shd w:val="clear" w:color="auto" w:fill="auto"/>
          </w:tcPr>
          <w:p w14:paraId="3D8D439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320×320</w:t>
            </w:r>
          </w:p>
        </w:tc>
        <w:tc>
          <w:tcPr>
            <w:tcW w:w="1053" w:type="dxa"/>
            <w:shd w:val="clear" w:color="auto" w:fill="auto"/>
          </w:tcPr>
          <w:p w14:paraId="4A1E3E8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shd w:val="clear" w:color="auto" w:fill="auto"/>
          </w:tcPr>
          <w:p w14:paraId="6846B1C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0.8</w:t>
            </w:r>
          </w:p>
        </w:tc>
      </w:tr>
      <w:tr w14:paraId="5ED00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4E64099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7D1D33F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shd w:val="clear" w:color="auto" w:fill="auto"/>
          </w:tcPr>
          <w:p w14:paraId="3B979FC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shd w:val="clear" w:color="auto" w:fill="auto"/>
          </w:tcPr>
          <w:p w14:paraId="178FB0A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5600</w:t>
            </w:r>
          </w:p>
        </w:tc>
        <w:tc>
          <w:tcPr>
            <w:tcW w:w="812" w:type="dxa"/>
            <w:shd w:val="clear" w:color="auto" w:fill="auto"/>
          </w:tcPr>
          <w:p w14:paraId="7EED7E4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46</w:t>
            </w:r>
          </w:p>
        </w:tc>
        <w:tc>
          <w:tcPr>
            <w:tcW w:w="1070" w:type="dxa"/>
            <w:shd w:val="clear" w:color="auto" w:fill="auto"/>
          </w:tcPr>
          <w:p w14:paraId="7656511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380×306</w:t>
            </w:r>
          </w:p>
        </w:tc>
        <w:tc>
          <w:tcPr>
            <w:tcW w:w="1034" w:type="dxa"/>
            <w:shd w:val="clear" w:color="auto" w:fill="auto"/>
          </w:tcPr>
          <w:p w14:paraId="51BE16C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271×219</w:t>
            </w:r>
          </w:p>
        </w:tc>
        <w:tc>
          <w:tcPr>
            <w:tcW w:w="1053" w:type="dxa"/>
            <w:shd w:val="clear" w:color="auto" w:fill="auto"/>
          </w:tcPr>
          <w:p w14:paraId="5E01744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997" w:type="dxa"/>
            <w:shd w:val="clear" w:color="auto" w:fill="auto"/>
          </w:tcPr>
          <w:p w14:paraId="4247BEE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1.5</w:t>
            </w:r>
          </w:p>
        </w:tc>
      </w:tr>
      <w:tr w14:paraId="6B0F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4ED9929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0BBF27B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shd w:val="clear" w:color="auto" w:fill="auto"/>
          </w:tcPr>
          <w:p w14:paraId="680D3C7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shd w:val="clear" w:color="auto" w:fill="auto"/>
          </w:tcPr>
          <w:p w14:paraId="365ED40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3.5</w:t>
            </w:r>
          </w:p>
        </w:tc>
        <w:tc>
          <w:tcPr>
            <w:tcW w:w="812" w:type="dxa"/>
            <w:shd w:val="clear" w:color="auto" w:fill="auto"/>
          </w:tcPr>
          <w:p w14:paraId="4559477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1.66</w:t>
            </w:r>
          </w:p>
        </w:tc>
        <w:tc>
          <w:tcPr>
            <w:tcW w:w="1070" w:type="dxa"/>
            <w:shd w:val="clear" w:color="auto" w:fill="auto"/>
          </w:tcPr>
          <w:p w14:paraId="56C8C01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347×347</w:t>
            </w:r>
          </w:p>
        </w:tc>
        <w:tc>
          <w:tcPr>
            <w:tcW w:w="1034" w:type="dxa"/>
            <w:shd w:val="clear" w:color="auto" w:fill="auto"/>
          </w:tcPr>
          <w:p w14:paraId="0CEB4ED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386×386</w:t>
            </w:r>
          </w:p>
        </w:tc>
        <w:tc>
          <w:tcPr>
            <w:tcW w:w="1053" w:type="dxa"/>
            <w:shd w:val="clear" w:color="auto" w:fill="auto"/>
          </w:tcPr>
          <w:p w14:paraId="5E8A0CB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0.9</w:t>
            </w:r>
          </w:p>
        </w:tc>
        <w:tc>
          <w:tcPr>
            <w:tcW w:w="997" w:type="dxa"/>
            <w:shd w:val="clear" w:color="auto" w:fill="auto"/>
          </w:tcPr>
          <w:p w14:paraId="73DB110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0.18</w:t>
            </w:r>
          </w:p>
        </w:tc>
      </w:tr>
      <w:tr w14:paraId="5D61B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4F24175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restart"/>
            <w:shd w:val="clear" w:color="auto" w:fill="auto"/>
          </w:tcPr>
          <w:p w14:paraId="6E3B18D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Siemens Skyra </w:t>
            </w:r>
          </w:p>
          <w:p w14:paraId="66A8C3B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3.0 T </w:t>
            </w:r>
          </w:p>
        </w:tc>
        <w:tc>
          <w:tcPr>
            <w:tcW w:w="1095" w:type="dxa"/>
            <w:shd w:val="clear" w:color="auto" w:fill="auto"/>
          </w:tcPr>
          <w:p w14:paraId="1732935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w:t>
            </w:r>
          </w:p>
        </w:tc>
        <w:tc>
          <w:tcPr>
            <w:tcW w:w="889" w:type="dxa"/>
            <w:shd w:val="clear" w:color="auto" w:fill="auto"/>
          </w:tcPr>
          <w:p w14:paraId="6C8FF09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3000</w:t>
            </w:r>
          </w:p>
        </w:tc>
        <w:tc>
          <w:tcPr>
            <w:tcW w:w="812" w:type="dxa"/>
            <w:shd w:val="clear" w:color="auto" w:fill="auto"/>
          </w:tcPr>
          <w:p w14:paraId="11D203D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87</w:t>
            </w:r>
          </w:p>
        </w:tc>
        <w:tc>
          <w:tcPr>
            <w:tcW w:w="1070" w:type="dxa"/>
            <w:shd w:val="clear" w:color="auto" w:fill="auto"/>
          </w:tcPr>
          <w:p w14:paraId="4E68ACB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shd w:val="clear" w:color="auto" w:fill="auto"/>
          </w:tcPr>
          <w:p w14:paraId="4B1D83D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320×320</w:t>
            </w:r>
          </w:p>
        </w:tc>
        <w:tc>
          <w:tcPr>
            <w:tcW w:w="1053" w:type="dxa"/>
            <w:shd w:val="clear" w:color="auto" w:fill="auto"/>
          </w:tcPr>
          <w:p w14:paraId="4D4D822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997" w:type="dxa"/>
            <w:shd w:val="clear" w:color="auto" w:fill="auto"/>
          </w:tcPr>
          <w:p w14:paraId="6784442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22E4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Pr>
          <w:p w14:paraId="0BCCB07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Pr>
          <w:p w14:paraId="2F603B8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shd w:val="clear" w:color="auto" w:fill="auto"/>
          </w:tcPr>
          <w:p w14:paraId="2F0E38B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DWI</w:t>
            </w:r>
          </w:p>
        </w:tc>
        <w:tc>
          <w:tcPr>
            <w:tcW w:w="889" w:type="dxa"/>
            <w:shd w:val="clear" w:color="auto" w:fill="auto"/>
          </w:tcPr>
          <w:p w14:paraId="039D294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5700</w:t>
            </w:r>
          </w:p>
        </w:tc>
        <w:tc>
          <w:tcPr>
            <w:tcW w:w="812" w:type="dxa"/>
            <w:shd w:val="clear" w:color="auto" w:fill="auto"/>
          </w:tcPr>
          <w:p w14:paraId="0B297F2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92</w:t>
            </w:r>
          </w:p>
        </w:tc>
        <w:tc>
          <w:tcPr>
            <w:tcW w:w="1070" w:type="dxa"/>
            <w:shd w:val="clear" w:color="auto" w:fill="auto"/>
          </w:tcPr>
          <w:p w14:paraId="064F167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shd w:val="clear" w:color="auto" w:fill="auto"/>
          </w:tcPr>
          <w:p w14:paraId="3E5E7F2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320×256</w:t>
            </w:r>
          </w:p>
        </w:tc>
        <w:tc>
          <w:tcPr>
            <w:tcW w:w="1053" w:type="dxa"/>
            <w:shd w:val="clear" w:color="auto" w:fill="auto"/>
          </w:tcPr>
          <w:p w14:paraId="7098914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997" w:type="dxa"/>
            <w:shd w:val="clear" w:color="auto" w:fill="auto"/>
          </w:tcPr>
          <w:p w14:paraId="2CE4773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w:t>
            </w:r>
          </w:p>
        </w:tc>
      </w:tr>
      <w:tr w14:paraId="419B6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1070" w:type="dxa"/>
            <w:vMerge w:val="continue"/>
            <w:tcBorders>
              <w:bottom w:val="single" w:color="auto" w:sz="4" w:space="0"/>
            </w:tcBorders>
          </w:tcPr>
          <w:p w14:paraId="596F257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23" w:type="dxa"/>
            <w:vMerge w:val="continue"/>
            <w:tcBorders>
              <w:bottom w:val="single" w:color="auto" w:sz="4" w:space="0"/>
            </w:tcBorders>
          </w:tcPr>
          <w:p w14:paraId="0C60A84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c>
        <w:tc>
          <w:tcPr>
            <w:tcW w:w="1095" w:type="dxa"/>
            <w:tcBorders>
              <w:bottom w:val="single" w:color="auto" w:sz="4" w:space="0"/>
            </w:tcBorders>
            <w:shd w:val="clear" w:color="auto" w:fill="auto"/>
          </w:tcPr>
          <w:p w14:paraId="6CC4AC9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CE-T1WI</w:t>
            </w:r>
          </w:p>
        </w:tc>
        <w:tc>
          <w:tcPr>
            <w:tcW w:w="889" w:type="dxa"/>
            <w:tcBorders>
              <w:bottom w:val="single" w:color="auto" w:sz="4" w:space="0"/>
            </w:tcBorders>
            <w:shd w:val="clear" w:color="auto" w:fill="auto"/>
          </w:tcPr>
          <w:p w14:paraId="529C74B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3.3</w:t>
            </w:r>
          </w:p>
        </w:tc>
        <w:tc>
          <w:tcPr>
            <w:tcW w:w="812" w:type="dxa"/>
            <w:tcBorders>
              <w:bottom w:val="single" w:color="auto" w:sz="4" w:space="0"/>
            </w:tcBorders>
            <w:shd w:val="clear" w:color="auto" w:fill="auto"/>
          </w:tcPr>
          <w:p w14:paraId="5043EB1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1. 3</w:t>
            </w:r>
          </w:p>
        </w:tc>
        <w:tc>
          <w:tcPr>
            <w:tcW w:w="1070" w:type="dxa"/>
            <w:tcBorders>
              <w:bottom w:val="single" w:color="auto" w:sz="4" w:space="0"/>
            </w:tcBorders>
            <w:shd w:val="clear" w:color="auto" w:fill="auto"/>
          </w:tcPr>
          <w:p w14:paraId="5B6CD32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240×240</w:t>
            </w:r>
          </w:p>
        </w:tc>
        <w:tc>
          <w:tcPr>
            <w:tcW w:w="1034" w:type="dxa"/>
            <w:tcBorders>
              <w:bottom w:val="single" w:color="auto" w:sz="4" w:space="0"/>
            </w:tcBorders>
            <w:shd w:val="clear" w:color="auto" w:fill="auto"/>
          </w:tcPr>
          <w:p w14:paraId="5841227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320×320</w:t>
            </w:r>
          </w:p>
        </w:tc>
        <w:tc>
          <w:tcPr>
            <w:tcW w:w="1053" w:type="dxa"/>
            <w:tcBorders>
              <w:bottom w:val="single" w:color="auto" w:sz="4" w:space="0"/>
            </w:tcBorders>
            <w:shd w:val="clear" w:color="auto" w:fill="auto"/>
          </w:tcPr>
          <w:p w14:paraId="446A966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997" w:type="dxa"/>
            <w:tcBorders>
              <w:bottom w:val="single" w:color="auto" w:sz="4" w:space="0"/>
            </w:tcBorders>
            <w:shd w:val="clear" w:color="auto" w:fill="auto"/>
          </w:tcPr>
          <w:p w14:paraId="05ED2F5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0</w:t>
            </w:r>
          </w:p>
        </w:tc>
      </w:tr>
    </w:tbl>
    <w:p w14:paraId="1367D8A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T2WI: T2-weighted imaging; DWI: diffusion-weighted imaging; CE-T1WI</w:t>
      </w:r>
      <w:bookmarkStart w:id="0" w:name="OLE_LINK12"/>
      <w:r>
        <w:rPr>
          <w:rFonts w:hint="default" w:ascii="Times New Roman" w:hAnsi="Times New Roman" w:cs="Times New Roman"/>
          <w:sz w:val="20"/>
          <w:szCs w:val="20"/>
        </w:rPr>
        <w:t>: contrast-enhanced T1-weighted imaging</w:t>
      </w:r>
      <w:bookmarkEnd w:id="0"/>
      <w:r>
        <w:rPr>
          <w:rFonts w:hint="default" w:ascii="Times New Roman" w:hAnsi="Times New Roman" w:cs="Times New Roman"/>
          <w:sz w:val="20"/>
          <w:szCs w:val="20"/>
        </w:rPr>
        <w:t>; TR: repetition time; TE: echo time; FOV: field of views.</w:t>
      </w:r>
    </w:p>
    <w:p w14:paraId="7B41985D">
      <w:pPr>
        <w:rPr>
          <w:rFonts w:hint="default" w:ascii="Times New Roman" w:hAnsi="Times New Roman" w:cs="Times New Roman"/>
          <w:sz w:val="20"/>
          <w:szCs w:val="20"/>
        </w:rPr>
      </w:pPr>
      <w:r>
        <w:rPr>
          <w:rFonts w:hint="default" w:ascii="Times New Roman" w:hAnsi="Times New Roman" w:cs="Times New Roman"/>
          <w:sz w:val="20"/>
          <w:szCs w:val="20"/>
        </w:rPr>
        <w:br w:type="page"/>
      </w:r>
    </w:p>
    <w:p w14:paraId="610222F6">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b/>
          <w:bCs/>
          <w:sz w:val="20"/>
          <w:szCs w:val="20"/>
        </w:rPr>
        <w:t xml:space="preserve">Supplementary Table S2 </w:t>
      </w:r>
      <w:r>
        <w:rPr>
          <w:rFonts w:hint="default" w:ascii="Times New Roman" w:hAnsi="Times New Roman" w:cs="Times New Roman"/>
          <w:sz w:val="20"/>
          <w:szCs w:val="20"/>
        </w:rPr>
        <w:t>The mean SI on different sequences, as well as the volume and proportion of each habitat</w:t>
      </w:r>
      <w:bookmarkStart w:id="1" w:name="OLE_LINK8"/>
      <w:r>
        <w:rPr>
          <w:rFonts w:hint="default" w:ascii="Times New Roman" w:hAnsi="Times New Roman" w:cs="Times New Roman"/>
          <w:sz w:val="20"/>
          <w:szCs w:val="20"/>
        </w:rPr>
        <w:t>.</w:t>
      </w:r>
      <w:bookmarkEnd w:id="1"/>
    </w:p>
    <w:tbl>
      <w:tblPr>
        <w:tblStyle w:val="10"/>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9"/>
        <w:gridCol w:w="1560"/>
        <w:gridCol w:w="1559"/>
        <w:gridCol w:w="1559"/>
        <w:gridCol w:w="1134"/>
      </w:tblGrid>
      <w:tr w14:paraId="3A84BE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bottom w:val="single" w:color="auto" w:sz="4" w:space="0"/>
            </w:tcBorders>
          </w:tcPr>
          <w:p w14:paraId="253A91A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Feature</w:t>
            </w:r>
          </w:p>
        </w:tc>
        <w:tc>
          <w:tcPr>
            <w:tcW w:w="1560" w:type="dxa"/>
            <w:tcBorders>
              <w:bottom w:val="single" w:color="auto" w:sz="4" w:space="0"/>
            </w:tcBorders>
          </w:tcPr>
          <w:p w14:paraId="75F9CA53">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eastAsia="等线" w:cs="Times New Roman"/>
                <w:kern w:val="0"/>
                <w:sz w:val="20"/>
                <w:szCs w:val="20"/>
                <w:lang w:bidi="ar"/>
              </w:rPr>
              <w:t>Habitat 1</w:t>
            </w:r>
          </w:p>
        </w:tc>
        <w:tc>
          <w:tcPr>
            <w:tcW w:w="1559" w:type="dxa"/>
            <w:tcBorders>
              <w:bottom w:val="single" w:color="auto" w:sz="4" w:space="0"/>
            </w:tcBorders>
          </w:tcPr>
          <w:p w14:paraId="6FB32639">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eastAsia="等线" w:cs="Times New Roman"/>
                <w:kern w:val="0"/>
                <w:sz w:val="20"/>
                <w:szCs w:val="20"/>
                <w:lang w:bidi="ar"/>
              </w:rPr>
              <w:t>Habitat 2</w:t>
            </w:r>
          </w:p>
        </w:tc>
        <w:tc>
          <w:tcPr>
            <w:tcW w:w="1559" w:type="dxa"/>
            <w:tcBorders>
              <w:bottom w:val="single" w:color="auto" w:sz="4" w:space="0"/>
            </w:tcBorders>
          </w:tcPr>
          <w:p w14:paraId="01343A11">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eastAsia="等线" w:cs="Times New Roman"/>
                <w:kern w:val="0"/>
                <w:sz w:val="20"/>
                <w:szCs w:val="20"/>
                <w:lang w:bidi="ar"/>
              </w:rPr>
              <w:t>Habitat 3</w:t>
            </w:r>
          </w:p>
        </w:tc>
        <w:tc>
          <w:tcPr>
            <w:tcW w:w="1134" w:type="dxa"/>
            <w:tcBorders>
              <w:bottom w:val="single" w:color="auto" w:sz="4" w:space="0"/>
            </w:tcBorders>
          </w:tcPr>
          <w:p w14:paraId="7CDC390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eastAsia="等线" w:cs="Times New Roman"/>
                <w:kern w:val="0"/>
                <w:sz w:val="20"/>
                <w:szCs w:val="20"/>
                <w:lang w:bidi="ar"/>
              </w:rPr>
              <w:t>Habitat 4</w:t>
            </w:r>
          </w:p>
        </w:tc>
      </w:tr>
      <w:tr w14:paraId="3B1A99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tcBorders>
          </w:tcPr>
          <w:p w14:paraId="0823BD9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Style w:val="20"/>
                <w:rFonts w:hint="default" w:ascii="Times New Roman" w:hAnsi="Times New Roman" w:eastAsia="等线" w:cs="Times New Roman"/>
                <w:color w:val="auto"/>
                <w:sz w:val="20"/>
                <w:szCs w:val="20"/>
                <w:vertAlign w:val="baseline"/>
                <w:lang w:bidi="ar"/>
              </w:rPr>
              <w:t xml:space="preserve">T2WI </w:t>
            </w:r>
            <w:r>
              <w:rPr>
                <w:rFonts w:hint="default" w:ascii="Times New Roman" w:hAnsi="Times New Roman" w:eastAsia="等线" w:cs="Times New Roman"/>
                <w:kern w:val="0"/>
                <w:sz w:val="20"/>
                <w:szCs w:val="20"/>
                <w:lang w:bidi="ar"/>
              </w:rPr>
              <w:t>SI</w:t>
            </w:r>
          </w:p>
        </w:tc>
        <w:tc>
          <w:tcPr>
            <w:tcW w:w="1560" w:type="dxa"/>
            <w:tcBorders>
              <w:top w:val="single" w:color="auto" w:sz="4" w:space="0"/>
            </w:tcBorders>
            <w:vAlign w:val="center"/>
          </w:tcPr>
          <w:p w14:paraId="3DA5DD66">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614.9</w:t>
            </w:r>
          </w:p>
        </w:tc>
        <w:tc>
          <w:tcPr>
            <w:tcW w:w="1559" w:type="dxa"/>
            <w:tcBorders>
              <w:top w:val="single" w:color="auto" w:sz="4" w:space="0"/>
            </w:tcBorders>
            <w:vAlign w:val="center"/>
          </w:tcPr>
          <w:p w14:paraId="018A626A">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1001.3</w:t>
            </w:r>
          </w:p>
        </w:tc>
        <w:tc>
          <w:tcPr>
            <w:tcW w:w="1559" w:type="dxa"/>
            <w:tcBorders>
              <w:top w:val="single" w:color="auto" w:sz="4" w:space="0"/>
            </w:tcBorders>
            <w:vAlign w:val="center"/>
          </w:tcPr>
          <w:p w14:paraId="486B6EFA">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1019</w:t>
            </w:r>
          </w:p>
        </w:tc>
        <w:tc>
          <w:tcPr>
            <w:tcW w:w="1134" w:type="dxa"/>
            <w:tcBorders>
              <w:top w:val="single" w:color="auto" w:sz="4" w:space="0"/>
            </w:tcBorders>
            <w:vAlign w:val="center"/>
          </w:tcPr>
          <w:p w14:paraId="1980297C">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987.4</w:t>
            </w:r>
          </w:p>
        </w:tc>
      </w:tr>
      <w:tr w14:paraId="7E661B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40337C35">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Style w:val="20"/>
                <w:rFonts w:hint="default" w:ascii="Times New Roman" w:hAnsi="Times New Roman" w:eastAsia="等线" w:cs="Times New Roman"/>
                <w:color w:val="auto"/>
                <w:sz w:val="20"/>
                <w:szCs w:val="20"/>
                <w:vertAlign w:val="baseline"/>
                <w:lang w:bidi="ar"/>
              </w:rPr>
              <w:t xml:space="preserve">CE-T1WI </w:t>
            </w:r>
            <w:r>
              <w:rPr>
                <w:rFonts w:hint="default" w:ascii="Times New Roman" w:hAnsi="Times New Roman" w:eastAsia="等线" w:cs="Times New Roman"/>
                <w:kern w:val="0"/>
                <w:sz w:val="20"/>
                <w:szCs w:val="20"/>
                <w:lang w:bidi="ar"/>
              </w:rPr>
              <w:t>SI</w:t>
            </w:r>
          </w:p>
        </w:tc>
        <w:tc>
          <w:tcPr>
            <w:tcW w:w="1560" w:type="dxa"/>
            <w:vAlign w:val="center"/>
          </w:tcPr>
          <w:p w14:paraId="6A22F342">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621.3</w:t>
            </w:r>
          </w:p>
        </w:tc>
        <w:tc>
          <w:tcPr>
            <w:tcW w:w="1559" w:type="dxa"/>
            <w:vAlign w:val="center"/>
          </w:tcPr>
          <w:p w14:paraId="0EF30FF0">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1295.2</w:t>
            </w:r>
          </w:p>
        </w:tc>
        <w:tc>
          <w:tcPr>
            <w:tcW w:w="1559" w:type="dxa"/>
            <w:vAlign w:val="center"/>
          </w:tcPr>
          <w:p w14:paraId="56C6DEBB">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676.3</w:t>
            </w:r>
          </w:p>
        </w:tc>
        <w:tc>
          <w:tcPr>
            <w:tcW w:w="1134" w:type="dxa"/>
            <w:vAlign w:val="center"/>
          </w:tcPr>
          <w:p w14:paraId="190E7B38">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393.2</w:t>
            </w:r>
          </w:p>
        </w:tc>
      </w:tr>
      <w:tr w14:paraId="0AE4D2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598259C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Style w:val="20"/>
                <w:rFonts w:hint="default" w:ascii="Times New Roman" w:hAnsi="Times New Roman" w:eastAsia="等线" w:cs="Times New Roman"/>
                <w:color w:val="auto"/>
                <w:sz w:val="20"/>
                <w:szCs w:val="20"/>
                <w:vertAlign w:val="baseline"/>
                <w:lang w:bidi="ar"/>
              </w:rPr>
              <w:t>DWI SI</w:t>
            </w:r>
          </w:p>
        </w:tc>
        <w:tc>
          <w:tcPr>
            <w:tcW w:w="1560" w:type="dxa"/>
            <w:vAlign w:val="center"/>
          </w:tcPr>
          <w:p w14:paraId="62D5E876">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1015</w:t>
            </w:r>
          </w:p>
        </w:tc>
        <w:tc>
          <w:tcPr>
            <w:tcW w:w="1559" w:type="dxa"/>
            <w:vAlign w:val="center"/>
          </w:tcPr>
          <w:p w14:paraId="173FD7FE">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1232.9</w:t>
            </w:r>
          </w:p>
        </w:tc>
        <w:tc>
          <w:tcPr>
            <w:tcW w:w="1559" w:type="dxa"/>
            <w:vAlign w:val="center"/>
          </w:tcPr>
          <w:p w14:paraId="319B1D13">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545.7</w:t>
            </w:r>
          </w:p>
        </w:tc>
        <w:tc>
          <w:tcPr>
            <w:tcW w:w="1134" w:type="dxa"/>
            <w:vAlign w:val="center"/>
          </w:tcPr>
          <w:p w14:paraId="42866FCD">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2594.5</w:t>
            </w:r>
          </w:p>
        </w:tc>
      </w:tr>
      <w:tr w14:paraId="008FEE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2E50E4EA">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Style w:val="20"/>
                <w:rFonts w:hint="default" w:ascii="Times New Roman" w:hAnsi="Times New Roman" w:eastAsia="等线" w:cs="Times New Roman"/>
                <w:color w:val="auto"/>
                <w:sz w:val="20"/>
                <w:szCs w:val="20"/>
                <w:vertAlign w:val="baseline"/>
                <w:lang w:bidi="ar"/>
              </w:rPr>
              <w:t xml:space="preserve">ADC </w:t>
            </w:r>
            <w:r>
              <w:rPr>
                <w:rFonts w:hint="default" w:ascii="Times New Roman" w:hAnsi="Times New Roman" w:eastAsia="等线" w:cs="Times New Roman"/>
                <w:kern w:val="0"/>
                <w:sz w:val="20"/>
                <w:szCs w:val="20"/>
                <w:lang w:bidi="ar"/>
              </w:rPr>
              <w:t>SI</w:t>
            </w:r>
          </w:p>
        </w:tc>
        <w:tc>
          <w:tcPr>
            <w:tcW w:w="1560" w:type="dxa"/>
            <w:vAlign w:val="center"/>
          </w:tcPr>
          <w:p w14:paraId="6DA87597">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389.5</w:t>
            </w:r>
          </w:p>
        </w:tc>
        <w:tc>
          <w:tcPr>
            <w:tcW w:w="1559" w:type="dxa"/>
            <w:vAlign w:val="center"/>
          </w:tcPr>
          <w:p w14:paraId="5ADFEB63">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471.9</w:t>
            </w:r>
          </w:p>
        </w:tc>
        <w:tc>
          <w:tcPr>
            <w:tcW w:w="1559" w:type="dxa"/>
            <w:vAlign w:val="center"/>
          </w:tcPr>
          <w:p w14:paraId="0B346654">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1388.8</w:t>
            </w:r>
          </w:p>
        </w:tc>
        <w:tc>
          <w:tcPr>
            <w:tcW w:w="1134" w:type="dxa"/>
            <w:vAlign w:val="center"/>
          </w:tcPr>
          <w:p w14:paraId="371030B2">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310.7</w:t>
            </w:r>
          </w:p>
        </w:tc>
      </w:tr>
      <w:tr w14:paraId="6D001B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17DCC01D">
            <w:pPr>
              <w:keepNext w:val="0"/>
              <w:keepLines w:val="0"/>
              <w:pageBreakBefore w:val="0"/>
              <w:kinsoku/>
              <w:wordWrap/>
              <w:overflowPunct/>
              <w:topLinePunct w:val="0"/>
              <w:autoSpaceDE/>
              <w:autoSpaceDN/>
              <w:bidi w:val="0"/>
              <w:adjustRightInd/>
              <w:snapToGrid/>
              <w:spacing w:line="240" w:lineRule="auto"/>
              <w:rPr>
                <w:rStyle w:val="20"/>
                <w:rFonts w:hint="default" w:ascii="Times New Roman" w:hAnsi="Times New Roman" w:eastAsia="等线" w:cs="Times New Roman"/>
                <w:color w:val="auto"/>
                <w:sz w:val="20"/>
                <w:szCs w:val="20"/>
                <w:vertAlign w:val="baseline"/>
                <w:lang w:bidi="ar"/>
              </w:rPr>
            </w:pPr>
            <w:r>
              <w:rPr>
                <w:rFonts w:hint="default" w:ascii="Times New Roman" w:hAnsi="Times New Roman" w:eastAsia="等线" w:cs="Times New Roman"/>
                <w:kern w:val="0"/>
                <w:sz w:val="20"/>
                <w:szCs w:val="20"/>
                <w:lang w:bidi="ar"/>
              </w:rPr>
              <w:t>Volume (mm</w:t>
            </w:r>
            <w:r>
              <w:rPr>
                <w:rStyle w:val="21"/>
                <w:rFonts w:hint="default" w:ascii="Times New Roman" w:hAnsi="Times New Roman" w:eastAsia="等线" w:cs="Times New Roman"/>
                <w:color w:val="auto"/>
                <w:sz w:val="20"/>
                <w:szCs w:val="20"/>
                <w:lang w:bidi="ar"/>
              </w:rPr>
              <w:t>3</w:t>
            </w:r>
            <w:r>
              <w:rPr>
                <w:rStyle w:val="22"/>
                <w:rFonts w:hint="default" w:ascii="Times New Roman" w:hAnsi="Times New Roman" w:eastAsia="等线" w:cs="Times New Roman"/>
                <w:color w:val="auto"/>
                <w:sz w:val="20"/>
                <w:szCs w:val="20"/>
                <w:lang w:bidi="ar"/>
              </w:rPr>
              <w:t>)</w:t>
            </w:r>
          </w:p>
        </w:tc>
        <w:tc>
          <w:tcPr>
            <w:tcW w:w="1560" w:type="dxa"/>
            <w:vAlign w:val="center"/>
          </w:tcPr>
          <w:p w14:paraId="5154A54D">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85740.6</w:t>
            </w:r>
          </w:p>
        </w:tc>
        <w:tc>
          <w:tcPr>
            <w:tcW w:w="1559" w:type="dxa"/>
            <w:vAlign w:val="center"/>
          </w:tcPr>
          <w:p w14:paraId="6408A975">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18095.5</w:t>
            </w:r>
          </w:p>
        </w:tc>
        <w:tc>
          <w:tcPr>
            <w:tcW w:w="1559" w:type="dxa"/>
            <w:vAlign w:val="center"/>
          </w:tcPr>
          <w:p w14:paraId="155D17D8">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95659.7</w:t>
            </w:r>
          </w:p>
        </w:tc>
        <w:tc>
          <w:tcPr>
            <w:tcW w:w="1134" w:type="dxa"/>
            <w:vAlign w:val="center"/>
          </w:tcPr>
          <w:p w14:paraId="2B9E9873">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88287.9</w:t>
            </w:r>
          </w:p>
        </w:tc>
      </w:tr>
      <w:tr w14:paraId="241A53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515F75A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等线" w:cs="Times New Roman"/>
                <w:kern w:val="0"/>
                <w:sz w:val="20"/>
                <w:szCs w:val="20"/>
                <w:lang w:bidi="ar"/>
              </w:rPr>
            </w:pPr>
            <w:r>
              <w:rPr>
                <w:rFonts w:hint="default" w:ascii="Times New Roman" w:hAnsi="Times New Roman" w:eastAsia="等线" w:cs="Times New Roman"/>
                <w:kern w:val="0"/>
                <w:sz w:val="20"/>
                <w:szCs w:val="20"/>
                <w:lang w:bidi="ar"/>
              </w:rPr>
              <w:t>Proportion</w:t>
            </w:r>
          </w:p>
        </w:tc>
        <w:tc>
          <w:tcPr>
            <w:tcW w:w="1560" w:type="dxa"/>
            <w:vAlign w:val="center"/>
          </w:tcPr>
          <w:p w14:paraId="23D5D5F9">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34.7%</w:t>
            </w:r>
          </w:p>
        </w:tc>
        <w:tc>
          <w:tcPr>
            <w:tcW w:w="1559" w:type="dxa"/>
            <w:vAlign w:val="center"/>
          </w:tcPr>
          <w:p w14:paraId="4D9D170D">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9.2%</w:t>
            </w:r>
          </w:p>
        </w:tc>
        <w:tc>
          <w:tcPr>
            <w:tcW w:w="1559" w:type="dxa"/>
            <w:vAlign w:val="center"/>
          </w:tcPr>
          <w:p w14:paraId="6BE82009">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32.0%</w:t>
            </w:r>
          </w:p>
        </w:tc>
        <w:tc>
          <w:tcPr>
            <w:tcW w:w="1134" w:type="dxa"/>
            <w:vAlign w:val="center"/>
          </w:tcPr>
          <w:p w14:paraId="2ABC4CCA">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sz w:val="20"/>
                <w:szCs w:val="20"/>
              </w:rPr>
            </w:pPr>
            <w:r>
              <w:rPr>
                <w:rFonts w:hint="default" w:ascii="Times New Roman" w:hAnsi="Times New Roman" w:cs="Times New Roman"/>
                <w:color w:val="000000"/>
                <w:kern w:val="0"/>
                <w:sz w:val="20"/>
                <w:szCs w:val="20"/>
                <w:lang w:bidi="ar"/>
              </w:rPr>
              <w:t>24.1%</w:t>
            </w:r>
          </w:p>
        </w:tc>
      </w:tr>
    </w:tbl>
    <w:p w14:paraId="0C8FA85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SI: signal intensity; ADC: apparent diffusion coefficient.</w:t>
      </w:r>
    </w:p>
    <w:p w14:paraId="31EAC2E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P</w:t>
      </w:r>
      <w:r>
        <w:rPr>
          <w:rFonts w:hint="default" w:ascii="Times New Roman" w:hAnsi="Times New Roman" w:cs="Times New Roman"/>
          <w:sz w:val="20"/>
          <w:szCs w:val="20"/>
        </w:rPr>
        <w:t xml:space="preserve"> &lt; 0.05.</w:t>
      </w:r>
    </w:p>
    <w:p w14:paraId="18869652">
      <w:pPr>
        <w:rPr>
          <w:rFonts w:hint="default" w:ascii="Times New Roman" w:hAnsi="Times New Roman" w:cs="Times New Roman"/>
          <w:sz w:val="20"/>
          <w:szCs w:val="20"/>
        </w:rPr>
      </w:pPr>
      <w:r>
        <w:rPr>
          <w:rFonts w:hint="default" w:ascii="Times New Roman" w:hAnsi="Times New Roman" w:cs="Times New Roman"/>
          <w:sz w:val="20"/>
          <w:szCs w:val="20"/>
        </w:rPr>
        <w:br w:type="page"/>
      </w:r>
    </w:p>
    <w:p w14:paraId="7017207B">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b w:val="0"/>
          <w:bCs w:val="0"/>
          <w:i w:val="0"/>
          <w:iCs w:val="0"/>
          <w:sz w:val="20"/>
          <w:szCs w:val="20"/>
        </w:rPr>
      </w:pPr>
      <w:r>
        <w:rPr>
          <w:rFonts w:ascii="Times New Roman" w:hAnsi="Times New Roman"/>
          <w:b/>
          <w:bCs/>
          <w:sz w:val="20"/>
          <w:szCs w:val="20"/>
        </w:rPr>
        <w:t>Supplementary Note</w:t>
      </w:r>
      <w:r>
        <w:rPr>
          <w:rFonts w:hint="eastAsia" w:ascii="Times New Roman" w:hAnsi="Times New Roman"/>
          <w:b/>
          <w:bCs/>
          <w:sz w:val="20"/>
          <w:szCs w:val="20"/>
          <w:lang w:val="en-US" w:eastAsia="zh-CN"/>
        </w:rPr>
        <w:t xml:space="preserve"> </w:t>
      </w:r>
      <w:r>
        <w:rPr>
          <w:rFonts w:ascii="Times New Roman" w:hAnsi="Times New Roman"/>
          <w:b/>
          <w:bCs/>
          <w:sz w:val="20"/>
          <w:szCs w:val="20"/>
        </w:rPr>
        <w:t>1</w:t>
      </w:r>
      <w:r>
        <w:rPr>
          <w:rFonts w:hint="eastAsia" w:ascii="Times New Roman" w:hAnsi="Times New Roman"/>
          <w:b/>
          <w:bCs/>
          <w:sz w:val="20"/>
          <w:szCs w:val="20"/>
        </w:rPr>
        <w:t xml:space="preserve">: </w:t>
      </w:r>
      <w:r>
        <w:rPr>
          <w:rFonts w:hint="eastAsia" w:ascii="Times New Roman" w:hAnsi="Times New Roman"/>
          <w:b w:val="0"/>
          <w:bCs w:val="0"/>
          <w:i w:val="0"/>
          <w:iCs w:val="0"/>
          <w:sz w:val="20"/>
          <w:szCs w:val="20"/>
          <w:lang w:val="en-US" w:eastAsia="zh-CN"/>
        </w:rPr>
        <w:t>i</w:t>
      </w:r>
      <w:r>
        <w:rPr>
          <w:rFonts w:hint="eastAsia" w:ascii="Times New Roman" w:hAnsi="Times New Roman"/>
          <w:b w:val="0"/>
          <w:bCs w:val="0"/>
          <w:i w:val="0"/>
          <w:iCs w:val="0"/>
          <w:sz w:val="20"/>
          <w:szCs w:val="20"/>
        </w:rPr>
        <w:t>mage preprocessing and segmentation.</w:t>
      </w:r>
    </w:p>
    <w:p w14:paraId="30A83786">
      <w:pPr>
        <w:keepNext w:val="0"/>
        <w:keepLines w:val="0"/>
        <w:pageBreakBefore w:val="0"/>
        <w:widowControl w:val="0"/>
        <w:kinsoku/>
        <w:wordWrap/>
        <w:overflowPunct/>
        <w:topLinePunct w:val="0"/>
        <w:autoSpaceDE/>
        <w:autoSpaceDN/>
        <w:bidi w:val="0"/>
        <w:adjustRightInd/>
        <w:snapToGrid/>
        <w:spacing w:line="240" w:lineRule="auto"/>
        <w:ind w:firstLine="400" w:firstLineChars="200"/>
        <w:textAlignment w:val="auto"/>
        <w:rPr>
          <w:rFonts w:hint="eastAsia" w:ascii="Times New Roman" w:hAnsi="Times New Roman"/>
          <w:sz w:val="20"/>
          <w:szCs w:val="20"/>
        </w:rPr>
      </w:pPr>
      <w:r>
        <w:rPr>
          <w:rFonts w:hint="eastAsia" w:ascii="Times New Roman" w:hAnsi="Times New Roman"/>
          <w:sz w:val="20"/>
          <w:szCs w:val="20"/>
        </w:rPr>
        <w:t xml:space="preserve">Image preprocessing and segmentation were performed using 3D Slicer software (version 5.0.3, https://www.slicer.org/) and Python (version 3.7.12, https://www.python.org/). Preprocessing involved three key techniques: N4 bias field correction, resampling to isotropic voxels of 1 mm </w:t>
      </w:r>
      <w:r>
        <w:rPr>
          <w:rFonts w:hint="default" w:ascii="Times New Roman" w:hAnsi="Times New Roman" w:cs="Times New Roman"/>
          <w:sz w:val="20"/>
          <w:szCs w:val="20"/>
        </w:rPr>
        <w:t>× 1 mm ×</w:t>
      </w:r>
      <w:r>
        <w:rPr>
          <w:rFonts w:hint="eastAsia" w:ascii="Times New Roman" w:hAnsi="Times New Roman"/>
          <w:sz w:val="20"/>
          <w:szCs w:val="20"/>
        </w:rPr>
        <w:t xml:space="preserve"> 1 mm using B-spline interpolation, and spatial registration with the General Registration (Elastix) module. Two radiologists (Reader A with 9 years and Reader B with 12 years of experience in pelvic MRI) delineated the regions of interest for the lesions on T2WI</w:t>
      </w:r>
      <w:r>
        <w:rPr>
          <w:rFonts w:hint="default" w:ascii="Times New Roman" w:hAnsi="Times New Roman"/>
          <w:sz w:val="20"/>
          <w:szCs w:val="20"/>
        </w:rPr>
        <w:t xml:space="preserve"> after consensus with the other party</w:t>
      </w:r>
      <w:r>
        <w:rPr>
          <w:rFonts w:hint="eastAsia" w:ascii="Times New Roman" w:hAnsi="Times New Roman"/>
          <w:sz w:val="20"/>
          <w:szCs w:val="20"/>
        </w:rPr>
        <w:t>, working slice by slice to create the volumes of interest. To achieve precise delineation, the association between primary tumors and metastases was meticulously scrutinized through the analysis of multiplanar and multisequence MRI images. Additionally, surgical records and gross pathological findings were utilized as references.</w:t>
      </w:r>
    </w:p>
    <w:p w14:paraId="1350FCBC">
      <w:pPr>
        <w:rPr>
          <w:rFonts w:hint="eastAsia" w:ascii="Times New Roman" w:hAnsi="Times New Roman"/>
          <w:sz w:val="20"/>
          <w:szCs w:val="20"/>
        </w:rPr>
      </w:pPr>
    </w:p>
    <w:p w14:paraId="46C912DE">
      <w:pPr>
        <w:rPr>
          <w:rFonts w:hint="eastAsia" w:ascii="Times New Roman" w:hAnsi="Times New Roman"/>
          <w:sz w:val="20"/>
          <w:szCs w:val="20"/>
          <w:lang w:val="en-US" w:eastAsia="zh-CN"/>
        </w:rPr>
      </w:pPr>
      <w:r>
        <w:rPr>
          <w:rFonts w:ascii="Times New Roman" w:hAnsi="Times New Roman"/>
          <w:b/>
          <w:bCs/>
          <w:sz w:val="20"/>
          <w:szCs w:val="20"/>
        </w:rPr>
        <w:t>Supplementary Note</w:t>
      </w:r>
      <w:r>
        <w:rPr>
          <w:rFonts w:hint="eastAsia" w:ascii="Times New Roman" w:hAnsi="Times New Roman"/>
          <w:b/>
          <w:bCs/>
          <w:sz w:val="20"/>
          <w:szCs w:val="20"/>
          <w:lang w:val="en-US" w:eastAsia="zh-CN"/>
        </w:rPr>
        <w:t xml:space="preserve"> 2</w:t>
      </w:r>
      <w:r>
        <w:rPr>
          <w:rFonts w:hint="eastAsia" w:ascii="Times New Roman" w:hAnsi="Times New Roman"/>
          <w:b/>
          <w:bCs/>
          <w:sz w:val="20"/>
          <w:szCs w:val="20"/>
        </w:rPr>
        <w:t xml:space="preserve">: </w:t>
      </w:r>
      <w:r>
        <w:rPr>
          <w:rFonts w:hint="eastAsia" w:ascii="Times New Roman" w:hAnsi="Times New Roman"/>
          <w:sz w:val="20"/>
          <w:szCs w:val="20"/>
          <w:lang w:eastAsia="zh-CN"/>
        </w:rPr>
        <w:t>D</w:t>
      </w:r>
      <w:r>
        <w:rPr>
          <w:rFonts w:hint="eastAsia" w:ascii="Times New Roman" w:hAnsi="Times New Roman"/>
          <w:sz w:val="20"/>
          <w:szCs w:val="20"/>
        </w:rPr>
        <w:t>etails for K-means clustering</w:t>
      </w:r>
      <w:r>
        <w:rPr>
          <w:rFonts w:hint="eastAsia" w:ascii="Times New Roman" w:hAnsi="Times New Roman"/>
          <w:sz w:val="20"/>
          <w:szCs w:val="20"/>
          <w:lang w:val="en-US" w:eastAsia="zh-CN"/>
        </w:rPr>
        <w:t xml:space="preserve"> </w:t>
      </w:r>
      <w:r>
        <w:rPr>
          <w:rFonts w:hint="eastAsia" w:ascii="Times New Roman" w:hAnsi="Times New Roman" w:cs="Times New Roman"/>
          <w:sz w:val="20"/>
          <w:szCs w:val="20"/>
          <w:lang w:val="en-US" w:eastAsia="zh-CN"/>
        </w:rPr>
        <w:t xml:space="preserve">and </w:t>
      </w:r>
      <w:r>
        <w:rPr>
          <w:rFonts w:hint="default" w:ascii="Times New Roman" w:hAnsi="Times New Roman" w:cs="Times New Roman"/>
          <w:sz w:val="20"/>
          <w:szCs w:val="20"/>
        </w:rPr>
        <w:t>Calinski-Harabasz score</w:t>
      </w:r>
      <w:r>
        <w:rPr>
          <w:rFonts w:hint="eastAsia" w:ascii="Times New Roman" w:hAnsi="Times New Roman"/>
          <w:sz w:val="20"/>
          <w:szCs w:val="20"/>
          <w:lang w:val="en-US" w:eastAsia="zh-CN"/>
        </w:rPr>
        <w:t>.</w:t>
      </w:r>
    </w:p>
    <w:p w14:paraId="6BFDC863">
      <w:pPr>
        <w:ind w:firstLine="400" w:firstLineChars="200"/>
        <w:rPr>
          <w:rFonts w:hint="default" w:ascii="Times New Roman" w:hAnsi="Times New Roman" w:eastAsia="宋体"/>
          <w:b/>
          <w:bCs/>
          <w:sz w:val="20"/>
          <w:szCs w:val="20"/>
          <w:lang w:val="en-US" w:eastAsia="zh-CN"/>
        </w:rPr>
      </w:pPr>
      <w:r>
        <w:rPr>
          <w:rFonts w:hint="default" w:ascii="Times New Roman" w:hAnsi="Times New Roman" w:cs="Times New Roman"/>
          <w:sz w:val="20"/>
          <w:szCs w:val="20"/>
        </w:rPr>
        <w:t xml:space="preserve">First, each voxel in </w:t>
      </w:r>
      <w:r>
        <w:rPr>
          <w:rFonts w:hint="eastAsia" w:ascii="Times New Roman" w:hAnsi="Times New Roman" w:cs="Times New Roman"/>
          <w:sz w:val="20"/>
          <w:szCs w:val="20"/>
          <w:lang w:val="en-US" w:eastAsia="zh-CN"/>
        </w:rPr>
        <w:t>r</w:t>
      </w:r>
      <w:r>
        <w:rPr>
          <w:rFonts w:hint="default" w:ascii="Times New Roman" w:hAnsi="Times New Roman" w:cs="Times New Roman"/>
          <w:sz w:val="20"/>
          <w:szCs w:val="20"/>
        </w:rPr>
        <w:t xml:space="preserve">egion of </w:t>
      </w:r>
      <w:r>
        <w:rPr>
          <w:rFonts w:hint="eastAsia" w:ascii="Times New Roman" w:hAnsi="Times New Roman" w:cs="Times New Roman"/>
          <w:sz w:val="20"/>
          <w:szCs w:val="20"/>
          <w:lang w:val="en-US" w:eastAsia="zh-CN"/>
        </w:rPr>
        <w:t>i</w:t>
      </w:r>
      <w:r>
        <w:rPr>
          <w:rFonts w:hint="default" w:ascii="Times New Roman" w:hAnsi="Times New Roman" w:cs="Times New Roman"/>
          <w:sz w:val="20"/>
          <w:szCs w:val="20"/>
        </w:rPr>
        <w:t xml:space="preserve">nterest on T2WI, DWI, ADC and CE-T1WI </w:t>
      </w:r>
      <w:r>
        <w:rPr>
          <w:rFonts w:hint="eastAsia" w:ascii="Times New Roman" w:hAnsi="Times New Roman" w:cs="Times New Roman"/>
          <w:sz w:val="20"/>
          <w:szCs w:val="20"/>
          <w:lang w:val="en-US" w:eastAsia="zh-CN"/>
        </w:rPr>
        <w:t>wa</w:t>
      </w:r>
      <w:r>
        <w:rPr>
          <w:rFonts w:hint="default" w:ascii="Times New Roman" w:hAnsi="Times New Roman" w:cs="Times New Roman"/>
          <w:sz w:val="20"/>
          <w:szCs w:val="20"/>
        </w:rPr>
        <w:t>s represented by a four-dimensional feature vector to form a dataset for clustering.</w:t>
      </w:r>
      <w:r>
        <w:rPr>
          <w:rFonts w:hint="eastAsia" w:ascii="Times New Roman" w:hAnsi="Times New Roman" w:cs="Times New Roman"/>
          <w:sz w:val="20"/>
          <w:szCs w:val="20"/>
          <w:lang w:val="en-US" w:eastAsia="zh-CN"/>
        </w:rPr>
        <w:t xml:space="preserve"> Then, </w:t>
      </w:r>
      <w:r>
        <w:rPr>
          <w:rFonts w:hint="eastAsia" w:ascii="Times New Roman" w:hAnsi="Times New Roman"/>
          <w:sz w:val="20"/>
          <w:szCs w:val="20"/>
        </w:rPr>
        <w:t xml:space="preserve">K-means algorithm </w:t>
      </w:r>
      <w:r>
        <w:rPr>
          <w:rFonts w:hint="eastAsia" w:ascii="Times New Roman" w:hAnsi="Times New Roman"/>
          <w:sz w:val="20"/>
          <w:szCs w:val="20"/>
          <w:lang w:eastAsia="zh-CN"/>
        </w:rPr>
        <w:t>classifie</w:t>
      </w:r>
      <w:r>
        <w:rPr>
          <w:rFonts w:hint="eastAsia" w:ascii="Times New Roman" w:hAnsi="Times New Roman"/>
          <w:sz w:val="20"/>
          <w:szCs w:val="20"/>
          <w:lang w:val="en-US" w:eastAsia="zh-CN"/>
        </w:rPr>
        <w:t>d</w:t>
      </w:r>
      <w:r>
        <w:rPr>
          <w:rFonts w:hint="eastAsia" w:ascii="Times New Roman" w:hAnsi="Times New Roman"/>
          <w:sz w:val="20"/>
          <w:szCs w:val="20"/>
          <w:lang w:eastAsia="zh-CN"/>
        </w:rPr>
        <w:t xml:space="preserve"> tumors into 2 to 10 habitats by clustering these features. The algorithm functions by dividing the dataset into 2 to 10 unique clusters and progressively refining the centroids of these clusters in order to reduce the cumulative squared distances within each cluster.</w:t>
      </w:r>
      <w:r>
        <w:rPr>
          <w:rFonts w:hint="eastAsia" w:ascii="Times New Roman" w:hAnsi="Times New Roman"/>
          <w:sz w:val="20"/>
          <w:szCs w:val="20"/>
          <w:lang w:val="en-US" w:eastAsia="zh-CN"/>
        </w:rPr>
        <w:t xml:space="preserve"> After clustering, sub-regions with the same </w:t>
      </w:r>
      <w:r>
        <w:rPr>
          <w:rFonts w:hint="eastAsia" w:ascii="Times New Roman" w:hAnsi="Times New Roman"/>
          <w:sz w:val="20"/>
          <w:szCs w:val="20"/>
          <w:lang w:eastAsia="zh-CN"/>
        </w:rPr>
        <w:t>features</w:t>
      </w:r>
      <w:r>
        <w:rPr>
          <w:rFonts w:hint="eastAsia" w:ascii="Times New Roman" w:hAnsi="Times New Roman"/>
          <w:sz w:val="20"/>
          <w:szCs w:val="20"/>
          <w:lang w:val="en-US" w:eastAsia="zh-CN"/>
        </w:rPr>
        <w:t xml:space="preserve"> were merged into different habitats. </w:t>
      </w:r>
      <w:r>
        <w:rPr>
          <w:rFonts w:hint="eastAsia" w:ascii="Times New Roman" w:hAnsi="Times New Roman"/>
          <w:sz w:val="20"/>
          <w:szCs w:val="20"/>
          <w:lang w:eastAsia="zh-CN"/>
        </w:rPr>
        <w:t xml:space="preserve">According to the Calinski-Harabasz score, the clustering performance under each cluster number </w:t>
      </w:r>
      <w:r>
        <w:rPr>
          <w:rFonts w:hint="eastAsia" w:ascii="Times New Roman" w:hAnsi="Times New Roman"/>
          <w:sz w:val="20"/>
          <w:szCs w:val="20"/>
          <w:lang w:val="en-US" w:eastAsia="zh-CN"/>
        </w:rPr>
        <w:t>(</w:t>
      </w:r>
      <w:r>
        <w:rPr>
          <w:rFonts w:hint="eastAsia" w:ascii="Times New Roman" w:hAnsi="Times New Roman"/>
          <w:sz w:val="20"/>
          <w:szCs w:val="20"/>
          <w:lang w:eastAsia="zh-CN"/>
        </w:rPr>
        <w:t>2 to 10</w:t>
      </w:r>
      <w:r>
        <w:rPr>
          <w:rFonts w:hint="eastAsia" w:ascii="Times New Roman" w:hAnsi="Times New Roman"/>
          <w:sz w:val="20"/>
          <w:szCs w:val="20"/>
          <w:lang w:val="en-US" w:eastAsia="zh-CN"/>
        </w:rPr>
        <w:t xml:space="preserve">) </w:t>
      </w:r>
      <w:r>
        <w:rPr>
          <w:rFonts w:hint="eastAsia" w:ascii="Times New Roman" w:hAnsi="Times New Roman"/>
          <w:sz w:val="20"/>
          <w:szCs w:val="20"/>
          <w:lang w:eastAsia="zh-CN"/>
        </w:rPr>
        <w:t>was assessed. We chose</w:t>
      </w:r>
      <w:r>
        <w:rPr>
          <w:rFonts w:hint="eastAsia" w:ascii="Times New Roman" w:hAnsi="Times New Roman"/>
          <w:sz w:val="20"/>
          <w:szCs w:val="20"/>
          <w:lang w:val="en-US" w:eastAsia="zh-CN"/>
        </w:rPr>
        <w:t>d</w:t>
      </w:r>
      <w:r>
        <w:rPr>
          <w:rFonts w:hint="eastAsia" w:ascii="Times New Roman" w:hAnsi="Times New Roman"/>
          <w:sz w:val="20"/>
          <w:szCs w:val="20"/>
          <w:lang w:eastAsia="zh-CN"/>
        </w:rPr>
        <w:t xml:space="preserve"> the cluster number with the highest scores to ensure that there were significant differences between different habitat sub</w:t>
      </w:r>
      <w:r>
        <w:rPr>
          <w:rFonts w:hint="eastAsia" w:ascii="Times New Roman" w:hAnsi="Times New Roman"/>
          <w:sz w:val="20"/>
          <w:szCs w:val="20"/>
          <w:lang w:val="en-US" w:eastAsia="zh-CN"/>
        </w:rPr>
        <w:t>-</w:t>
      </w:r>
      <w:r>
        <w:rPr>
          <w:rFonts w:hint="eastAsia" w:ascii="Times New Roman" w:hAnsi="Times New Roman"/>
          <w:sz w:val="20"/>
          <w:szCs w:val="20"/>
          <w:lang w:eastAsia="zh-CN"/>
        </w:rPr>
        <w:t>regions.</w:t>
      </w:r>
      <w:r>
        <w:rPr>
          <w:rFonts w:hint="eastAsia" w:ascii="Times New Roman" w:hAnsi="Times New Roman"/>
          <w:sz w:val="20"/>
          <w:szCs w:val="20"/>
          <w:lang w:val="en-US" w:eastAsia="zh-CN"/>
        </w:rPr>
        <w:t xml:space="preserve"> </w:t>
      </w:r>
    </w:p>
    <w:p w14:paraId="5C221B6A">
      <w:pPr>
        <w:rPr>
          <w:rFonts w:ascii="Times New Roman" w:hAnsi="Times New Roman"/>
          <w:b/>
          <w:bCs/>
          <w:sz w:val="20"/>
          <w:szCs w:val="20"/>
        </w:rPr>
      </w:pPr>
    </w:p>
    <w:p w14:paraId="630C9B5C">
      <w:pPr>
        <w:rPr>
          <w:rFonts w:hint="eastAsia" w:ascii="Times New Roman" w:hAnsi="Times New Roman"/>
          <w:sz w:val="20"/>
          <w:szCs w:val="20"/>
          <w:lang w:val="en-US" w:eastAsia="zh-CN"/>
        </w:rPr>
      </w:pPr>
      <w:r>
        <w:rPr>
          <w:rFonts w:ascii="Times New Roman" w:hAnsi="Times New Roman"/>
          <w:b/>
          <w:bCs/>
          <w:sz w:val="20"/>
          <w:szCs w:val="20"/>
        </w:rPr>
        <w:t>Supplementary Note</w:t>
      </w:r>
      <w:r>
        <w:rPr>
          <w:rFonts w:hint="eastAsia" w:ascii="Times New Roman" w:hAnsi="Times New Roman"/>
          <w:b/>
          <w:bCs/>
          <w:sz w:val="20"/>
          <w:szCs w:val="20"/>
          <w:lang w:val="en-US" w:eastAsia="zh-CN"/>
        </w:rPr>
        <w:t xml:space="preserve"> 3</w:t>
      </w:r>
      <w:r>
        <w:rPr>
          <w:rFonts w:hint="eastAsia" w:ascii="Times New Roman" w:hAnsi="Times New Roman"/>
          <w:b/>
          <w:bCs/>
          <w:sz w:val="20"/>
          <w:szCs w:val="20"/>
        </w:rPr>
        <w:t xml:space="preserve">: </w:t>
      </w:r>
      <w:r>
        <w:rPr>
          <w:rFonts w:hint="eastAsia" w:ascii="Times New Roman" w:hAnsi="Times New Roman"/>
          <w:sz w:val="20"/>
          <w:szCs w:val="20"/>
        </w:rPr>
        <w:t>Feature extraction and selection</w:t>
      </w:r>
      <w:r>
        <w:rPr>
          <w:rFonts w:hint="eastAsia" w:ascii="Times New Roman" w:hAnsi="Times New Roman"/>
          <w:sz w:val="20"/>
          <w:szCs w:val="20"/>
          <w:lang w:val="en-US" w:eastAsia="zh-CN"/>
        </w:rPr>
        <w:t>.</w:t>
      </w:r>
    </w:p>
    <w:p w14:paraId="56D5D845">
      <w:pPr>
        <w:keepNext w:val="0"/>
        <w:keepLines w:val="0"/>
        <w:pageBreakBefore w:val="0"/>
        <w:widowControl w:val="0"/>
        <w:kinsoku/>
        <w:wordWrap/>
        <w:overflowPunct/>
        <w:topLinePunct w:val="0"/>
        <w:autoSpaceDE/>
        <w:autoSpaceDN/>
        <w:bidi w:val="0"/>
        <w:snapToGrid/>
        <w:spacing w:line="240" w:lineRule="auto"/>
        <w:ind w:firstLine="400" w:firstLineChars="200"/>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The habitat radiomics features were extracted from each sub-region using Pyradiomics (https://pypi.org/project/pyradiomics/), and the majority complied with the Imaging Biomarker Standardization Initiative. The handcrafted features were categorized into geometry, intensity, and texture groups. As habitat characterization relied on unsupervised clustering algorithms, we employed the K-nearest neighbors approach to allocate labels to previously unclustered areas, thereby ensuring consistency within the defined habitat regions. Upon feature standardization using the Z-score, we used Pearson's correlation coefficient to identify redundant features. For features with a correlation coefficient exceeding 0.9, only one feature was retained. </w:t>
      </w:r>
    </w:p>
    <w:p w14:paraId="2D74BD86">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bCs/>
          <w:sz w:val="20"/>
          <w:szCs w:val="20"/>
        </w:rPr>
      </w:pPr>
      <w:r>
        <w:rPr>
          <w:rFonts w:hint="default" w:ascii="Times New Roman" w:hAnsi="Times New Roman" w:cs="Times New Roman"/>
          <w:sz w:val="20"/>
          <w:szCs w:val="20"/>
        </w:rPr>
        <w:br w:type="page"/>
      </w:r>
    </w:p>
    <w:tbl>
      <w:tblPr>
        <w:tblStyle w:val="10"/>
        <w:tblpPr w:leftFromText="180" w:rightFromText="180" w:vertAnchor="text" w:horzAnchor="page" w:tblpX="1807" w:tblpY="30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48FE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010779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drawing>
                <wp:inline distT="0" distB="0" distL="114300" distR="114300">
                  <wp:extent cx="5272405" cy="2317750"/>
                  <wp:effectExtent l="0" t="0" r="63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2405" cy="2317750"/>
                          </a:xfrm>
                          <a:prstGeom prst="rect">
                            <a:avLst/>
                          </a:prstGeom>
                          <a:noFill/>
                          <a:ln>
                            <a:noFill/>
                          </a:ln>
                        </pic:spPr>
                      </pic:pic>
                    </a:graphicData>
                  </a:graphic>
                </wp:inline>
              </w:drawing>
            </w:r>
          </w:p>
        </w:tc>
      </w:tr>
      <w:tr w14:paraId="2C299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DD3BF38">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sz w:val="20"/>
                <w:szCs w:val="20"/>
                <w:lang w:val="en-US" w:eastAsia="zh-CN"/>
              </w:rPr>
            </w:pPr>
            <w:r>
              <w:rPr>
                <w:rFonts w:hint="default" w:ascii="Times New Roman" w:hAnsi="Times New Roman" w:cs="Times New Roman"/>
                <w:b/>
                <w:bCs/>
                <w:sz w:val="20"/>
                <w:szCs w:val="20"/>
              </w:rPr>
              <w:t>Supplementary Figure S</w:t>
            </w:r>
            <w:r>
              <w:rPr>
                <w:rFonts w:hint="eastAsia" w:ascii="Times New Roman" w:hAnsi="Times New Roman" w:cs="Times New Roman"/>
                <w:b/>
                <w:bCs/>
                <w:sz w:val="20"/>
                <w:szCs w:val="20"/>
                <w:lang w:val="en-US" w:eastAsia="zh-CN"/>
              </w:rPr>
              <w:t>1</w:t>
            </w:r>
            <w:r>
              <w:rPr>
                <w:rFonts w:hint="default" w:ascii="Times New Roman" w:hAnsi="Times New Roman" w:cs="Times New Roman"/>
                <w:b/>
                <w:bCs/>
                <w:sz w:val="20"/>
                <w:szCs w:val="20"/>
              </w:rPr>
              <w:t xml:space="preserve">. </w:t>
            </w:r>
            <w:r>
              <w:rPr>
                <w:rFonts w:hint="default" w:ascii="Times New Roman" w:hAnsi="Times New Roman"/>
                <w:b w:val="0"/>
                <w:bCs w:val="0"/>
                <w:sz w:val="20"/>
                <w:szCs w:val="20"/>
              </w:rPr>
              <w:t xml:space="preserve">Habitat imaging based on </w:t>
            </w:r>
            <w:r>
              <w:rPr>
                <w:rFonts w:hint="default" w:ascii="Times New Roman" w:hAnsi="Times New Roman"/>
                <w:sz w:val="20"/>
                <w:szCs w:val="20"/>
              </w:rPr>
              <w:t>multiparametric</w:t>
            </w:r>
            <w:r>
              <w:rPr>
                <w:rFonts w:hint="default" w:ascii="Times New Roman" w:hAnsi="Times New Roman"/>
                <w:b w:val="0"/>
                <w:bCs w:val="0"/>
                <w:sz w:val="20"/>
                <w:szCs w:val="20"/>
              </w:rPr>
              <w:t xml:space="preserve"> MRI</w:t>
            </w:r>
            <w:r>
              <w:rPr>
                <w:rFonts w:hint="eastAsia" w:ascii="Times New Roman" w:hAnsi="Times New Roman"/>
                <w:b w:val="0"/>
                <w:bCs w:val="0"/>
                <w:sz w:val="20"/>
                <w:szCs w:val="20"/>
                <w:lang w:val="en-US" w:eastAsia="zh-CN"/>
              </w:rPr>
              <w:t xml:space="preserve">. </w:t>
            </w:r>
            <w:r>
              <w:rPr>
                <w:rFonts w:hint="eastAsia" w:ascii="Times New Roman" w:hAnsi="Times New Roman"/>
                <w:sz w:val="20"/>
                <w:szCs w:val="20"/>
              </w:rPr>
              <w:t>Habitat 1,</w:t>
            </w:r>
            <w:r>
              <w:rPr>
                <w:rFonts w:hint="eastAsia" w:ascii="Times New Roman" w:hAnsi="Times New Roman"/>
                <w:sz w:val="20"/>
                <w:szCs w:val="20"/>
                <w:lang w:val="en-US" w:eastAsia="zh-CN"/>
              </w:rPr>
              <w:t xml:space="preserve"> </w:t>
            </w:r>
            <w:r>
              <w:rPr>
                <w:rFonts w:hint="eastAsia" w:ascii="Times New Roman" w:hAnsi="Times New Roman"/>
                <w:sz w:val="20"/>
                <w:szCs w:val="20"/>
              </w:rPr>
              <w:t>2,</w:t>
            </w:r>
            <w:r>
              <w:rPr>
                <w:rFonts w:hint="eastAsia" w:ascii="Times New Roman" w:hAnsi="Times New Roman"/>
                <w:sz w:val="20"/>
                <w:szCs w:val="20"/>
                <w:lang w:val="en-US" w:eastAsia="zh-CN"/>
              </w:rPr>
              <w:t xml:space="preserve"> </w:t>
            </w:r>
            <w:r>
              <w:rPr>
                <w:rFonts w:hint="eastAsia" w:ascii="Times New Roman" w:hAnsi="Times New Roman"/>
                <w:sz w:val="20"/>
                <w:szCs w:val="20"/>
              </w:rPr>
              <w:t>3, and 4 are represented by red, green, yellow, and blue areas, respectively</w:t>
            </w:r>
            <w:r>
              <w:rPr>
                <w:rFonts w:hint="eastAsia" w:ascii="Times New Roman" w:hAnsi="Times New Roman"/>
                <w:sz w:val="20"/>
                <w:szCs w:val="20"/>
                <w:lang w:val="en-US" w:eastAsia="zh-CN"/>
              </w:rPr>
              <w:t xml:space="preserve">. </w:t>
            </w:r>
            <w:r>
              <w:rPr>
                <w:rFonts w:hint="eastAsia" w:ascii="Times New Roman" w:hAnsi="Times New Roman"/>
                <w:sz w:val="20"/>
                <w:szCs w:val="20"/>
              </w:rPr>
              <w:t>Habitat 1 and 2 are dominated by solid components, while Habitat 3 and 4 are dominated by cystic components.</w:t>
            </w:r>
          </w:p>
        </w:tc>
      </w:tr>
    </w:tbl>
    <w:p w14:paraId="4E18690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p w14:paraId="64448DAB">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8522"/>
      </w:tblGrid>
      <w:tr w14:paraId="063B4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tcPr>
          <w:p w14:paraId="4C30ED9B">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0"/>
                <w:szCs w:val="20"/>
                <w:vertAlign w:val="baseline"/>
                <w:lang w:eastAsia="zh-CN"/>
              </w:rPr>
            </w:pPr>
            <w:r>
              <w:rPr>
                <w:rFonts w:hint="eastAsia" w:ascii="Times New Roman" w:hAnsi="Times New Roman" w:eastAsia="宋体" w:cs="Times New Roman"/>
                <w:sz w:val="20"/>
                <w:szCs w:val="20"/>
                <w:vertAlign w:val="baseline"/>
                <w:lang w:eastAsia="zh-CN"/>
              </w:rPr>
              <w:drawing>
                <wp:inline distT="0" distB="0" distL="114300" distR="114300">
                  <wp:extent cx="5217160" cy="4090035"/>
                  <wp:effectExtent l="0" t="0" r="10160" b="9525"/>
                  <wp:docPr id="5" name="图片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2"/>
                          <pic:cNvPicPr>
                            <a:picLocks noChangeAspect="1"/>
                          </pic:cNvPicPr>
                        </pic:nvPicPr>
                        <pic:blipFill>
                          <a:blip r:embed="rId6"/>
                          <a:stretch>
                            <a:fillRect/>
                          </a:stretch>
                        </pic:blipFill>
                        <pic:spPr>
                          <a:xfrm>
                            <a:off x="0" y="0"/>
                            <a:ext cx="5217160" cy="4090035"/>
                          </a:xfrm>
                          <a:prstGeom prst="rect">
                            <a:avLst/>
                          </a:prstGeom>
                        </pic:spPr>
                      </pic:pic>
                    </a:graphicData>
                  </a:graphic>
                </wp:inline>
              </w:drawing>
            </w:r>
          </w:p>
        </w:tc>
      </w:tr>
      <w:tr w14:paraId="04376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8522" w:type="dxa"/>
          </w:tcPr>
          <w:p w14:paraId="701079E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vertAlign w:val="baseline"/>
              </w:rPr>
            </w:pPr>
            <w:r>
              <w:rPr>
                <w:rFonts w:hint="default" w:ascii="Times New Roman" w:hAnsi="Times New Roman" w:cs="Times New Roman"/>
                <w:b/>
                <w:bCs/>
                <w:sz w:val="20"/>
                <w:szCs w:val="20"/>
              </w:rPr>
              <w:t>Supplementary Figure S</w:t>
            </w:r>
            <w:r>
              <w:rPr>
                <w:rFonts w:hint="eastAsia" w:ascii="Times New Roman" w:hAnsi="Times New Roman" w:cs="Times New Roman"/>
                <w:b/>
                <w:bCs/>
                <w:sz w:val="20"/>
                <w:szCs w:val="20"/>
                <w:lang w:val="en-US" w:eastAsia="zh-CN"/>
              </w:rPr>
              <w:t>2</w:t>
            </w:r>
            <w:r>
              <w:rPr>
                <w:rFonts w:hint="default" w:ascii="Times New Roman" w:hAnsi="Times New Roman" w:cs="Times New Roman"/>
                <w:b/>
                <w:bCs/>
                <w:sz w:val="20"/>
                <w:szCs w:val="20"/>
              </w:rPr>
              <w:t>.</w:t>
            </w:r>
            <w:r>
              <w:rPr>
                <w:rFonts w:hint="default" w:ascii="Times New Roman" w:hAnsi="Times New Roman" w:cs="Times New Roman"/>
                <w:sz w:val="20"/>
                <w:szCs w:val="20"/>
                <w:vertAlign w:val="baseline"/>
              </w:rPr>
              <w:t xml:space="preserve"> LASSO-Cox regression. The cross-validation plot (a and c) and coefficient profile plot (b and d). LASSO-Cox was used for feature reduction, which eliminated irrelevant features by zeroing coefficients based on λ (OS: 0.077; PFS: 0.086), and optimized by 10-fold cross-validation. LASSO: least absolute shrinkage and selection operator; OS: overall survival; PFS: progression-free survival.</w:t>
            </w:r>
          </w:p>
        </w:tc>
      </w:tr>
      <w:tr w14:paraId="7CCF1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2C2B9C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vertAlign w:val="baseline"/>
              </w:rPr>
            </w:pPr>
            <w:r>
              <w:rPr>
                <w:rFonts w:hint="default" w:ascii="Times New Roman" w:hAnsi="Times New Roman" w:cs="Times New Roman"/>
                <w:sz w:val="20"/>
                <w:szCs w:val="20"/>
              </w:rPr>
              <w:drawing>
                <wp:inline distT="0" distB="0" distL="114300" distR="114300">
                  <wp:extent cx="4846320" cy="3606800"/>
                  <wp:effectExtent l="0" t="0" r="0" b="5080"/>
                  <wp:docPr id="19" name="图片 18" descr="Habitat-OS_feature_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Habitat-OS_feature_weights"/>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4846320" cy="3606800"/>
                          </a:xfrm>
                          <a:prstGeom prst="rect">
                            <a:avLst/>
                          </a:prstGeom>
                        </pic:spPr>
                      </pic:pic>
                    </a:graphicData>
                  </a:graphic>
                </wp:inline>
              </w:drawing>
            </w:r>
          </w:p>
        </w:tc>
      </w:tr>
      <w:tr w14:paraId="366B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59C7ED2">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vertAlign w:val="baseline"/>
              </w:rPr>
            </w:pPr>
            <w:bookmarkStart w:id="2" w:name="OLE_LINK110"/>
            <w:r>
              <w:rPr>
                <w:rFonts w:hint="default" w:ascii="Times New Roman" w:hAnsi="Times New Roman" w:cs="Times New Roman"/>
                <w:b/>
                <w:bCs/>
                <w:sz w:val="20"/>
                <w:szCs w:val="20"/>
              </w:rPr>
              <w:t xml:space="preserve">Supplementary </w:t>
            </w:r>
            <w:bookmarkEnd w:id="2"/>
            <w:r>
              <w:rPr>
                <w:rFonts w:hint="default" w:ascii="Times New Roman" w:hAnsi="Times New Roman" w:cs="Times New Roman"/>
                <w:b/>
                <w:bCs/>
                <w:sz w:val="20"/>
                <w:szCs w:val="20"/>
              </w:rPr>
              <w:t>Figure S</w:t>
            </w:r>
            <w:r>
              <w:rPr>
                <w:rFonts w:hint="eastAsia" w:ascii="Times New Roman" w:hAnsi="Times New Roman" w:cs="Times New Roman"/>
                <w:b/>
                <w:bCs/>
                <w:sz w:val="20"/>
                <w:szCs w:val="20"/>
                <w:lang w:val="en-US" w:eastAsia="zh-CN"/>
              </w:rPr>
              <w:t>3</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 xml:space="preserve">Bar chart of feature weight for overall survival (OS). </w:t>
            </w:r>
            <w:r>
              <w:rPr>
                <w:rFonts w:hint="eastAsia" w:ascii="Times New Roman" w:hAnsi="Times New Roman" w:cs="Times New Roman"/>
                <w:sz w:val="20"/>
                <w:szCs w:val="20"/>
                <w:lang w:val="en-US" w:eastAsia="zh-CN"/>
              </w:rPr>
              <w:t>T</w:t>
            </w:r>
            <w:r>
              <w:rPr>
                <w:rFonts w:hint="default" w:ascii="Times New Roman" w:hAnsi="Times New Roman" w:cs="Times New Roman"/>
                <w:sz w:val="20"/>
                <w:szCs w:val="20"/>
              </w:rPr>
              <w:t xml:space="preserve">he top two features that contributed the most </w:t>
            </w:r>
            <w:r>
              <w:rPr>
                <w:rFonts w:hint="eastAsia" w:ascii="Times New Roman" w:hAnsi="Times New Roman" w:cs="Times New Roman"/>
                <w:sz w:val="20"/>
                <w:szCs w:val="20"/>
                <w:lang w:val="en-US" w:eastAsia="zh-CN"/>
              </w:rPr>
              <w:t>are</w:t>
            </w:r>
            <w:r>
              <w:rPr>
                <w:rFonts w:hint="default" w:ascii="Times New Roman" w:hAnsi="Times New Roman" w:cs="Times New Roman"/>
                <w:sz w:val="20"/>
                <w:szCs w:val="20"/>
              </w:rPr>
              <w:t xml:space="preserve"> both from </w:t>
            </w:r>
            <w:r>
              <w:rPr>
                <w:rFonts w:hint="eastAsia" w:ascii="Times New Roman" w:hAnsi="Times New Roman" w:cs="Times New Roman"/>
                <w:sz w:val="20"/>
                <w:szCs w:val="20"/>
                <w:lang w:val="en-US" w:eastAsia="zh-CN"/>
              </w:rPr>
              <w:t>H</w:t>
            </w:r>
            <w:r>
              <w:rPr>
                <w:rFonts w:hint="default" w:ascii="Times New Roman" w:hAnsi="Times New Roman" w:cs="Times New Roman"/>
                <w:sz w:val="20"/>
                <w:szCs w:val="20"/>
              </w:rPr>
              <w:t>abitat 2 on DWI and ADC maps</w:t>
            </w:r>
            <w:r>
              <w:rPr>
                <w:rFonts w:hint="eastAsia" w:ascii="Times New Roman" w:hAnsi="Times New Roman" w:cs="Times New Roman"/>
                <w:sz w:val="20"/>
                <w:szCs w:val="20"/>
                <w:lang w:val="en-US" w:eastAsia="zh-CN"/>
              </w:rPr>
              <w:t>.</w:t>
            </w:r>
          </w:p>
        </w:tc>
      </w:tr>
    </w:tbl>
    <w:tbl>
      <w:tblPr>
        <w:tblStyle w:val="10"/>
        <w:tblpPr w:leftFromText="180" w:rightFromText="180" w:vertAnchor="text" w:horzAnchor="page" w:tblpX="1784" w:tblpY="42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B3F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30FE4F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4937125" cy="3740150"/>
                  <wp:effectExtent l="0" t="0" r="635" b="8890"/>
                  <wp:docPr id="3" name="图片 6" descr="Habitat-PFS_feature_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Habitat-PFS_feature_weights"/>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4937125" cy="3740150"/>
                          </a:xfrm>
                          <a:prstGeom prst="rect">
                            <a:avLst/>
                          </a:prstGeom>
                        </pic:spPr>
                      </pic:pic>
                    </a:graphicData>
                  </a:graphic>
                </wp:inline>
              </w:drawing>
            </w:r>
          </w:p>
        </w:tc>
      </w:tr>
      <w:tr w14:paraId="7A296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14:paraId="2097C8A8">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s="Times New Roman"/>
                <w:b/>
                <w:bCs/>
                <w:sz w:val="20"/>
                <w:szCs w:val="20"/>
                <w:lang w:val="en-US" w:eastAsia="zh-CN"/>
              </w:rPr>
            </w:pPr>
            <w:r>
              <w:rPr>
                <w:rFonts w:hint="default" w:ascii="Times New Roman" w:hAnsi="Times New Roman" w:cs="Times New Roman"/>
                <w:b/>
                <w:bCs/>
                <w:sz w:val="20"/>
                <w:szCs w:val="20"/>
              </w:rPr>
              <w:t>Supplementary Figure S</w:t>
            </w:r>
            <w:r>
              <w:rPr>
                <w:rFonts w:hint="eastAsia" w:ascii="Times New Roman" w:hAnsi="Times New Roman" w:cs="Times New Roman"/>
                <w:b/>
                <w:bCs/>
                <w:sz w:val="20"/>
                <w:szCs w:val="20"/>
                <w:lang w:val="en-US" w:eastAsia="zh-CN"/>
              </w:rPr>
              <w:t>4</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Bar chart of feature weight for progression-free survival (PFS).</w:t>
            </w:r>
            <w:r>
              <w:rPr>
                <w:rFonts w:hint="eastAsia" w:ascii="Times New Roman" w:hAnsi="Times New Roman" w:cs="Times New Roman"/>
                <w:sz w:val="20"/>
                <w:szCs w:val="20"/>
                <w:lang w:val="en-US" w:eastAsia="zh-CN"/>
              </w:rPr>
              <w:t xml:space="preserve"> T</w:t>
            </w:r>
            <w:r>
              <w:rPr>
                <w:rFonts w:hint="default" w:ascii="Times New Roman" w:hAnsi="Times New Roman" w:cs="Times New Roman"/>
                <w:sz w:val="20"/>
                <w:szCs w:val="20"/>
              </w:rPr>
              <w:t xml:space="preserve">he top two features that contributed the most </w:t>
            </w:r>
            <w:r>
              <w:rPr>
                <w:rFonts w:hint="eastAsia" w:ascii="Times New Roman" w:hAnsi="Times New Roman" w:cs="Times New Roman"/>
                <w:sz w:val="20"/>
                <w:szCs w:val="20"/>
                <w:lang w:val="en-US" w:eastAsia="zh-CN"/>
              </w:rPr>
              <w:t>are</w:t>
            </w:r>
            <w:r>
              <w:rPr>
                <w:rFonts w:hint="default" w:ascii="Times New Roman" w:hAnsi="Times New Roman" w:cs="Times New Roman"/>
                <w:sz w:val="20"/>
                <w:szCs w:val="20"/>
              </w:rPr>
              <w:t xml:space="preserve"> from </w:t>
            </w:r>
            <w:r>
              <w:rPr>
                <w:rFonts w:hint="eastAsia" w:ascii="Times New Roman" w:hAnsi="Times New Roman" w:cs="Times New Roman"/>
                <w:sz w:val="20"/>
                <w:szCs w:val="20"/>
                <w:lang w:val="en-US" w:eastAsia="zh-CN"/>
              </w:rPr>
              <w:t>H</w:t>
            </w:r>
            <w:r>
              <w:rPr>
                <w:rFonts w:hint="default" w:ascii="Times New Roman" w:hAnsi="Times New Roman" w:cs="Times New Roman"/>
                <w:sz w:val="20"/>
                <w:szCs w:val="20"/>
              </w:rPr>
              <w:t xml:space="preserve">abitat 1 on T2WI and </w:t>
            </w:r>
            <w:r>
              <w:rPr>
                <w:rFonts w:hint="eastAsia" w:ascii="Times New Roman" w:hAnsi="Times New Roman" w:cs="Times New Roman"/>
                <w:sz w:val="20"/>
                <w:szCs w:val="20"/>
                <w:lang w:val="en-US" w:eastAsia="zh-CN"/>
              </w:rPr>
              <w:t>H</w:t>
            </w:r>
            <w:r>
              <w:rPr>
                <w:rFonts w:hint="default" w:ascii="Times New Roman" w:hAnsi="Times New Roman" w:cs="Times New Roman"/>
                <w:sz w:val="20"/>
                <w:szCs w:val="20"/>
              </w:rPr>
              <w:t>abitat 2 on ADC maps</w:t>
            </w:r>
            <w:r>
              <w:rPr>
                <w:rFonts w:hint="eastAsia" w:ascii="Times New Roman" w:hAnsi="Times New Roman" w:cs="Times New Roman"/>
                <w:sz w:val="20"/>
                <w:szCs w:val="20"/>
                <w:lang w:val="en-US" w:eastAsia="zh-CN"/>
              </w:rPr>
              <w:t>.</w:t>
            </w:r>
          </w:p>
        </w:tc>
      </w:tr>
    </w:tbl>
    <w:p w14:paraId="1245BA5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0"/>
          <w:szCs w:val="20"/>
        </w:rPr>
      </w:pPr>
      <w:bookmarkStart w:id="3" w:name="_GoBack"/>
      <w:bookmarkEnd w:id="3"/>
    </w:p>
    <w:p w14:paraId="7FB0B306">
      <w:pPr>
        <w:rPr>
          <w:rFonts w:hint="default" w:ascii="Times New Roman" w:hAnsi="Times New Roman" w:cs="Times New Roman"/>
          <w:sz w:val="20"/>
          <w:szCs w:val="20"/>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E716">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BD3AD">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5EBD3AD">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mZmM3ZjVhOGQ1YTYyZWUzZmMwZmI1NTgxNzkxOTEifQ=="/>
  </w:docVars>
  <w:rsids>
    <w:rsidRoot w:val="00E726C5"/>
    <w:rsid w:val="00012629"/>
    <w:rsid w:val="001A384D"/>
    <w:rsid w:val="001C471D"/>
    <w:rsid w:val="00212CDA"/>
    <w:rsid w:val="002E39DB"/>
    <w:rsid w:val="002F6D14"/>
    <w:rsid w:val="003275EB"/>
    <w:rsid w:val="003E5B37"/>
    <w:rsid w:val="00434C4B"/>
    <w:rsid w:val="00452D9A"/>
    <w:rsid w:val="004A05C7"/>
    <w:rsid w:val="00546CB8"/>
    <w:rsid w:val="006419B6"/>
    <w:rsid w:val="0066514C"/>
    <w:rsid w:val="008A7E96"/>
    <w:rsid w:val="009213AE"/>
    <w:rsid w:val="00950240"/>
    <w:rsid w:val="00965366"/>
    <w:rsid w:val="009E2998"/>
    <w:rsid w:val="00A671BD"/>
    <w:rsid w:val="00A818F7"/>
    <w:rsid w:val="00C36B07"/>
    <w:rsid w:val="00C7158C"/>
    <w:rsid w:val="00D3708C"/>
    <w:rsid w:val="00D73C72"/>
    <w:rsid w:val="00E0721A"/>
    <w:rsid w:val="00E3563B"/>
    <w:rsid w:val="00E726C5"/>
    <w:rsid w:val="024A6187"/>
    <w:rsid w:val="024D3B8D"/>
    <w:rsid w:val="02D3681D"/>
    <w:rsid w:val="032A7597"/>
    <w:rsid w:val="03717800"/>
    <w:rsid w:val="040402B3"/>
    <w:rsid w:val="04512D34"/>
    <w:rsid w:val="04694538"/>
    <w:rsid w:val="04A647CA"/>
    <w:rsid w:val="04B11D86"/>
    <w:rsid w:val="04D55576"/>
    <w:rsid w:val="04E71BE4"/>
    <w:rsid w:val="05822066"/>
    <w:rsid w:val="05982032"/>
    <w:rsid w:val="05AF064A"/>
    <w:rsid w:val="05EF3F72"/>
    <w:rsid w:val="05F6259A"/>
    <w:rsid w:val="069A06D8"/>
    <w:rsid w:val="06A13382"/>
    <w:rsid w:val="06F507F9"/>
    <w:rsid w:val="073F6ECA"/>
    <w:rsid w:val="07530298"/>
    <w:rsid w:val="076B0225"/>
    <w:rsid w:val="07FD36EB"/>
    <w:rsid w:val="0843388F"/>
    <w:rsid w:val="085333C8"/>
    <w:rsid w:val="08B476E8"/>
    <w:rsid w:val="08FF26FB"/>
    <w:rsid w:val="098C28FA"/>
    <w:rsid w:val="09CA0D6F"/>
    <w:rsid w:val="0A1918FC"/>
    <w:rsid w:val="0A1E63D6"/>
    <w:rsid w:val="0A2966BB"/>
    <w:rsid w:val="0A687A4E"/>
    <w:rsid w:val="0A740EC6"/>
    <w:rsid w:val="0A831432"/>
    <w:rsid w:val="0A9B68DB"/>
    <w:rsid w:val="0AC55793"/>
    <w:rsid w:val="0AE60A5A"/>
    <w:rsid w:val="0B07529F"/>
    <w:rsid w:val="0B2F171C"/>
    <w:rsid w:val="0B4B7CB0"/>
    <w:rsid w:val="0B6D6042"/>
    <w:rsid w:val="0B8213C1"/>
    <w:rsid w:val="0BC450F6"/>
    <w:rsid w:val="0BDF05C2"/>
    <w:rsid w:val="0BE60B7F"/>
    <w:rsid w:val="0BFA7C13"/>
    <w:rsid w:val="0C0D5B60"/>
    <w:rsid w:val="0C390FAC"/>
    <w:rsid w:val="0C3A75C6"/>
    <w:rsid w:val="0C766ABA"/>
    <w:rsid w:val="0CBD6881"/>
    <w:rsid w:val="0CE916E4"/>
    <w:rsid w:val="0CEA2936"/>
    <w:rsid w:val="0CFD655E"/>
    <w:rsid w:val="0D065E12"/>
    <w:rsid w:val="0D5A03EC"/>
    <w:rsid w:val="0D76732C"/>
    <w:rsid w:val="0D7D62E4"/>
    <w:rsid w:val="0DA27F63"/>
    <w:rsid w:val="0DB014D5"/>
    <w:rsid w:val="0DDF3D51"/>
    <w:rsid w:val="0DE5425B"/>
    <w:rsid w:val="0DF543D6"/>
    <w:rsid w:val="0E0B7D94"/>
    <w:rsid w:val="0E8A0CB9"/>
    <w:rsid w:val="0E8A6F0A"/>
    <w:rsid w:val="0E9A32E1"/>
    <w:rsid w:val="0EC3382E"/>
    <w:rsid w:val="0F2727CB"/>
    <w:rsid w:val="0F2B198A"/>
    <w:rsid w:val="0FB861EA"/>
    <w:rsid w:val="0FF9631D"/>
    <w:rsid w:val="1002452A"/>
    <w:rsid w:val="103D5A1A"/>
    <w:rsid w:val="1075361F"/>
    <w:rsid w:val="10765695"/>
    <w:rsid w:val="10B15A93"/>
    <w:rsid w:val="10C21751"/>
    <w:rsid w:val="10C91FCC"/>
    <w:rsid w:val="10F90DB0"/>
    <w:rsid w:val="112459A8"/>
    <w:rsid w:val="115A72C5"/>
    <w:rsid w:val="115F6679"/>
    <w:rsid w:val="11671785"/>
    <w:rsid w:val="11D47969"/>
    <w:rsid w:val="11E07A7C"/>
    <w:rsid w:val="121E178F"/>
    <w:rsid w:val="122169D4"/>
    <w:rsid w:val="12802AFE"/>
    <w:rsid w:val="12956B0A"/>
    <w:rsid w:val="12CF3415"/>
    <w:rsid w:val="13315561"/>
    <w:rsid w:val="133B79CA"/>
    <w:rsid w:val="13477928"/>
    <w:rsid w:val="13AF5C57"/>
    <w:rsid w:val="14054261"/>
    <w:rsid w:val="145219D7"/>
    <w:rsid w:val="146756AF"/>
    <w:rsid w:val="146940CB"/>
    <w:rsid w:val="148606D0"/>
    <w:rsid w:val="14893008"/>
    <w:rsid w:val="149B5DB4"/>
    <w:rsid w:val="14D95BA5"/>
    <w:rsid w:val="14E01A74"/>
    <w:rsid w:val="15A52525"/>
    <w:rsid w:val="15C15E13"/>
    <w:rsid w:val="15C732DB"/>
    <w:rsid w:val="15D66983"/>
    <w:rsid w:val="160E0FCA"/>
    <w:rsid w:val="162F23DD"/>
    <w:rsid w:val="1636761E"/>
    <w:rsid w:val="172C6C30"/>
    <w:rsid w:val="1785372B"/>
    <w:rsid w:val="17D9054A"/>
    <w:rsid w:val="18312D15"/>
    <w:rsid w:val="18403FC4"/>
    <w:rsid w:val="185E7E63"/>
    <w:rsid w:val="18AD3F21"/>
    <w:rsid w:val="18CE3E98"/>
    <w:rsid w:val="18CF1581"/>
    <w:rsid w:val="18E633C4"/>
    <w:rsid w:val="18F04454"/>
    <w:rsid w:val="19D20867"/>
    <w:rsid w:val="19DD257A"/>
    <w:rsid w:val="19EA43B8"/>
    <w:rsid w:val="19F908B3"/>
    <w:rsid w:val="1A1609D7"/>
    <w:rsid w:val="1A310B82"/>
    <w:rsid w:val="1A385564"/>
    <w:rsid w:val="1A39185D"/>
    <w:rsid w:val="1A423D37"/>
    <w:rsid w:val="1B0F63F2"/>
    <w:rsid w:val="1B3E5460"/>
    <w:rsid w:val="1B500A6A"/>
    <w:rsid w:val="1B8D2DC6"/>
    <w:rsid w:val="1B972558"/>
    <w:rsid w:val="1BC251E8"/>
    <w:rsid w:val="1BE331D3"/>
    <w:rsid w:val="1BF373BE"/>
    <w:rsid w:val="1C0227D6"/>
    <w:rsid w:val="1C0B7651"/>
    <w:rsid w:val="1C14003D"/>
    <w:rsid w:val="1C3547EC"/>
    <w:rsid w:val="1C60574F"/>
    <w:rsid w:val="1CFA24D2"/>
    <w:rsid w:val="1D6D126B"/>
    <w:rsid w:val="1E486D8A"/>
    <w:rsid w:val="1EAC07D7"/>
    <w:rsid w:val="1EAE797E"/>
    <w:rsid w:val="1EB776E6"/>
    <w:rsid w:val="1EBE54DD"/>
    <w:rsid w:val="1EDA17E8"/>
    <w:rsid w:val="1F0B354D"/>
    <w:rsid w:val="1F0F0F33"/>
    <w:rsid w:val="1F20049C"/>
    <w:rsid w:val="1F9377F7"/>
    <w:rsid w:val="1F9F6A09"/>
    <w:rsid w:val="1FC247DB"/>
    <w:rsid w:val="1FCA7CB5"/>
    <w:rsid w:val="1FE338BD"/>
    <w:rsid w:val="2020237A"/>
    <w:rsid w:val="208B11A1"/>
    <w:rsid w:val="20914128"/>
    <w:rsid w:val="209B5D75"/>
    <w:rsid w:val="20E25071"/>
    <w:rsid w:val="20EE25A2"/>
    <w:rsid w:val="20F256E1"/>
    <w:rsid w:val="210D424B"/>
    <w:rsid w:val="217A2E0F"/>
    <w:rsid w:val="21F67DC0"/>
    <w:rsid w:val="22544298"/>
    <w:rsid w:val="22903F12"/>
    <w:rsid w:val="229376A0"/>
    <w:rsid w:val="22C803A3"/>
    <w:rsid w:val="22DC0A1F"/>
    <w:rsid w:val="22EF73B1"/>
    <w:rsid w:val="22F630F1"/>
    <w:rsid w:val="2318004D"/>
    <w:rsid w:val="231E70E0"/>
    <w:rsid w:val="238F1B90"/>
    <w:rsid w:val="23D60969"/>
    <w:rsid w:val="23D82DC2"/>
    <w:rsid w:val="23F757C8"/>
    <w:rsid w:val="24505CDB"/>
    <w:rsid w:val="24747FC0"/>
    <w:rsid w:val="248F38AF"/>
    <w:rsid w:val="249A07B0"/>
    <w:rsid w:val="24F86E72"/>
    <w:rsid w:val="253E672B"/>
    <w:rsid w:val="255752F3"/>
    <w:rsid w:val="255F07E0"/>
    <w:rsid w:val="257758F6"/>
    <w:rsid w:val="25814FD5"/>
    <w:rsid w:val="258358BA"/>
    <w:rsid w:val="25972145"/>
    <w:rsid w:val="25ED5F6E"/>
    <w:rsid w:val="26035421"/>
    <w:rsid w:val="26534401"/>
    <w:rsid w:val="26AE20FA"/>
    <w:rsid w:val="26C21B1D"/>
    <w:rsid w:val="26DB285D"/>
    <w:rsid w:val="27580F7E"/>
    <w:rsid w:val="275F0CD3"/>
    <w:rsid w:val="276D655D"/>
    <w:rsid w:val="281008CE"/>
    <w:rsid w:val="28741365"/>
    <w:rsid w:val="28885E11"/>
    <w:rsid w:val="28D3610D"/>
    <w:rsid w:val="28E822EE"/>
    <w:rsid w:val="2916341D"/>
    <w:rsid w:val="297262DD"/>
    <w:rsid w:val="297F7956"/>
    <w:rsid w:val="29A7676B"/>
    <w:rsid w:val="29F67F29"/>
    <w:rsid w:val="2A316ED0"/>
    <w:rsid w:val="2A582A8B"/>
    <w:rsid w:val="2A662182"/>
    <w:rsid w:val="2AA931AE"/>
    <w:rsid w:val="2ACD470D"/>
    <w:rsid w:val="2B397896"/>
    <w:rsid w:val="2B922875"/>
    <w:rsid w:val="2BD515B4"/>
    <w:rsid w:val="2BE43D6E"/>
    <w:rsid w:val="2BEE5E5F"/>
    <w:rsid w:val="2C3F0E89"/>
    <w:rsid w:val="2C7A1F15"/>
    <w:rsid w:val="2C855188"/>
    <w:rsid w:val="2C89624F"/>
    <w:rsid w:val="2CA20F1E"/>
    <w:rsid w:val="2CB52B5D"/>
    <w:rsid w:val="2CCD11AB"/>
    <w:rsid w:val="2CE86993"/>
    <w:rsid w:val="2D0171D8"/>
    <w:rsid w:val="2D2B25E4"/>
    <w:rsid w:val="2D4A5676"/>
    <w:rsid w:val="2D7E06DF"/>
    <w:rsid w:val="2D9B55CB"/>
    <w:rsid w:val="2E272A64"/>
    <w:rsid w:val="2E306ED1"/>
    <w:rsid w:val="2E816674"/>
    <w:rsid w:val="2EAA7CBA"/>
    <w:rsid w:val="2F277F0A"/>
    <w:rsid w:val="2F804CEE"/>
    <w:rsid w:val="2FBC2844"/>
    <w:rsid w:val="2FC44EB3"/>
    <w:rsid w:val="2FD12F51"/>
    <w:rsid w:val="2FE63DAE"/>
    <w:rsid w:val="2FF40230"/>
    <w:rsid w:val="30881BCD"/>
    <w:rsid w:val="30C5101B"/>
    <w:rsid w:val="30D16B36"/>
    <w:rsid w:val="31331691"/>
    <w:rsid w:val="313B6230"/>
    <w:rsid w:val="316528E8"/>
    <w:rsid w:val="31C3610C"/>
    <w:rsid w:val="31C44710"/>
    <w:rsid w:val="323D7021"/>
    <w:rsid w:val="326813C3"/>
    <w:rsid w:val="32761300"/>
    <w:rsid w:val="328A4FFE"/>
    <w:rsid w:val="328E2A48"/>
    <w:rsid w:val="32A3404A"/>
    <w:rsid w:val="32BE51C6"/>
    <w:rsid w:val="32EE13F4"/>
    <w:rsid w:val="336B520D"/>
    <w:rsid w:val="336D27D3"/>
    <w:rsid w:val="33891D87"/>
    <w:rsid w:val="33D51F58"/>
    <w:rsid w:val="342A3F3C"/>
    <w:rsid w:val="346425F3"/>
    <w:rsid w:val="346812C4"/>
    <w:rsid w:val="34750CDD"/>
    <w:rsid w:val="34A71D15"/>
    <w:rsid w:val="34AE469E"/>
    <w:rsid w:val="34BE2AE6"/>
    <w:rsid w:val="34DC5030"/>
    <w:rsid w:val="350600EB"/>
    <w:rsid w:val="35291AEF"/>
    <w:rsid w:val="355A7397"/>
    <w:rsid w:val="36056857"/>
    <w:rsid w:val="36095A79"/>
    <w:rsid w:val="360E01D9"/>
    <w:rsid w:val="36125264"/>
    <w:rsid w:val="36982EEA"/>
    <w:rsid w:val="369B7657"/>
    <w:rsid w:val="36F90814"/>
    <w:rsid w:val="36FE36D2"/>
    <w:rsid w:val="37127DB1"/>
    <w:rsid w:val="37166CDE"/>
    <w:rsid w:val="37826ABB"/>
    <w:rsid w:val="37D0579D"/>
    <w:rsid w:val="37E62F05"/>
    <w:rsid w:val="37EF713B"/>
    <w:rsid w:val="380644C8"/>
    <w:rsid w:val="382C5E92"/>
    <w:rsid w:val="383A6207"/>
    <w:rsid w:val="386F2FDB"/>
    <w:rsid w:val="38AA1738"/>
    <w:rsid w:val="38B82D15"/>
    <w:rsid w:val="38BE0978"/>
    <w:rsid w:val="38F131A4"/>
    <w:rsid w:val="39565AB7"/>
    <w:rsid w:val="3966392D"/>
    <w:rsid w:val="396B1CA3"/>
    <w:rsid w:val="39934125"/>
    <w:rsid w:val="399F65C4"/>
    <w:rsid w:val="39A265E2"/>
    <w:rsid w:val="39B32692"/>
    <w:rsid w:val="39B75AC7"/>
    <w:rsid w:val="3A0B2583"/>
    <w:rsid w:val="3A3E6C77"/>
    <w:rsid w:val="3A6A181A"/>
    <w:rsid w:val="3A831B46"/>
    <w:rsid w:val="3A8C57B6"/>
    <w:rsid w:val="3AFD417E"/>
    <w:rsid w:val="3B3F1B5C"/>
    <w:rsid w:val="3B5669DD"/>
    <w:rsid w:val="3B9113B6"/>
    <w:rsid w:val="3BAC115C"/>
    <w:rsid w:val="3BB2613F"/>
    <w:rsid w:val="3BBC2A1C"/>
    <w:rsid w:val="3BDC22A4"/>
    <w:rsid w:val="3C3D31AB"/>
    <w:rsid w:val="3C5404C1"/>
    <w:rsid w:val="3C996DB6"/>
    <w:rsid w:val="3CD41F3D"/>
    <w:rsid w:val="3D032279"/>
    <w:rsid w:val="3D2837E0"/>
    <w:rsid w:val="3D7B6EE9"/>
    <w:rsid w:val="3D7E293D"/>
    <w:rsid w:val="3D8C7CFA"/>
    <w:rsid w:val="3DBD4389"/>
    <w:rsid w:val="3DDD4DDB"/>
    <w:rsid w:val="3E113CC1"/>
    <w:rsid w:val="3E942116"/>
    <w:rsid w:val="3EAB41B0"/>
    <w:rsid w:val="3EDC0208"/>
    <w:rsid w:val="3EE25EC2"/>
    <w:rsid w:val="3F2B5BC4"/>
    <w:rsid w:val="3F417DB2"/>
    <w:rsid w:val="3F551A20"/>
    <w:rsid w:val="3F5D4F76"/>
    <w:rsid w:val="3FC4377B"/>
    <w:rsid w:val="40246712"/>
    <w:rsid w:val="40583038"/>
    <w:rsid w:val="40740F0D"/>
    <w:rsid w:val="40D12A83"/>
    <w:rsid w:val="41230975"/>
    <w:rsid w:val="415220D4"/>
    <w:rsid w:val="419E1DAA"/>
    <w:rsid w:val="41B14053"/>
    <w:rsid w:val="41B15F81"/>
    <w:rsid w:val="42042555"/>
    <w:rsid w:val="42044873"/>
    <w:rsid w:val="424A5920"/>
    <w:rsid w:val="424C5CAA"/>
    <w:rsid w:val="426F7B32"/>
    <w:rsid w:val="427D7923"/>
    <w:rsid w:val="42AF2BD7"/>
    <w:rsid w:val="42D12466"/>
    <w:rsid w:val="42D24401"/>
    <w:rsid w:val="42DE0263"/>
    <w:rsid w:val="42EB0EFB"/>
    <w:rsid w:val="43E814B4"/>
    <w:rsid w:val="44042447"/>
    <w:rsid w:val="44130FB7"/>
    <w:rsid w:val="444A644B"/>
    <w:rsid w:val="445D3C9B"/>
    <w:rsid w:val="449B0E1B"/>
    <w:rsid w:val="44AF2C02"/>
    <w:rsid w:val="450A480B"/>
    <w:rsid w:val="45333E17"/>
    <w:rsid w:val="45C955FE"/>
    <w:rsid w:val="47234C08"/>
    <w:rsid w:val="47AF1966"/>
    <w:rsid w:val="47C74B85"/>
    <w:rsid w:val="48184020"/>
    <w:rsid w:val="481A32B8"/>
    <w:rsid w:val="482467A5"/>
    <w:rsid w:val="48576D2C"/>
    <w:rsid w:val="48794E6D"/>
    <w:rsid w:val="488B2575"/>
    <w:rsid w:val="48CA43B1"/>
    <w:rsid w:val="48F1321F"/>
    <w:rsid w:val="4950740D"/>
    <w:rsid w:val="49710E15"/>
    <w:rsid w:val="49A05ECF"/>
    <w:rsid w:val="49A83327"/>
    <w:rsid w:val="49B5774D"/>
    <w:rsid w:val="49D5168C"/>
    <w:rsid w:val="4A455895"/>
    <w:rsid w:val="4A493245"/>
    <w:rsid w:val="4A5446B4"/>
    <w:rsid w:val="4A6F0787"/>
    <w:rsid w:val="4AA61547"/>
    <w:rsid w:val="4ACC5BD9"/>
    <w:rsid w:val="4AE70F1F"/>
    <w:rsid w:val="4B0326F8"/>
    <w:rsid w:val="4B2410F8"/>
    <w:rsid w:val="4B2934C1"/>
    <w:rsid w:val="4B472D3C"/>
    <w:rsid w:val="4C1838AB"/>
    <w:rsid w:val="4C992426"/>
    <w:rsid w:val="4C9C51D9"/>
    <w:rsid w:val="4CCE2A3B"/>
    <w:rsid w:val="4CD65FC1"/>
    <w:rsid w:val="4D0A58D1"/>
    <w:rsid w:val="4D5368C5"/>
    <w:rsid w:val="4D694E32"/>
    <w:rsid w:val="4DCE12B2"/>
    <w:rsid w:val="4DF35EB9"/>
    <w:rsid w:val="4DF75E0A"/>
    <w:rsid w:val="4E1C0C26"/>
    <w:rsid w:val="4E53462B"/>
    <w:rsid w:val="4E732B7B"/>
    <w:rsid w:val="4E7C03B6"/>
    <w:rsid w:val="4ECF13C9"/>
    <w:rsid w:val="4F2F493F"/>
    <w:rsid w:val="4F41078C"/>
    <w:rsid w:val="4F4E4E0F"/>
    <w:rsid w:val="4F8E69F0"/>
    <w:rsid w:val="4F903C18"/>
    <w:rsid w:val="4FC60E49"/>
    <w:rsid w:val="4FDA729D"/>
    <w:rsid w:val="4FDE3957"/>
    <w:rsid w:val="501871E4"/>
    <w:rsid w:val="50395ABF"/>
    <w:rsid w:val="50C965C4"/>
    <w:rsid w:val="50EE778E"/>
    <w:rsid w:val="51227076"/>
    <w:rsid w:val="515C33CA"/>
    <w:rsid w:val="51AF1095"/>
    <w:rsid w:val="52614E59"/>
    <w:rsid w:val="52796647"/>
    <w:rsid w:val="52F71F9E"/>
    <w:rsid w:val="53127408"/>
    <w:rsid w:val="536D39B3"/>
    <w:rsid w:val="538501A4"/>
    <w:rsid w:val="53A5078D"/>
    <w:rsid w:val="53C24715"/>
    <w:rsid w:val="54017769"/>
    <w:rsid w:val="541C0D51"/>
    <w:rsid w:val="54675C89"/>
    <w:rsid w:val="54704F4A"/>
    <w:rsid w:val="549C68CC"/>
    <w:rsid w:val="54C142D5"/>
    <w:rsid w:val="55210C4F"/>
    <w:rsid w:val="554B3ECB"/>
    <w:rsid w:val="554B6139"/>
    <w:rsid w:val="55545149"/>
    <w:rsid w:val="55824DBA"/>
    <w:rsid w:val="55937A20"/>
    <w:rsid w:val="55BA30A5"/>
    <w:rsid w:val="55C0251B"/>
    <w:rsid w:val="55CC644B"/>
    <w:rsid w:val="55F97180"/>
    <w:rsid w:val="56405FBE"/>
    <w:rsid w:val="564705C4"/>
    <w:rsid w:val="565E0E36"/>
    <w:rsid w:val="56675B58"/>
    <w:rsid w:val="56B5026D"/>
    <w:rsid w:val="56C45044"/>
    <w:rsid w:val="56E16569"/>
    <w:rsid w:val="56FD7377"/>
    <w:rsid w:val="56FE4A1B"/>
    <w:rsid w:val="56FF545E"/>
    <w:rsid w:val="57041455"/>
    <w:rsid w:val="572B7F9C"/>
    <w:rsid w:val="573F45FE"/>
    <w:rsid w:val="574957AE"/>
    <w:rsid w:val="577F18D4"/>
    <w:rsid w:val="57B5538A"/>
    <w:rsid w:val="584C1F06"/>
    <w:rsid w:val="585C730A"/>
    <w:rsid w:val="58701DB2"/>
    <w:rsid w:val="587C78F4"/>
    <w:rsid w:val="58A7392D"/>
    <w:rsid w:val="58C3061C"/>
    <w:rsid w:val="58CD66BE"/>
    <w:rsid w:val="58D14210"/>
    <w:rsid w:val="59114DD8"/>
    <w:rsid w:val="59127DA6"/>
    <w:rsid w:val="592F4587"/>
    <w:rsid w:val="59747B68"/>
    <w:rsid w:val="59787C08"/>
    <w:rsid w:val="599D3F6B"/>
    <w:rsid w:val="59CB55FE"/>
    <w:rsid w:val="5A227E3C"/>
    <w:rsid w:val="5A243DF4"/>
    <w:rsid w:val="5A490549"/>
    <w:rsid w:val="5A706581"/>
    <w:rsid w:val="5A913728"/>
    <w:rsid w:val="5ADC5E19"/>
    <w:rsid w:val="5AEB59B0"/>
    <w:rsid w:val="5B2D4231"/>
    <w:rsid w:val="5BA858A7"/>
    <w:rsid w:val="5BDD710E"/>
    <w:rsid w:val="5C0E77C9"/>
    <w:rsid w:val="5C762BE0"/>
    <w:rsid w:val="5CAE501B"/>
    <w:rsid w:val="5CF42550"/>
    <w:rsid w:val="5D1562F6"/>
    <w:rsid w:val="5D4B0BE0"/>
    <w:rsid w:val="5D532C33"/>
    <w:rsid w:val="5D750CD7"/>
    <w:rsid w:val="5DB744C7"/>
    <w:rsid w:val="5DD75377"/>
    <w:rsid w:val="5DF51E76"/>
    <w:rsid w:val="5E3B6385"/>
    <w:rsid w:val="5E522F66"/>
    <w:rsid w:val="5E9110C6"/>
    <w:rsid w:val="5E984FFF"/>
    <w:rsid w:val="5ED103B6"/>
    <w:rsid w:val="5EE4782D"/>
    <w:rsid w:val="5EF818FC"/>
    <w:rsid w:val="5F065FBB"/>
    <w:rsid w:val="5F466134"/>
    <w:rsid w:val="5F4A0903"/>
    <w:rsid w:val="5F7E34EF"/>
    <w:rsid w:val="5FA80E94"/>
    <w:rsid w:val="5FD362BC"/>
    <w:rsid w:val="5FD57811"/>
    <w:rsid w:val="5FE92E6B"/>
    <w:rsid w:val="60163126"/>
    <w:rsid w:val="602D3534"/>
    <w:rsid w:val="60785AAB"/>
    <w:rsid w:val="60A32AE1"/>
    <w:rsid w:val="60B85EAB"/>
    <w:rsid w:val="6144523A"/>
    <w:rsid w:val="614C3331"/>
    <w:rsid w:val="6162221E"/>
    <w:rsid w:val="6175447D"/>
    <w:rsid w:val="61802B88"/>
    <w:rsid w:val="62004B9D"/>
    <w:rsid w:val="62255429"/>
    <w:rsid w:val="62447C6B"/>
    <w:rsid w:val="626D15F8"/>
    <w:rsid w:val="628D3DE6"/>
    <w:rsid w:val="629B6165"/>
    <w:rsid w:val="63011E89"/>
    <w:rsid w:val="630B0F9A"/>
    <w:rsid w:val="63376139"/>
    <w:rsid w:val="63606766"/>
    <w:rsid w:val="6377665C"/>
    <w:rsid w:val="640564D0"/>
    <w:rsid w:val="64245C45"/>
    <w:rsid w:val="6486030D"/>
    <w:rsid w:val="64925476"/>
    <w:rsid w:val="649C534E"/>
    <w:rsid w:val="65085E48"/>
    <w:rsid w:val="650F4BE9"/>
    <w:rsid w:val="65312014"/>
    <w:rsid w:val="65AE2D7C"/>
    <w:rsid w:val="66073316"/>
    <w:rsid w:val="66081220"/>
    <w:rsid w:val="660E7C48"/>
    <w:rsid w:val="666C01DA"/>
    <w:rsid w:val="666D709E"/>
    <w:rsid w:val="66A818CA"/>
    <w:rsid w:val="67091A66"/>
    <w:rsid w:val="671571E5"/>
    <w:rsid w:val="67323605"/>
    <w:rsid w:val="67561ABE"/>
    <w:rsid w:val="678D457A"/>
    <w:rsid w:val="67AE6075"/>
    <w:rsid w:val="68441D23"/>
    <w:rsid w:val="685E4112"/>
    <w:rsid w:val="687C07E7"/>
    <w:rsid w:val="68B01AF4"/>
    <w:rsid w:val="68B62B9D"/>
    <w:rsid w:val="68C25FCB"/>
    <w:rsid w:val="691D5D30"/>
    <w:rsid w:val="69286306"/>
    <w:rsid w:val="69382A8A"/>
    <w:rsid w:val="69512A12"/>
    <w:rsid w:val="698B1A0E"/>
    <w:rsid w:val="69C21BF0"/>
    <w:rsid w:val="6A236A13"/>
    <w:rsid w:val="6A6B28C1"/>
    <w:rsid w:val="6AC63268"/>
    <w:rsid w:val="6AE8488B"/>
    <w:rsid w:val="6AF326FD"/>
    <w:rsid w:val="6B25641F"/>
    <w:rsid w:val="6B2E7DAB"/>
    <w:rsid w:val="6B3C600C"/>
    <w:rsid w:val="6B3D2B0D"/>
    <w:rsid w:val="6C21614A"/>
    <w:rsid w:val="6C5660C1"/>
    <w:rsid w:val="6C586E75"/>
    <w:rsid w:val="6C7A0FED"/>
    <w:rsid w:val="6C994C52"/>
    <w:rsid w:val="6CCD611B"/>
    <w:rsid w:val="6CD6760D"/>
    <w:rsid w:val="6CF24D44"/>
    <w:rsid w:val="6D3926CA"/>
    <w:rsid w:val="6D510B3D"/>
    <w:rsid w:val="6D5146C9"/>
    <w:rsid w:val="6D5A0320"/>
    <w:rsid w:val="6D8A25D8"/>
    <w:rsid w:val="6DA32372"/>
    <w:rsid w:val="6DAF5006"/>
    <w:rsid w:val="6DBE1687"/>
    <w:rsid w:val="6DDF3327"/>
    <w:rsid w:val="6E1440AE"/>
    <w:rsid w:val="6E656F69"/>
    <w:rsid w:val="6E810905"/>
    <w:rsid w:val="6E8D4A05"/>
    <w:rsid w:val="6EA13529"/>
    <w:rsid w:val="6EC83114"/>
    <w:rsid w:val="6ED60339"/>
    <w:rsid w:val="6EEE3AC1"/>
    <w:rsid w:val="6EFC4430"/>
    <w:rsid w:val="6F4219B0"/>
    <w:rsid w:val="6F4965D9"/>
    <w:rsid w:val="6F4C31BA"/>
    <w:rsid w:val="6F516D48"/>
    <w:rsid w:val="6F8644C1"/>
    <w:rsid w:val="6FD85265"/>
    <w:rsid w:val="70223A22"/>
    <w:rsid w:val="70453BB5"/>
    <w:rsid w:val="70486052"/>
    <w:rsid w:val="7065481F"/>
    <w:rsid w:val="706970E2"/>
    <w:rsid w:val="70FF46EA"/>
    <w:rsid w:val="71143263"/>
    <w:rsid w:val="712574F0"/>
    <w:rsid w:val="719E35E0"/>
    <w:rsid w:val="71B57750"/>
    <w:rsid w:val="71F35F8C"/>
    <w:rsid w:val="72075AE0"/>
    <w:rsid w:val="720D4059"/>
    <w:rsid w:val="72431602"/>
    <w:rsid w:val="724C7077"/>
    <w:rsid w:val="726328DA"/>
    <w:rsid w:val="726447C6"/>
    <w:rsid w:val="72A12404"/>
    <w:rsid w:val="72F9402A"/>
    <w:rsid w:val="731038FC"/>
    <w:rsid w:val="734E2977"/>
    <w:rsid w:val="736D1A79"/>
    <w:rsid w:val="73FB78CF"/>
    <w:rsid w:val="740578E3"/>
    <w:rsid w:val="740F3A7E"/>
    <w:rsid w:val="74172925"/>
    <w:rsid w:val="7460425E"/>
    <w:rsid w:val="74EA3A0F"/>
    <w:rsid w:val="7509466B"/>
    <w:rsid w:val="756E0321"/>
    <w:rsid w:val="7581462B"/>
    <w:rsid w:val="75834F63"/>
    <w:rsid w:val="75864A3D"/>
    <w:rsid w:val="758807CB"/>
    <w:rsid w:val="75CB5965"/>
    <w:rsid w:val="75D84774"/>
    <w:rsid w:val="75F57C88"/>
    <w:rsid w:val="764A41B7"/>
    <w:rsid w:val="76871475"/>
    <w:rsid w:val="76D75581"/>
    <w:rsid w:val="76DC35F5"/>
    <w:rsid w:val="76EA1A0C"/>
    <w:rsid w:val="76F8234A"/>
    <w:rsid w:val="773453A5"/>
    <w:rsid w:val="773C4D4B"/>
    <w:rsid w:val="773D5D20"/>
    <w:rsid w:val="77564344"/>
    <w:rsid w:val="778C1784"/>
    <w:rsid w:val="779F608B"/>
    <w:rsid w:val="78485660"/>
    <w:rsid w:val="784A1353"/>
    <w:rsid w:val="789C5CC4"/>
    <w:rsid w:val="78A321D2"/>
    <w:rsid w:val="78C733B9"/>
    <w:rsid w:val="78D04926"/>
    <w:rsid w:val="78EF46BD"/>
    <w:rsid w:val="791049E1"/>
    <w:rsid w:val="79847713"/>
    <w:rsid w:val="79D34622"/>
    <w:rsid w:val="79DC4F0A"/>
    <w:rsid w:val="7A222DE9"/>
    <w:rsid w:val="7A3E289D"/>
    <w:rsid w:val="7A7D1546"/>
    <w:rsid w:val="7A950461"/>
    <w:rsid w:val="7A992F7D"/>
    <w:rsid w:val="7AD24D3F"/>
    <w:rsid w:val="7AD36410"/>
    <w:rsid w:val="7ADC7F67"/>
    <w:rsid w:val="7B14665D"/>
    <w:rsid w:val="7B1466D9"/>
    <w:rsid w:val="7B5C12CB"/>
    <w:rsid w:val="7B6D77B5"/>
    <w:rsid w:val="7B931C78"/>
    <w:rsid w:val="7BD21CE5"/>
    <w:rsid w:val="7BD93B41"/>
    <w:rsid w:val="7C14370A"/>
    <w:rsid w:val="7CF359B3"/>
    <w:rsid w:val="7D207872"/>
    <w:rsid w:val="7D272FE3"/>
    <w:rsid w:val="7D342FE7"/>
    <w:rsid w:val="7D7659DE"/>
    <w:rsid w:val="7D7A10B7"/>
    <w:rsid w:val="7D9F66B2"/>
    <w:rsid w:val="7E3239CA"/>
    <w:rsid w:val="7E751B09"/>
    <w:rsid w:val="7EE011E6"/>
    <w:rsid w:val="7F183B03"/>
    <w:rsid w:val="7F721F37"/>
    <w:rsid w:val="7FA82737"/>
    <w:rsid w:val="7FCE5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qFormat/>
    <w:uiPriority w:val="0"/>
    <w:pPr>
      <w:jc w:val="left"/>
    </w:pPr>
  </w:style>
  <w:style w:type="paragraph" w:styleId="3">
    <w:name w:val="Body Text"/>
    <w:basedOn w:val="1"/>
    <w:qFormat/>
    <w:uiPriority w:val="0"/>
    <w:pPr>
      <w:spacing w:before="180" w:after="180"/>
    </w:pPr>
  </w:style>
  <w:style w:type="paragraph" w:styleId="4">
    <w:name w:val="Balloon Text"/>
    <w:basedOn w:val="1"/>
    <w:link w:val="15"/>
    <w:qFormat/>
    <w:uiPriority w:val="0"/>
    <w:rPr>
      <w:sz w:val="18"/>
      <w:szCs w:val="18"/>
    </w:rPr>
  </w:style>
  <w:style w:type="paragraph" w:styleId="5">
    <w:name w:val="footer"/>
    <w:basedOn w:val="1"/>
    <w:link w:val="17"/>
    <w:qFormat/>
    <w:uiPriority w:val="0"/>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paragraph" w:styleId="8">
    <w:name w:val="annotation subject"/>
    <w:basedOn w:val="2"/>
    <w:next w:val="2"/>
    <w:link w:val="19"/>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basedOn w:val="11"/>
    <w:qFormat/>
    <w:uiPriority w:val="0"/>
    <w:rPr>
      <w:sz w:val="21"/>
      <w:szCs w:val="21"/>
    </w:rPr>
  </w:style>
  <w:style w:type="paragraph" w:customStyle="1" w:styleId="13">
    <w:name w:val="Compact"/>
    <w:basedOn w:val="3"/>
    <w:qFormat/>
    <w:uiPriority w:val="0"/>
    <w:pPr>
      <w:spacing w:before="36" w:after="36"/>
    </w:pPr>
  </w:style>
  <w:style w:type="table" w:customStyle="1" w:styleId="14">
    <w:name w:val="Table"/>
    <w:unhideWhenUsed/>
    <w:qFormat/>
    <w:uiPriority w:val="0"/>
    <w:tblPr>
      <w:tblCellMar>
        <w:top w:w="0" w:type="dxa"/>
        <w:left w:w="108" w:type="dxa"/>
        <w:bottom w:w="0" w:type="dxa"/>
        <w:right w:w="108" w:type="dxa"/>
      </w:tblCellMar>
    </w:tblPr>
    <w:tblStylePr w:type="firstRow">
      <w:tcPr>
        <w:tcBorders>
          <w:top w:val="nil"/>
          <w:left w:val="nil"/>
          <w:bottom w:val="single" w:color="auto" w:sz="0" w:space="0"/>
          <w:right w:val="nil"/>
          <w:insideH w:val="nil"/>
          <w:insideV w:val="nil"/>
          <w:tl2br w:val="nil"/>
          <w:tr2bl w:val="nil"/>
        </w:tcBorders>
        <w:vAlign w:val="bottom"/>
      </w:tcPr>
    </w:tblStylePr>
  </w:style>
  <w:style w:type="character" w:customStyle="1" w:styleId="15">
    <w:name w:val="批注框文本 Char"/>
    <w:basedOn w:val="11"/>
    <w:link w:val="4"/>
    <w:qFormat/>
    <w:uiPriority w:val="0"/>
    <w:rPr>
      <w:rFonts w:ascii="Calibri" w:hAnsi="Calibri"/>
      <w:kern w:val="2"/>
      <w:sz w:val="18"/>
      <w:szCs w:val="18"/>
    </w:rPr>
  </w:style>
  <w:style w:type="character" w:customStyle="1" w:styleId="16">
    <w:name w:val="页眉 Char"/>
    <w:basedOn w:val="11"/>
    <w:link w:val="6"/>
    <w:qFormat/>
    <w:uiPriority w:val="0"/>
    <w:rPr>
      <w:rFonts w:ascii="Calibri" w:hAnsi="Calibri"/>
      <w:kern w:val="2"/>
      <w:sz w:val="18"/>
      <w:szCs w:val="18"/>
    </w:rPr>
  </w:style>
  <w:style w:type="character" w:customStyle="1" w:styleId="17">
    <w:name w:val="页脚 Char"/>
    <w:basedOn w:val="11"/>
    <w:link w:val="5"/>
    <w:qFormat/>
    <w:uiPriority w:val="0"/>
    <w:rPr>
      <w:rFonts w:ascii="Calibri" w:hAnsi="Calibri"/>
      <w:kern w:val="2"/>
      <w:sz w:val="18"/>
      <w:szCs w:val="18"/>
    </w:rPr>
  </w:style>
  <w:style w:type="character" w:customStyle="1" w:styleId="18">
    <w:name w:val="批注文字 Char"/>
    <w:basedOn w:val="11"/>
    <w:link w:val="2"/>
    <w:qFormat/>
    <w:uiPriority w:val="0"/>
    <w:rPr>
      <w:rFonts w:ascii="Calibri" w:hAnsi="Calibri"/>
      <w:kern w:val="2"/>
      <w:sz w:val="21"/>
      <w:szCs w:val="24"/>
    </w:rPr>
  </w:style>
  <w:style w:type="character" w:customStyle="1" w:styleId="19">
    <w:name w:val="批注主题 Char"/>
    <w:basedOn w:val="18"/>
    <w:link w:val="8"/>
    <w:qFormat/>
    <w:uiPriority w:val="0"/>
    <w:rPr>
      <w:rFonts w:ascii="Calibri" w:hAnsi="Calibri"/>
      <w:b/>
      <w:bCs/>
      <w:kern w:val="2"/>
      <w:sz w:val="21"/>
      <w:szCs w:val="24"/>
    </w:rPr>
  </w:style>
  <w:style w:type="character" w:customStyle="1" w:styleId="20">
    <w:name w:val="font21"/>
    <w:basedOn w:val="11"/>
    <w:qFormat/>
    <w:uiPriority w:val="0"/>
    <w:rPr>
      <w:rFonts w:hint="default" w:ascii="Times New Roman" w:hAnsi="Times New Roman" w:cs="Times New Roman"/>
      <w:color w:val="000000"/>
      <w:sz w:val="20"/>
      <w:szCs w:val="20"/>
      <w:u w:val="none"/>
      <w:vertAlign w:val="subscript"/>
    </w:rPr>
  </w:style>
  <w:style w:type="character" w:customStyle="1" w:styleId="21">
    <w:name w:val="font31"/>
    <w:basedOn w:val="11"/>
    <w:qFormat/>
    <w:uiPriority w:val="0"/>
    <w:rPr>
      <w:rFonts w:hint="default" w:ascii="Times New Roman" w:hAnsi="Times New Roman" w:cs="Times New Roman"/>
      <w:color w:val="000000"/>
      <w:sz w:val="20"/>
      <w:szCs w:val="20"/>
      <w:u w:val="none"/>
      <w:vertAlign w:val="superscript"/>
    </w:rPr>
  </w:style>
  <w:style w:type="character" w:customStyle="1" w:styleId="22">
    <w:name w:val="font11"/>
    <w:basedOn w:val="11"/>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svg"/><Relationship Id="rId7" Type="http://schemas.openxmlformats.org/officeDocument/2006/relationships/image" Target="media/image3.png"/><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sv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316</Words>
  <Characters>1388</Characters>
  <Lines>16</Lines>
  <Paragraphs>4</Paragraphs>
  <TotalTime>2</TotalTime>
  <ScaleCrop>false</ScaleCrop>
  <LinksUpToDate>false</LinksUpToDate>
  <CharactersWithSpaces>1485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2023-08-24T23:58:00Z</dcterms:created>
  <dc:creator>Le'novo</dc:creator>
  <cp:lastModifiedBy>毕秋</cp:lastModifiedBy>
  <dcterms:modified xsi:type="dcterms:W3CDTF">2025-03-17T08:14:11Z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66E73CDC609E4B5FAB9DDA70167A2429_13</vt:lpwstr>
  </property>
  <property fmtid="{D5CDD505-2E9C-101B-9397-08002B2CF9AE}" pid="4" name="KSOTemplateDocerSaveRecord">
    <vt:lpwstr>eyJoZGlkIjoiYmFmZmM3ZjVhOGQ1YTYyZWUzZmMwZmI1NTgxNzkxOTEiLCJ1c2VySWQiOiIyMjc1OTg4NDMifQ==</vt:lpwstr>
  </property>
</Properties>
</file>