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3AFDD4" w14:textId="0AA55752" w:rsidR="00F9638E" w:rsidRDefault="00F9638E" w:rsidP="00F9638E">
      <w:pPr>
        <w:rPr>
          <w:rFonts w:ascii="Times New Roman" w:hAnsi="Times New Roman" w:cs="Times New Roman"/>
          <w:b/>
          <w:bCs/>
        </w:rPr>
      </w:pPr>
      <w:r w:rsidRPr="00643931">
        <w:rPr>
          <w:rFonts w:ascii="Times New Roman" w:hAnsi="Times New Roman" w:cs="Times New Roman" w:hint="eastAsia"/>
          <w:b/>
          <w:bCs/>
        </w:rPr>
        <w:t>S</w:t>
      </w:r>
      <w:r w:rsidRPr="00643931">
        <w:rPr>
          <w:rFonts w:ascii="Times New Roman" w:hAnsi="Times New Roman" w:cs="Times New Roman"/>
          <w:b/>
          <w:bCs/>
        </w:rPr>
        <w:t>upplementary</w:t>
      </w:r>
      <w:r w:rsidR="00CB6749">
        <w:rPr>
          <w:rFonts w:ascii="Times New Roman" w:hAnsi="Times New Roman" w:cs="Times New Roman"/>
          <w:b/>
          <w:bCs/>
        </w:rPr>
        <w:t xml:space="preserve"> file</w:t>
      </w:r>
    </w:p>
    <w:p w14:paraId="04139772" w14:textId="77777777" w:rsidR="00CB6749" w:rsidRPr="00643931" w:rsidRDefault="00CB6749" w:rsidP="00F9638E">
      <w:pPr>
        <w:rPr>
          <w:rFonts w:ascii="Times New Roman" w:hAnsi="Times New Roman" w:cs="Times New Roman"/>
          <w:b/>
          <w:bCs/>
        </w:rPr>
      </w:pPr>
    </w:p>
    <w:p w14:paraId="5D289B1C" w14:textId="77777777" w:rsidR="00F9638E" w:rsidRDefault="00F9638E" w:rsidP="00F9638E">
      <w:pPr>
        <w:rPr>
          <w:rFonts w:ascii="Times New Roman" w:hAnsi="Times New Roman" w:cs="Times New Roman"/>
          <w:b/>
          <w:bCs/>
        </w:rPr>
      </w:pPr>
      <w:r w:rsidRPr="00C21480">
        <w:rPr>
          <w:rFonts w:ascii="Times New Roman" w:hAnsi="Times New Roman" w:cs="Times New Roman" w:hint="eastAsia"/>
          <w:b/>
          <w:bCs/>
        </w:rPr>
        <w:t>S</w:t>
      </w:r>
      <w:r w:rsidRPr="00C21480">
        <w:rPr>
          <w:rFonts w:ascii="Times New Roman" w:hAnsi="Times New Roman" w:cs="Times New Roman"/>
          <w:b/>
          <w:bCs/>
        </w:rPr>
        <w:t>earch strategy</w:t>
      </w:r>
      <w:r>
        <w:rPr>
          <w:rFonts w:ascii="Times New Roman" w:hAnsi="Times New Roman" w:cs="Times New Roman"/>
          <w:b/>
          <w:bCs/>
        </w:rPr>
        <w:t xml:space="preserve"> (MEDLINE via Ovid)</w:t>
      </w:r>
    </w:p>
    <w:p w14:paraId="79D36CFE" w14:textId="77777777" w:rsidR="00F9638E" w:rsidRPr="0074673E" w:rsidRDefault="00F9638E" w:rsidP="00F9638E">
      <w:pPr>
        <w:rPr>
          <w:rFonts w:ascii="Times New Roman" w:hAnsi="Times New Roman" w:cs="Times New Roman"/>
        </w:rPr>
      </w:pPr>
      <w:r w:rsidRPr="0074673E">
        <w:rPr>
          <w:rFonts w:ascii="Times New Roman" w:hAnsi="Times New Roman" w:cs="Times New Roman"/>
        </w:rPr>
        <w:t xml:space="preserve">MEDLINE Ovid (Ovid MEDLINE(R) </w:t>
      </w:r>
      <w:proofErr w:type="spellStart"/>
      <w:r w:rsidRPr="0074673E">
        <w:rPr>
          <w:rFonts w:ascii="Times New Roman" w:hAnsi="Times New Roman" w:cs="Times New Roman"/>
        </w:rPr>
        <w:t>Epub</w:t>
      </w:r>
      <w:proofErr w:type="spellEnd"/>
      <w:r w:rsidRPr="0074673E">
        <w:rPr>
          <w:rFonts w:ascii="Times New Roman" w:hAnsi="Times New Roman" w:cs="Times New Roman"/>
        </w:rPr>
        <w:t xml:space="preserve"> Ahead of Print, In‐Process &amp; Other Non‐Indexed Citations, Ovid MEDLINE(R) Daily and Ovid MEDLINE(R) 1946 to Present)</w:t>
      </w:r>
    </w:p>
    <w:p w14:paraId="3F0934B9" w14:textId="77777777" w:rsidR="00F9638E" w:rsidRPr="0080330A" w:rsidRDefault="00F9638E" w:rsidP="00F9638E">
      <w:pPr>
        <w:rPr>
          <w:rFonts w:ascii="Times New Roman" w:hAnsi="Times New Roman" w:cs="Times New Roman"/>
          <w:b/>
          <w:bCs/>
        </w:rPr>
      </w:pPr>
    </w:p>
    <w:p w14:paraId="5F387F23" w14:textId="77777777" w:rsidR="00F9638E" w:rsidRPr="00C21480" w:rsidRDefault="00F9638E" w:rsidP="00F9638E">
      <w:pPr>
        <w:rPr>
          <w:rFonts w:ascii="Times New Roman" w:hAnsi="Times New Roman" w:cs="Times New Roman"/>
          <w:b/>
          <w:bCs/>
        </w:rPr>
      </w:pPr>
      <w:r w:rsidRPr="00C21480">
        <w:rPr>
          <w:rFonts w:ascii="Times New Roman" w:hAnsi="Times New Roman" w:cs="Times New Roman" w:hint="eastAsia"/>
          <w:b/>
          <w:bCs/>
        </w:rPr>
        <w:t>P</w:t>
      </w:r>
      <w:r w:rsidRPr="00C21480">
        <w:rPr>
          <w:rFonts w:ascii="Times New Roman" w:hAnsi="Times New Roman" w:cs="Times New Roman"/>
          <w:b/>
          <w:bCs/>
        </w:rPr>
        <w:t>opulation:</w:t>
      </w:r>
      <w:r>
        <w:rPr>
          <w:rFonts w:ascii="Times New Roman" w:hAnsi="Times New Roman" w:cs="Times New Roman" w:hint="eastAsia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Trauma patients</w:t>
      </w:r>
      <w:r w:rsidRPr="00C21480">
        <w:rPr>
          <w:rFonts w:ascii="Times New Roman" w:hAnsi="Times New Roman" w:cs="Times New Roman"/>
          <w:b/>
          <w:bCs/>
        </w:rPr>
        <w:t xml:space="preserve"> </w:t>
      </w:r>
    </w:p>
    <w:p w14:paraId="15724B11" w14:textId="77777777" w:rsidR="00F9638E" w:rsidRDefault="00F9638E" w:rsidP="00F9638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1: </w:t>
      </w:r>
      <w:r w:rsidRPr="00E45C6A">
        <w:rPr>
          <w:rFonts w:ascii="Times New Roman" w:hAnsi="Times New Roman" w:cs="Times New Roman"/>
        </w:rPr>
        <w:t>exp "Wounds and Injuries"/</w:t>
      </w:r>
      <w:r>
        <w:rPr>
          <w:rFonts w:ascii="Times New Roman" w:hAnsi="Times New Roman" w:cs="Times New Roman"/>
        </w:rPr>
        <w:t xml:space="preserve">OR </w:t>
      </w:r>
      <w:proofErr w:type="spellStart"/>
      <w:proofErr w:type="gramStart"/>
      <w:r>
        <w:rPr>
          <w:rFonts w:ascii="Times New Roman" w:hAnsi="Times New Roman" w:cs="Times New Roman"/>
        </w:rPr>
        <w:t>trauma.</w:t>
      </w:r>
      <w:r w:rsidRPr="00BE2FF1">
        <w:rPr>
          <w:rFonts w:ascii="Times New Roman" w:hAnsi="Times New Roman" w:cs="Times New Roman"/>
          <w:color w:val="000000"/>
          <w:shd w:val="clear" w:color="auto" w:fill="FFFFFF"/>
        </w:rPr>
        <w:t>ti</w:t>
      </w:r>
      <w:proofErr w:type="gramEnd"/>
      <w:r w:rsidRPr="00BE2FF1">
        <w:rPr>
          <w:rFonts w:ascii="Times New Roman" w:hAnsi="Times New Roman" w:cs="Times New Roman"/>
          <w:color w:val="000000"/>
          <w:shd w:val="clear" w:color="auto" w:fill="FFFFFF"/>
        </w:rPr>
        <w:t>,ab</w:t>
      </w:r>
      <w:proofErr w:type="spellEnd"/>
      <w:r w:rsidRPr="00BE2FF1">
        <w:rPr>
          <w:rFonts w:ascii="Times New Roman" w:hAnsi="Times New Roman" w:cs="Times New Roman"/>
          <w:color w:val="000000"/>
          <w:shd w:val="clear" w:color="auto" w:fill="FFFFFF"/>
        </w:rPr>
        <w:t>.</w:t>
      </w:r>
      <w:r>
        <w:rPr>
          <w:rFonts w:ascii="Times New Roman" w:hAnsi="Times New Roman" w:cs="Times New Roman"/>
        </w:rPr>
        <w:t xml:space="preserve"> OR </w:t>
      </w:r>
      <w:proofErr w:type="spellStart"/>
      <w:r>
        <w:rPr>
          <w:rFonts w:ascii="Times New Roman" w:hAnsi="Times New Roman" w:cs="Times New Roman"/>
        </w:rPr>
        <w:t>injur</w:t>
      </w:r>
      <w:proofErr w:type="spellEnd"/>
      <w:r>
        <w:rPr>
          <w:rFonts w:ascii="Times New Roman" w:hAnsi="Times New Roman" w:cs="Times New Roman"/>
        </w:rPr>
        <w:t>*.</w:t>
      </w:r>
      <w:proofErr w:type="spellStart"/>
      <w:r w:rsidRPr="00BE2FF1">
        <w:rPr>
          <w:rFonts w:ascii="Times New Roman" w:hAnsi="Times New Roman" w:cs="Times New Roman"/>
          <w:color w:val="000000"/>
          <w:shd w:val="clear" w:color="auto" w:fill="FFFFFF"/>
        </w:rPr>
        <w:t>ti,ab</w:t>
      </w:r>
      <w:proofErr w:type="spellEnd"/>
      <w:r w:rsidRPr="00BE2FF1">
        <w:rPr>
          <w:rFonts w:ascii="Times New Roman" w:hAnsi="Times New Roman" w:cs="Times New Roman"/>
          <w:color w:val="000000"/>
          <w:shd w:val="clear" w:color="auto" w:fill="FFFFFF"/>
        </w:rPr>
        <w:t>.</w:t>
      </w:r>
    </w:p>
    <w:p w14:paraId="5CB68D7C" w14:textId="77777777" w:rsidR="00F9638E" w:rsidRPr="00E45C6A" w:rsidRDefault="00F9638E" w:rsidP="00F9638E">
      <w:pPr>
        <w:rPr>
          <w:rFonts w:ascii="Times New Roman" w:hAnsi="Times New Roman" w:cs="Times New Roman"/>
        </w:rPr>
      </w:pPr>
    </w:p>
    <w:p w14:paraId="625EC4BB" w14:textId="77777777" w:rsidR="00F9638E" w:rsidRPr="0074673E" w:rsidRDefault="00F9638E" w:rsidP="00F9638E">
      <w:pPr>
        <w:rPr>
          <w:rFonts w:ascii="Times New Roman" w:hAnsi="Times New Roman" w:cs="Times New Roman"/>
          <w:b/>
          <w:bCs/>
        </w:rPr>
      </w:pPr>
      <w:r w:rsidRPr="0074673E">
        <w:rPr>
          <w:rFonts w:ascii="Times New Roman" w:hAnsi="Times New Roman" w:cs="Times New Roman" w:hint="eastAsia"/>
          <w:b/>
          <w:bCs/>
        </w:rPr>
        <w:t>I</w:t>
      </w:r>
      <w:r w:rsidRPr="0074673E">
        <w:rPr>
          <w:rFonts w:ascii="Times New Roman" w:hAnsi="Times New Roman" w:cs="Times New Roman"/>
          <w:b/>
          <w:bCs/>
        </w:rPr>
        <w:t xml:space="preserve">ndex test: </w:t>
      </w:r>
      <w:r w:rsidRPr="0074673E">
        <w:rPr>
          <w:rFonts w:ascii="Times New Roman" w:hAnsi="Times New Roman" w:cs="Times New Roman" w:hint="eastAsia"/>
          <w:b/>
          <w:bCs/>
        </w:rPr>
        <w:t>P</w:t>
      </w:r>
      <w:r w:rsidRPr="0074673E">
        <w:rPr>
          <w:rFonts w:ascii="Times New Roman" w:hAnsi="Times New Roman" w:cs="Times New Roman"/>
          <w:b/>
          <w:bCs/>
        </w:rPr>
        <w:t>hysical examination</w:t>
      </w:r>
    </w:p>
    <w:p w14:paraId="68AE2F58" w14:textId="77777777" w:rsidR="00F9638E" w:rsidRDefault="00F9638E" w:rsidP="00F9638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2: exp </w:t>
      </w:r>
      <w:r w:rsidRPr="00C21480">
        <w:rPr>
          <w:rFonts w:ascii="Times New Roman" w:hAnsi="Times New Roman" w:cs="Times New Roman"/>
        </w:rPr>
        <w:t>Physical examination</w:t>
      </w:r>
      <w:r>
        <w:rPr>
          <w:rFonts w:ascii="Times New Roman" w:hAnsi="Times New Roman" w:cs="Times New Roman"/>
        </w:rPr>
        <w:t>/</w:t>
      </w:r>
      <w:r w:rsidRPr="00C2148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O</w:t>
      </w:r>
      <w:r>
        <w:rPr>
          <w:rFonts w:ascii="Times New Roman" w:hAnsi="Times New Roman" w:cs="Times New Roman"/>
        </w:rPr>
        <w:t>R</w:t>
      </w:r>
      <w:r w:rsidRPr="00C2148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 w:hint="eastAsia"/>
        </w:rPr>
        <w:t>(</w:t>
      </w:r>
      <w:r w:rsidRPr="00C21480">
        <w:rPr>
          <w:rFonts w:ascii="Times New Roman" w:hAnsi="Times New Roman" w:cs="Times New Roman"/>
        </w:rPr>
        <w:t xml:space="preserve">physical </w:t>
      </w:r>
      <w:r>
        <w:rPr>
          <w:rFonts w:ascii="Times New Roman" w:hAnsi="Times New Roman" w:cs="Times New Roman"/>
        </w:rPr>
        <w:t>or</w:t>
      </w:r>
      <w:r w:rsidRPr="00C2148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clinical) </w:t>
      </w:r>
      <w:r w:rsidRPr="00C21480"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>DJ2</w:t>
      </w:r>
      <w:r w:rsidRPr="00C2148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(</w:t>
      </w:r>
      <w:r w:rsidRPr="00C21480">
        <w:rPr>
          <w:rFonts w:ascii="Times New Roman" w:hAnsi="Times New Roman" w:cs="Times New Roman"/>
        </w:rPr>
        <w:t>diagnosis</w:t>
      </w:r>
      <w:r>
        <w:rPr>
          <w:rFonts w:ascii="Times New Roman" w:hAnsi="Times New Roman" w:cs="Times New Roman"/>
        </w:rPr>
        <w:t xml:space="preserve"> or</w:t>
      </w:r>
      <w:r w:rsidRPr="00C21480">
        <w:rPr>
          <w:rFonts w:ascii="Times New Roman" w:hAnsi="Times New Roman" w:cs="Times New Roman"/>
        </w:rPr>
        <w:t xml:space="preserve"> sign</w:t>
      </w:r>
      <w:r>
        <w:rPr>
          <w:rFonts w:ascii="Times New Roman" w:hAnsi="Times New Roman" w:cs="Times New Roman"/>
        </w:rPr>
        <w:t>*</w:t>
      </w:r>
      <w:r w:rsidRPr="00C2148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OR </w:t>
      </w:r>
      <w:r w:rsidRPr="00C21480">
        <w:rPr>
          <w:rFonts w:ascii="Times New Roman" w:hAnsi="Times New Roman" w:cs="Times New Roman"/>
        </w:rPr>
        <w:t>symptom</w:t>
      </w:r>
      <w:r>
        <w:rPr>
          <w:rFonts w:ascii="Times New Roman" w:hAnsi="Times New Roman" w:cs="Times New Roman"/>
        </w:rPr>
        <w:t>*</w:t>
      </w:r>
      <w:r w:rsidRPr="00C2148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OR</w:t>
      </w:r>
      <w:r w:rsidRPr="00C21480">
        <w:rPr>
          <w:rFonts w:ascii="Times New Roman" w:hAnsi="Times New Roman" w:cs="Times New Roman"/>
        </w:rPr>
        <w:t xml:space="preserve"> assessment </w:t>
      </w:r>
      <w:r>
        <w:rPr>
          <w:rFonts w:ascii="Times New Roman" w:hAnsi="Times New Roman" w:cs="Times New Roman"/>
        </w:rPr>
        <w:t>or</w:t>
      </w:r>
      <w:r w:rsidRPr="00C21480">
        <w:rPr>
          <w:rFonts w:ascii="Times New Roman" w:hAnsi="Times New Roman" w:cs="Times New Roman"/>
        </w:rPr>
        <w:t xml:space="preserve"> finding</w:t>
      </w:r>
      <w:r>
        <w:rPr>
          <w:rFonts w:ascii="Times New Roman" w:hAnsi="Times New Roman" w:cs="Times New Roman"/>
        </w:rPr>
        <w:t>*</w:t>
      </w:r>
      <w:r w:rsidRPr="009102FC">
        <w:t xml:space="preserve"> </w:t>
      </w:r>
      <w:r w:rsidRPr="009102FC">
        <w:rPr>
          <w:rFonts w:ascii="Times New Roman" w:hAnsi="Times New Roman" w:cs="Times New Roman"/>
        </w:rPr>
        <w:t xml:space="preserve">OR </w:t>
      </w:r>
      <w:proofErr w:type="spellStart"/>
      <w:r w:rsidRPr="009102FC">
        <w:rPr>
          <w:rFonts w:ascii="Times New Roman" w:hAnsi="Times New Roman" w:cs="Times New Roman"/>
        </w:rPr>
        <w:t>evaluat</w:t>
      </w:r>
      <w:proofErr w:type="spellEnd"/>
      <w:r>
        <w:rPr>
          <w:rFonts w:ascii="Times New Roman" w:hAnsi="Times New Roman" w:cs="Times New Roman"/>
        </w:rPr>
        <w:t>*</w:t>
      </w:r>
      <w:r w:rsidRPr="009102F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or</w:t>
      </w:r>
      <w:r w:rsidRPr="009102FC">
        <w:rPr>
          <w:rFonts w:ascii="Times New Roman" w:hAnsi="Times New Roman" w:cs="Times New Roman"/>
        </w:rPr>
        <w:t xml:space="preserve"> examination</w:t>
      </w:r>
      <w:r>
        <w:rPr>
          <w:rFonts w:ascii="Times New Roman" w:hAnsi="Times New Roman" w:cs="Times New Roman"/>
        </w:rPr>
        <w:t>*)</w:t>
      </w:r>
      <w:proofErr w:type="gramStart"/>
      <w:r>
        <w:rPr>
          <w:rFonts w:ascii="Times New Roman" w:hAnsi="Times New Roman" w:cs="Times New Roman"/>
        </w:rPr>
        <w:t>).</w:t>
      </w:r>
      <w:proofErr w:type="spellStart"/>
      <w:r>
        <w:rPr>
          <w:rFonts w:ascii="Times New Roman" w:hAnsi="Times New Roman" w:cs="Times New Roman"/>
        </w:rPr>
        <w:t>ti</w:t>
      </w:r>
      <w:proofErr w:type="gramEnd"/>
      <w:r>
        <w:rPr>
          <w:rFonts w:ascii="Times New Roman" w:hAnsi="Times New Roman" w:cs="Times New Roman"/>
        </w:rPr>
        <w:t>,ab,kw</w:t>
      </w:r>
      <w:proofErr w:type="spellEnd"/>
      <w:r>
        <w:rPr>
          <w:rFonts w:ascii="Times New Roman" w:hAnsi="Times New Roman" w:cs="Times New Roman"/>
        </w:rPr>
        <w:t xml:space="preserve"> </w:t>
      </w:r>
    </w:p>
    <w:p w14:paraId="7D5B3502" w14:textId="77777777" w:rsidR="00F9638E" w:rsidRPr="007E7C7B" w:rsidRDefault="00F9638E" w:rsidP="00F9638E">
      <w:pPr>
        <w:rPr>
          <w:rFonts w:ascii="Times New Roman" w:hAnsi="Times New Roman" w:cs="Times New Roman"/>
        </w:rPr>
      </w:pPr>
    </w:p>
    <w:p w14:paraId="2F0D791A" w14:textId="77777777" w:rsidR="00F9638E" w:rsidRDefault="00F9638E" w:rsidP="00F9638E">
      <w:pPr>
        <w:rPr>
          <w:rFonts w:ascii="Times New Roman" w:hAnsi="Times New Roman" w:cs="Times New Roman"/>
          <w:b/>
          <w:bCs/>
        </w:rPr>
      </w:pPr>
      <w:r w:rsidRPr="00C21480">
        <w:rPr>
          <w:rFonts w:ascii="Times New Roman" w:hAnsi="Times New Roman" w:cs="Times New Roman" w:hint="eastAsia"/>
          <w:b/>
          <w:bCs/>
        </w:rPr>
        <w:t>T</w:t>
      </w:r>
      <w:r w:rsidRPr="00C21480">
        <w:rPr>
          <w:rFonts w:ascii="Times New Roman" w:hAnsi="Times New Roman" w:cs="Times New Roman"/>
          <w:b/>
          <w:bCs/>
        </w:rPr>
        <w:t>arget condition:</w:t>
      </w:r>
      <w:r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 w:hint="eastAsia"/>
          <w:b/>
          <w:bCs/>
        </w:rPr>
        <w:t>P</w:t>
      </w:r>
      <w:r>
        <w:rPr>
          <w:rFonts w:ascii="Times New Roman" w:hAnsi="Times New Roman" w:cs="Times New Roman"/>
          <w:b/>
          <w:bCs/>
        </w:rPr>
        <w:t>elvic fracture</w:t>
      </w:r>
    </w:p>
    <w:p w14:paraId="32EB9929" w14:textId="77777777" w:rsidR="00F9638E" w:rsidRPr="002D5B83" w:rsidRDefault="00F9638E" w:rsidP="00F9638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3: </w:t>
      </w:r>
      <w:r w:rsidRPr="002D5B83">
        <w:rPr>
          <w:rFonts w:ascii="Times New Roman" w:hAnsi="Times New Roman" w:cs="Times New Roman"/>
        </w:rPr>
        <w:t>((fracture</w:t>
      </w:r>
      <w:r>
        <w:rPr>
          <w:rFonts w:ascii="Times New Roman" w:hAnsi="Times New Roman" w:cs="Times New Roman"/>
        </w:rPr>
        <w:t>*</w:t>
      </w:r>
      <w:r w:rsidRPr="002D5B83">
        <w:rPr>
          <w:rFonts w:ascii="Times New Roman" w:hAnsi="Times New Roman" w:cs="Times New Roman"/>
        </w:rPr>
        <w:t xml:space="preserve"> or disrupt</w:t>
      </w:r>
      <w:r>
        <w:rPr>
          <w:rFonts w:ascii="Times New Roman" w:hAnsi="Times New Roman" w:cs="Times New Roman"/>
        </w:rPr>
        <w:t>*</w:t>
      </w:r>
      <w:r w:rsidRPr="002D5B83">
        <w:rPr>
          <w:rFonts w:ascii="Times New Roman" w:hAnsi="Times New Roman" w:cs="Times New Roman"/>
        </w:rPr>
        <w:t xml:space="preserve"> or </w:t>
      </w:r>
      <w:proofErr w:type="spellStart"/>
      <w:r w:rsidRPr="002D5B83">
        <w:rPr>
          <w:rFonts w:ascii="Times New Roman" w:hAnsi="Times New Roman" w:cs="Times New Roman"/>
        </w:rPr>
        <w:t>displac</w:t>
      </w:r>
      <w:proofErr w:type="spellEnd"/>
      <w:r>
        <w:rPr>
          <w:rFonts w:ascii="Times New Roman" w:hAnsi="Times New Roman" w:cs="Times New Roman"/>
        </w:rPr>
        <w:t>*</w:t>
      </w:r>
      <w:r w:rsidRPr="002D5B83">
        <w:rPr>
          <w:rFonts w:ascii="Times New Roman" w:hAnsi="Times New Roman" w:cs="Times New Roman"/>
        </w:rPr>
        <w:t xml:space="preserve"> or </w:t>
      </w:r>
      <w:proofErr w:type="spellStart"/>
      <w:r w:rsidRPr="002D5B83">
        <w:rPr>
          <w:rFonts w:ascii="Times New Roman" w:hAnsi="Times New Roman" w:cs="Times New Roman"/>
        </w:rPr>
        <w:t>injur</w:t>
      </w:r>
      <w:proofErr w:type="spellEnd"/>
      <w:r>
        <w:rPr>
          <w:rFonts w:ascii="Times New Roman" w:hAnsi="Times New Roman" w:cs="Times New Roman"/>
        </w:rPr>
        <w:t>*</w:t>
      </w:r>
      <w:r w:rsidRPr="002D5B83">
        <w:rPr>
          <w:rFonts w:ascii="Times New Roman" w:hAnsi="Times New Roman" w:cs="Times New Roman"/>
        </w:rPr>
        <w:t xml:space="preserve"> or </w:t>
      </w:r>
      <w:proofErr w:type="spellStart"/>
      <w:r w:rsidRPr="002D5B83">
        <w:rPr>
          <w:rFonts w:ascii="Times New Roman" w:hAnsi="Times New Roman" w:cs="Times New Roman"/>
        </w:rPr>
        <w:t>traum</w:t>
      </w:r>
      <w:proofErr w:type="spellEnd"/>
      <w:r>
        <w:rPr>
          <w:rFonts w:ascii="Times New Roman" w:hAnsi="Times New Roman" w:cs="Times New Roman"/>
        </w:rPr>
        <w:t>*</w:t>
      </w:r>
      <w:r w:rsidRPr="002D5B83">
        <w:rPr>
          <w:rFonts w:ascii="Times New Roman" w:hAnsi="Times New Roman" w:cs="Times New Roman"/>
        </w:rPr>
        <w:t xml:space="preserve"> or rupture</w:t>
      </w:r>
      <w:r>
        <w:rPr>
          <w:rFonts w:ascii="Times New Roman" w:hAnsi="Times New Roman" w:cs="Times New Roman"/>
        </w:rPr>
        <w:t>*</w:t>
      </w:r>
      <w:r w:rsidRPr="002D5B83">
        <w:rPr>
          <w:rFonts w:ascii="Times New Roman" w:hAnsi="Times New Roman" w:cs="Times New Roman"/>
        </w:rPr>
        <w:t>) adj2 (</w:t>
      </w:r>
      <w:proofErr w:type="spellStart"/>
      <w:r w:rsidRPr="002D5B83">
        <w:rPr>
          <w:rFonts w:ascii="Times New Roman" w:hAnsi="Times New Roman" w:cs="Times New Roman"/>
        </w:rPr>
        <w:t>pelvi</w:t>
      </w:r>
      <w:proofErr w:type="spellEnd"/>
      <w:r>
        <w:rPr>
          <w:rFonts w:ascii="Times New Roman" w:hAnsi="Times New Roman" w:cs="Times New Roman"/>
        </w:rPr>
        <w:t>*</w:t>
      </w:r>
      <w:r w:rsidRPr="002D5B83">
        <w:rPr>
          <w:rFonts w:ascii="Times New Roman" w:hAnsi="Times New Roman" w:cs="Times New Roman"/>
        </w:rPr>
        <w:t xml:space="preserve"> or ilia</w:t>
      </w:r>
      <w:r>
        <w:rPr>
          <w:rFonts w:ascii="Times New Roman" w:hAnsi="Times New Roman" w:cs="Times New Roman"/>
        </w:rPr>
        <w:t>*</w:t>
      </w:r>
      <w:r w:rsidRPr="002D5B83">
        <w:rPr>
          <w:rFonts w:ascii="Times New Roman" w:hAnsi="Times New Roman" w:cs="Times New Roman"/>
        </w:rPr>
        <w:t xml:space="preserve"> or </w:t>
      </w:r>
      <w:proofErr w:type="spellStart"/>
      <w:r w:rsidRPr="002D5B83">
        <w:rPr>
          <w:rFonts w:ascii="Times New Roman" w:hAnsi="Times New Roman" w:cs="Times New Roman"/>
        </w:rPr>
        <w:t>pubi</w:t>
      </w:r>
      <w:proofErr w:type="spellEnd"/>
      <w:r>
        <w:rPr>
          <w:rFonts w:ascii="Times New Roman" w:hAnsi="Times New Roman" w:cs="Times New Roman"/>
        </w:rPr>
        <w:t>*</w:t>
      </w:r>
      <w:r w:rsidRPr="002D5B83">
        <w:rPr>
          <w:rFonts w:ascii="Times New Roman" w:hAnsi="Times New Roman" w:cs="Times New Roman"/>
        </w:rPr>
        <w:t>)</w:t>
      </w:r>
      <w:proofErr w:type="gramStart"/>
      <w:r w:rsidRPr="002D5B83">
        <w:rPr>
          <w:rFonts w:ascii="Times New Roman" w:hAnsi="Times New Roman" w:cs="Times New Roman"/>
        </w:rPr>
        <w:t>).</w:t>
      </w:r>
      <w:proofErr w:type="spellStart"/>
      <w:r w:rsidRPr="002D5B83">
        <w:rPr>
          <w:rFonts w:ascii="Times New Roman" w:hAnsi="Times New Roman" w:cs="Times New Roman"/>
        </w:rPr>
        <w:t>ti</w:t>
      </w:r>
      <w:proofErr w:type="gramEnd"/>
      <w:r w:rsidRPr="002D5B83">
        <w:rPr>
          <w:rFonts w:ascii="Times New Roman" w:hAnsi="Times New Roman" w:cs="Times New Roman"/>
        </w:rPr>
        <w:t>,ab</w:t>
      </w:r>
      <w:proofErr w:type="spellEnd"/>
      <w:r w:rsidRPr="002D5B83">
        <w:rPr>
          <w:rFonts w:ascii="Times New Roman" w:hAnsi="Times New Roman" w:cs="Times New Roman"/>
        </w:rPr>
        <w:t>.</w:t>
      </w:r>
    </w:p>
    <w:p w14:paraId="135F9503" w14:textId="77777777" w:rsidR="00F9638E" w:rsidRPr="002D5B83" w:rsidRDefault="00F9638E" w:rsidP="00F9638E">
      <w:pPr>
        <w:rPr>
          <w:rFonts w:ascii="Times New Roman" w:hAnsi="Times New Roman" w:cs="Times New Roman"/>
          <w:b/>
          <w:bCs/>
        </w:rPr>
      </w:pPr>
    </w:p>
    <w:p w14:paraId="54E442C5" w14:textId="77777777" w:rsidR="00F9638E" w:rsidRDefault="00F9638E" w:rsidP="00F9638E">
      <w:pPr>
        <w:rPr>
          <w:rFonts w:ascii="Times New Roman" w:hAnsi="Times New Roman" w:cs="Times New Roman"/>
        </w:rPr>
      </w:pPr>
      <w:r w:rsidRPr="00C21480">
        <w:rPr>
          <w:rFonts w:ascii="Times New Roman" w:hAnsi="Times New Roman" w:cs="Times New Roman" w:hint="eastAsia"/>
          <w:b/>
          <w:bCs/>
        </w:rPr>
        <w:t>E</w:t>
      </w:r>
      <w:r w:rsidRPr="00C21480">
        <w:rPr>
          <w:rFonts w:ascii="Times New Roman" w:hAnsi="Times New Roman" w:cs="Times New Roman"/>
          <w:b/>
          <w:bCs/>
        </w:rPr>
        <w:t>xclusion:</w:t>
      </w:r>
      <w:r>
        <w:rPr>
          <w:rFonts w:ascii="Times New Roman" w:hAnsi="Times New Roman" w:cs="Times New Roman"/>
        </w:rPr>
        <w:t xml:space="preserve"> </w:t>
      </w:r>
      <w:r w:rsidRPr="0074673E">
        <w:rPr>
          <w:rFonts w:ascii="Times New Roman" w:hAnsi="Times New Roman" w:cs="Times New Roman"/>
          <w:b/>
          <w:bCs/>
        </w:rPr>
        <w:t>Review, case report, and animal studies</w:t>
      </w:r>
    </w:p>
    <w:p w14:paraId="53E25FA0" w14:textId="77777777" w:rsidR="00F9638E" w:rsidRDefault="00F9638E" w:rsidP="00F9638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4: </w:t>
      </w:r>
      <w:r w:rsidRPr="00C21480">
        <w:rPr>
          <w:rFonts w:ascii="Times New Roman" w:hAnsi="Times New Roman" w:cs="Times New Roman"/>
        </w:rPr>
        <w:t>Review</w:t>
      </w:r>
      <w:r>
        <w:rPr>
          <w:rFonts w:ascii="Times New Roman" w:hAnsi="Times New Roman" w:cs="Times New Roman"/>
        </w:rPr>
        <w:t>.</w:t>
      </w:r>
      <w:r w:rsidRPr="00C21480">
        <w:rPr>
          <w:rFonts w:ascii="Times New Roman" w:hAnsi="Times New Roman" w:cs="Times New Roman"/>
        </w:rPr>
        <w:t>pt OR case reports</w:t>
      </w:r>
      <w:r>
        <w:rPr>
          <w:rFonts w:ascii="Times New Roman" w:hAnsi="Times New Roman" w:cs="Times New Roman"/>
        </w:rPr>
        <w:t>.</w:t>
      </w:r>
      <w:r w:rsidRPr="00C21480">
        <w:rPr>
          <w:rFonts w:ascii="Times New Roman" w:hAnsi="Times New Roman" w:cs="Times New Roman"/>
        </w:rPr>
        <w:t>pt OR (</w:t>
      </w:r>
      <w:r>
        <w:rPr>
          <w:rFonts w:ascii="Times New Roman" w:hAnsi="Times New Roman" w:cs="Times New Roman"/>
        </w:rPr>
        <w:t xml:space="preserve">exp </w:t>
      </w:r>
      <w:r w:rsidRPr="00C21480">
        <w:rPr>
          <w:rFonts w:ascii="Times New Roman" w:hAnsi="Times New Roman" w:cs="Times New Roman"/>
        </w:rPr>
        <w:t>animals</w:t>
      </w:r>
      <w:r>
        <w:rPr>
          <w:rFonts w:ascii="Times New Roman" w:hAnsi="Times New Roman" w:cs="Times New Roman"/>
        </w:rPr>
        <w:t>/</w:t>
      </w:r>
      <w:r w:rsidRPr="00C21480">
        <w:rPr>
          <w:rFonts w:ascii="Times New Roman" w:hAnsi="Times New Roman" w:cs="Times New Roman"/>
        </w:rPr>
        <w:t xml:space="preserve"> NOT </w:t>
      </w:r>
      <w:r>
        <w:rPr>
          <w:rFonts w:ascii="Times New Roman" w:hAnsi="Times New Roman" w:cs="Times New Roman"/>
        </w:rPr>
        <w:t xml:space="preserve">exp </w:t>
      </w:r>
      <w:r w:rsidRPr="00C21480">
        <w:rPr>
          <w:rFonts w:ascii="Times New Roman" w:hAnsi="Times New Roman" w:cs="Times New Roman"/>
        </w:rPr>
        <w:t>humans</w:t>
      </w:r>
      <w:r>
        <w:rPr>
          <w:rFonts w:ascii="Times New Roman" w:hAnsi="Times New Roman" w:cs="Times New Roman"/>
        </w:rPr>
        <w:t>/</w:t>
      </w:r>
      <w:r w:rsidRPr="00C21480">
        <w:rPr>
          <w:rFonts w:ascii="Times New Roman" w:hAnsi="Times New Roman" w:cs="Times New Roman"/>
        </w:rPr>
        <w:t>)</w:t>
      </w:r>
    </w:p>
    <w:p w14:paraId="2E7B51B8" w14:textId="77777777" w:rsidR="00F9638E" w:rsidRDefault="00F9638E" w:rsidP="00F9638E">
      <w:pPr>
        <w:rPr>
          <w:rFonts w:ascii="Times New Roman" w:hAnsi="Times New Roman" w:cs="Times New Roman"/>
        </w:rPr>
      </w:pPr>
    </w:p>
    <w:p w14:paraId="4BFADC74" w14:textId="77777777" w:rsidR="00F9638E" w:rsidRPr="002A0C46" w:rsidRDefault="00F9638E" w:rsidP="00F9638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5: (1 AND 2 AND 3) NOT 4</w:t>
      </w:r>
    </w:p>
    <w:p w14:paraId="71E83B75" w14:textId="77777777" w:rsidR="00F9638E" w:rsidRDefault="00F9638E" w:rsidP="00F9638E"/>
    <w:p w14:paraId="183378E6" w14:textId="77777777" w:rsidR="00CB6749" w:rsidRDefault="00CB6749" w:rsidP="00F9638E"/>
    <w:p w14:paraId="057C8599" w14:textId="77777777" w:rsidR="00CB6749" w:rsidRDefault="00CB6749" w:rsidP="00F9638E"/>
    <w:p w14:paraId="6568CBAB" w14:textId="09B1CFC6" w:rsidR="00F9638E" w:rsidRPr="00CB6749" w:rsidRDefault="00F9638E" w:rsidP="00F9638E">
      <w:r w:rsidRPr="00CB6749">
        <w:rPr>
          <w:rFonts w:ascii="Times New Roman" w:eastAsiaTheme="minorHAnsi" w:hAnsi="Times New Roman" w:cs="Times New Roman"/>
          <w:b/>
          <w:bCs/>
        </w:rPr>
        <w:t>Search strategy (EMBASE)</w:t>
      </w:r>
    </w:p>
    <w:p w14:paraId="005A500B" w14:textId="77777777" w:rsidR="00F9638E" w:rsidRPr="00CB6749" w:rsidRDefault="00F9638E" w:rsidP="00F9638E">
      <w:pPr>
        <w:rPr>
          <w:rFonts w:ascii="Times New Roman" w:hAnsi="Times New Roman" w:cs="Times New Roman"/>
        </w:rPr>
      </w:pPr>
    </w:p>
    <w:p w14:paraId="23BD5F35" w14:textId="77777777" w:rsidR="00F9638E" w:rsidRPr="00CB6749" w:rsidRDefault="00F9638E" w:rsidP="00F9638E">
      <w:pPr>
        <w:rPr>
          <w:rFonts w:ascii="Times New Roman" w:hAnsi="Times New Roman" w:cs="Times New Roman"/>
        </w:rPr>
      </w:pPr>
      <w:proofErr w:type="gramStart"/>
      <w:r w:rsidRPr="00CB6749">
        <w:rPr>
          <w:rFonts w:ascii="Times New Roman" w:hAnsi="Times New Roman" w:cs="Times New Roman"/>
        </w:rPr>
        <w:t>S1</w:t>
      </w:r>
      <w:r w:rsidRPr="00CB6749">
        <w:rPr>
          <w:rFonts w:ascii="Times New Roman" w:hAnsi="Times New Roman" w:cs="Times New Roman"/>
        </w:rPr>
        <w:tab/>
        <w:t>EMB.EXACT.EXPLODE</w:t>
      </w:r>
      <w:proofErr w:type="gramEnd"/>
      <w:r w:rsidRPr="00CB6749">
        <w:rPr>
          <w:rFonts w:ascii="Times New Roman" w:hAnsi="Times New Roman" w:cs="Times New Roman"/>
        </w:rPr>
        <w:t>(Injury)</w:t>
      </w:r>
    </w:p>
    <w:p w14:paraId="32FA4A59" w14:textId="77777777" w:rsidR="00F9638E" w:rsidRPr="00CB6749" w:rsidRDefault="00F9638E" w:rsidP="00F9638E">
      <w:pPr>
        <w:rPr>
          <w:rFonts w:ascii="Times New Roman" w:hAnsi="Times New Roman" w:cs="Times New Roman"/>
        </w:rPr>
      </w:pPr>
      <w:r w:rsidRPr="00CB6749">
        <w:rPr>
          <w:rFonts w:ascii="Times New Roman" w:hAnsi="Times New Roman" w:cs="Times New Roman"/>
        </w:rPr>
        <w:t>S2</w:t>
      </w:r>
      <w:r w:rsidRPr="00CB6749">
        <w:rPr>
          <w:rFonts w:ascii="Times New Roman" w:hAnsi="Times New Roman" w:cs="Times New Roman"/>
        </w:rPr>
        <w:tab/>
        <w:t xml:space="preserve">ab(trauma) OR </w:t>
      </w:r>
      <w:proofErr w:type="spellStart"/>
      <w:r w:rsidRPr="00CB6749">
        <w:rPr>
          <w:rFonts w:ascii="Times New Roman" w:hAnsi="Times New Roman" w:cs="Times New Roman"/>
        </w:rPr>
        <w:t>ti</w:t>
      </w:r>
      <w:proofErr w:type="spellEnd"/>
      <w:r w:rsidRPr="00CB6749">
        <w:rPr>
          <w:rFonts w:ascii="Times New Roman" w:hAnsi="Times New Roman" w:cs="Times New Roman"/>
        </w:rPr>
        <w:t>(trauma)</w:t>
      </w:r>
    </w:p>
    <w:p w14:paraId="4703153E" w14:textId="77777777" w:rsidR="00F9638E" w:rsidRPr="00CB6749" w:rsidRDefault="00F9638E" w:rsidP="00F9638E">
      <w:pPr>
        <w:rPr>
          <w:rFonts w:ascii="Times New Roman" w:hAnsi="Times New Roman" w:cs="Times New Roman"/>
        </w:rPr>
      </w:pPr>
      <w:r w:rsidRPr="00CB6749">
        <w:rPr>
          <w:rFonts w:ascii="Times New Roman" w:hAnsi="Times New Roman" w:cs="Times New Roman"/>
        </w:rPr>
        <w:t>S3</w:t>
      </w:r>
      <w:r w:rsidRPr="00CB6749">
        <w:rPr>
          <w:rFonts w:ascii="Times New Roman" w:hAnsi="Times New Roman" w:cs="Times New Roman"/>
        </w:rPr>
        <w:tab/>
        <w:t>ab(</w:t>
      </w:r>
      <w:proofErr w:type="spellStart"/>
      <w:r w:rsidRPr="00CB6749">
        <w:rPr>
          <w:rFonts w:ascii="Times New Roman" w:hAnsi="Times New Roman" w:cs="Times New Roman"/>
        </w:rPr>
        <w:t>injur</w:t>
      </w:r>
      <w:proofErr w:type="spellEnd"/>
      <w:r w:rsidRPr="00CB6749">
        <w:rPr>
          <w:rFonts w:ascii="Times New Roman" w:hAnsi="Times New Roman" w:cs="Times New Roman"/>
        </w:rPr>
        <w:t xml:space="preserve">*) OR </w:t>
      </w:r>
      <w:proofErr w:type="spellStart"/>
      <w:r w:rsidRPr="00CB6749">
        <w:rPr>
          <w:rFonts w:ascii="Times New Roman" w:hAnsi="Times New Roman" w:cs="Times New Roman"/>
        </w:rPr>
        <w:t>ti</w:t>
      </w:r>
      <w:proofErr w:type="spellEnd"/>
      <w:r w:rsidRPr="00CB6749">
        <w:rPr>
          <w:rFonts w:ascii="Times New Roman" w:hAnsi="Times New Roman" w:cs="Times New Roman"/>
        </w:rPr>
        <w:t>(</w:t>
      </w:r>
      <w:proofErr w:type="spellStart"/>
      <w:r w:rsidRPr="00CB6749">
        <w:rPr>
          <w:rFonts w:ascii="Times New Roman" w:hAnsi="Times New Roman" w:cs="Times New Roman"/>
        </w:rPr>
        <w:t>injur</w:t>
      </w:r>
      <w:proofErr w:type="spellEnd"/>
      <w:r w:rsidRPr="00CB6749">
        <w:rPr>
          <w:rFonts w:ascii="Times New Roman" w:hAnsi="Times New Roman" w:cs="Times New Roman"/>
        </w:rPr>
        <w:t>*)</w:t>
      </w:r>
    </w:p>
    <w:p w14:paraId="5C52CE5A" w14:textId="77777777" w:rsidR="00F9638E" w:rsidRPr="00CB6749" w:rsidRDefault="00F9638E" w:rsidP="00F9638E">
      <w:pPr>
        <w:rPr>
          <w:rFonts w:ascii="Times New Roman" w:hAnsi="Times New Roman" w:cs="Times New Roman"/>
        </w:rPr>
      </w:pPr>
      <w:r w:rsidRPr="00CB6749">
        <w:rPr>
          <w:rFonts w:ascii="Times New Roman" w:hAnsi="Times New Roman" w:cs="Times New Roman"/>
        </w:rPr>
        <w:t>S4</w:t>
      </w:r>
      <w:r w:rsidRPr="00CB6749">
        <w:rPr>
          <w:rFonts w:ascii="Times New Roman" w:hAnsi="Times New Roman" w:cs="Times New Roman"/>
        </w:rPr>
        <w:tab/>
        <w:t>S1 OR S2 OR S3</w:t>
      </w:r>
    </w:p>
    <w:p w14:paraId="6FC342EF" w14:textId="77777777" w:rsidR="00F9638E" w:rsidRPr="00CB6749" w:rsidRDefault="00F9638E" w:rsidP="00F9638E">
      <w:pPr>
        <w:rPr>
          <w:rFonts w:ascii="Times New Roman" w:hAnsi="Times New Roman" w:cs="Times New Roman"/>
        </w:rPr>
      </w:pPr>
      <w:proofErr w:type="gramStart"/>
      <w:r w:rsidRPr="00CB6749">
        <w:rPr>
          <w:rFonts w:ascii="Times New Roman" w:hAnsi="Times New Roman" w:cs="Times New Roman"/>
        </w:rPr>
        <w:t>S5</w:t>
      </w:r>
      <w:r w:rsidRPr="00CB6749">
        <w:rPr>
          <w:rFonts w:ascii="Times New Roman" w:hAnsi="Times New Roman" w:cs="Times New Roman"/>
        </w:rPr>
        <w:tab/>
        <w:t>EMB.EXACT.EXPLODE</w:t>
      </w:r>
      <w:proofErr w:type="gramEnd"/>
      <w:r w:rsidRPr="00CB6749">
        <w:rPr>
          <w:rFonts w:ascii="Times New Roman" w:hAnsi="Times New Roman" w:cs="Times New Roman"/>
        </w:rPr>
        <w:t xml:space="preserve">(physical examination) </w:t>
      </w:r>
      <w:r w:rsidRPr="00CB6749">
        <w:rPr>
          <w:rFonts w:ascii="Times New Roman" w:hAnsi="Times New Roman" w:cs="Times New Roman"/>
        </w:rPr>
        <w:tab/>
      </w:r>
    </w:p>
    <w:p w14:paraId="30EBCEC6" w14:textId="77777777" w:rsidR="00F9638E" w:rsidRPr="00CB6749" w:rsidRDefault="00F9638E" w:rsidP="00F9638E">
      <w:pPr>
        <w:rPr>
          <w:rFonts w:ascii="Times New Roman" w:hAnsi="Times New Roman" w:cs="Times New Roman"/>
        </w:rPr>
      </w:pPr>
      <w:r w:rsidRPr="00CB6749">
        <w:rPr>
          <w:rFonts w:ascii="Times New Roman" w:hAnsi="Times New Roman" w:cs="Times New Roman"/>
        </w:rPr>
        <w:t>S6</w:t>
      </w:r>
      <w:r w:rsidRPr="00CB6749">
        <w:rPr>
          <w:rFonts w:ascii="Times New Roman" w:hAnsi="Times New Roman" w:cs="Times New Roman"/>
        </w:rPr>
        <w:tab/>
      </w:r>
      <w:proofErr w:type="gramStart"/>
      <w:r w:rsidRPr="00CB6749">
        <w:rPr>
          <w:rFonts w:ascii="Times New Roman" w:hAnsi="Times New Roman" w:cs="Times New Roman"/>
        </w:rPr>
        <w:t>ab(</w:t>
      </w:r>
      <w:proofErr w:type="gramEnd"/>
      <w:r w:rsidRPr="00CB6749">
        <w:rPr>
          <w:rFonts w:ascii="Times New Roman" w:hAnsi="Times New Roman" w:cs="Times New Roman"/>
        </w:rPr>
        <w:t xml:space="preserve">(physical or clinical) N/2 (diagnosis or sign* or symptom* or assessment or finding* or </w:t>
      </w:r>
      <w:proofErr w:type="spellStart"/>
      <w:r w:rsidRPr="00CB6749">
        <w:rPr>
          <w:rFonts w:ascii="Times New Roman" w:hAnsi="Times New Roman" w:cs="Times New Roman"/>
        </w:rPr>
        <w:t>evaluat</w:t>
      </w:r>
      <w:proofErr w:type="spellEnd"/>
      <w:r w:rsidRPr="00CB6749">
        <w:rPr>
          <w:rFonts w:ascii="Times New Roman" w:hAnsi="Times New Roman" w:cs="Times New Roman"/>
        </w:rPr>
        <w:t xml:space="preserve">* or examination*)) OR </w:t>
      </w:r>
      <w:proofErr w:type="spellStart"/>
      <w:r w:rsidRPr="00CB6749">
        <w:rPr>
          <w:rFonts w:ascii="Times New Roman" w:hAnsi="Times New Roman" w:cs="Times New Roman"/>
        </w:rPr>
        <w:t>ti</w:t>
      </w:r>
      <w:proofErr w:type="spellEnd"/>
      <w:r w:rsidRPr="00CB6749">
        <w:rPr>
          <w:rFonts w:ascii="Times New Roman" w:hAnsi="Times New Roman" w:cs="Times New Roman"/>
        </w:rPr>
        <w:t xml:space="preserve">((physical or clinical) N/2 (diagnosis or sign* or symptom* or assessment or finding* or </w:t>
      </w:r>
      <w:proofErr w:type="spellStart"/>
      <w:r w:rsidRPr="00CB6749">
        <w:rPr>
          <w:rFonts w:ascii="Times New Roman" w:hAnsi="Times New Roman" w:cs="Times New Roman"/>
        </w:rPr>
        <w:t>evaluat</w:t>
      </w:r>
      <w:proofErr w:type="spellEnd"/>
      <w:r w:rsidRPr="00CB6749">
        <w:rPr>
          <w:rFonts w:ascii="Times New Roman" w:hAnsi="Times New Roman" w:cs="Times New Roman"/>
        </w:rPr>
        <w:t>* or examination*))</w:t>
      </w:r>
    </w:p>
    <w:p w14:paraId="616856D2" w14:textId="77777777" w:rsidR="00F9638E" w:rsidRPr="00CB6749" w:rsidRDefault="00F9638E" w:rsidP="00F9638E">
      <w:pPr>
        <w:rPr>
          <w:rFonts w:ascii="Times New Roman" w:hAnsi="Times New Roman" w:cs="Times New Roman"/>
        </w:rPr>
      </w:pPr>
      <w:r w:rsidRPr="00CB6749">
        <w:rPr>
          <w:rFonts w:ascii="Times New Roman" w:hAnsi="Times New Roman" w:cs="Times New Roman"/>
        </w:rPr>
        <w:t>S7</w:t>
      </w:r>
      <w:r w:rsidRPr="00CB6749">
        <w:rPr>
          <w:rFonts w:ascii="Times New Roman" w:hAnsi="Times New Roman" w:cs="Times New Roman"/>
        </w:rPr>
        <w:tab/>
        <w:t xml:space="preserve">ab((fracture* or disrupt* or </w:t>
      </w:r>
      <w:proofErr w:type="spellStart"/>
      <w:r w:rsidRPr="00CB6749">
        <w:rPr>
          <w:rFonts w:ascii="Times New Roman" w:hAnsi="Times New Roman" w:cs="Times New Roman"/>
        </w:rPr>
        <w:t>displac</w:t>
      </w:r>
      <w:proofErr w:type="spellEnd"/>
      <w:r w:rsidRPr="00CB6749">
        <w:rPr>
          <w:rFonts w:ascii="Times New Roman" w:hAnsi="Times New Roman" w:cs="Times New Roman"/>
        </w:rPr>
        <w:t xml:space="preserve">* or </w:t>
      </w:r>
      <w:proofErr w:type="spellStart"/>
      <w:r w:rsidRPr="00CB6749">
        <w:rPr>
          <w:rFonts w:ascii="Times New Roman" w:hAnsi="Times New Roman" w:cs="Times New Roman"/>
        </w:rPr>
        <w:t>injur</w:t>
      </w:r>
      <w:proofErr w:type="spellEnd"/>
      <w:r w:rsidRPr="00CB6749">
        <w:rPr>
          <w:rFonts w:ascii="Times New Roman" w:hAnsi="Times New Roman" w:cs="Times New Roman"/>
        </w:rPr>
        <w:t xml:space="preserve">* or </w:t>
      </w:r>
      <w:proofErr w:type="spellStart"/>
      <w:r w:rsidRPr="00CB6749">
        <w:rPr>
          <w:rFonts w:ascii="Times New Roman" w:hAnsi="Times New Roman" w:cs="Times New Roman"/>
        </w:rPr>
        <w:t>traum</w:t>
      </w:r>
      <w:proofErr w:type="spellEnd"/>
      <w:r w:rsidRPr="00CB6749">
        <w:rPr>
          <w:rFonts w:ascii="Times New Roman" w:hAnsi="Times New Roman" w:cs="Times New Roman"/>
        </w:rPr>
        <w:t>* or rupture*) N/2 (</w:t>
      </w:r>
      <w:proofErr w:type="spellStart"/>
      <w:r w:rsidRPr="00CB6749">
        <w:rPr>
          <w:rFonts w:ascii="Times New Roman" w:hAnsi="Times New Roman" w:cs="Times New Roman"/>
        </w:rPr>
        <w:t>pelvi</w:t>
      </w:r>
      <w:proofErr w:type="spellEnd"/>
      <w:r w:rsidRPr="00CB6749">
        <w:rPr>
          <w:rFonts w:ascii="Times New Roman" w:hAnsi="Times New Roman" w:cs="Times New Roman"/>
        </w:rPr>
        <w:t xml:space="preserve">* or ilia* or </w:t>
      </w:r>
      <w:proofErr w:type="spellStart"/>
      <w:r w:rsidRPr="00CB6749">
        <w:rPr>
          <w:rFonts w:ascii="Times New Roman" w:hAnsi="Times New Roman" w:cs="Times New Roman"/>
        </w:rPr>
        <w:t>pubi</w:t>
      </w:r>
      <w:proofErr w:type="spellEnd"/>
      <w:r w:rsidRPr="00CB6749">
        <w:rPr>
          <w:rFonts w:ascii="Times New Roman" w:hAnsi="Times New Roman" w:cs="Times New Roman"/>
        </w:rPr>
        <w:t xml:space="preserve">*)) OR </w:t>
      </w:r>
      <w:proofErr w:type="spellStart"/>
      <w:r w:rsidRPr="00CB6749">
        <w:rPr>
          <w:rFonts w:ascii="Times New Roman" w:hAnsi="Times New Roman" w:cs="Times New Roman"/>
        </w:rPr>
        <w:t>ti</w:t>
      </w:r>
      <w:proofErr w:type="spellEnd"/>
      <w:r w:rsidRPr="00CB6749">
        <w:rPr>
          <w:rFonts w:ascii="Times New Roman" w:hAnsi="Times New Roman" w:cs="Times New Roman"/>
        </w:rPr>
        <w:t xml:space="preserve">((fracture* or disrupt* or </w:t>
      </w:r>
      <w:proofErr w:type="spellStart"/>
      <w:r w:rsidRPr="00CB6749">
        <w:rPr>
          <w:rFonts w:ascii="Times New Roman" w:hAnsi="Times New Roman" w:cs="Times New Roman"/>
        </w:rPr>
        <w:t>displac</w:t>
      </w:r>
      <w:proofErr w:type="spellEnd"/>
      <w:r w:rsidRPr="00CB6749">
        <w:rPr>
          <w:rFonts w:ascii="Times New Roman" w:hAnsi="Times New Roman" w:cs="Times New Roman"/>
        </w:rPr>
        <w:t xml:space="preserve">* or </w:t>
      </w:r>
      <w:proofErr w:type="spellStart"/>
      <w:r w:rsidRPr="00CB6749">
        <w:rPr>
          <w:rFonts w:ascii="Times New Roman" w:hAnsi="Times New Roman" w:cs="Times New Roman"/>
        </w:rPr>
        <w:t>injur</w:t>
      </w:r>
      <w:proofErr w:type="spellEnd"/>
      <w:r w:rsidRPr="00CB6749">
        <w:rPr>
          <w:rFonts w:ascii="Times New Roman" w:hAnsi="Times New Roman" w:cs="Times New Roman"/>
        </w:rPr>
        <w:t xml:space="preserve">* or </w:t>
      </w:r>
      <w:proofErr w:type="spellStart"/>
      <w:r w:rsidRPr="00CB6749">
        <w:rPr>
          <w:rFonts w:ascii="Times New Roman" w:hAnsi="Times New Roman" w:cs="Times New Roman"/>
        </w:rPr>
        <w:t>traum</w:t>
      </w:r>
      <w:proofErr w:type="spellEnd"/>
      <w:r w:rsidRPr="00CB6749">
        <w:rPr>
          <w:rFonts w:ascii="Times New Roman" w:hAnsi="Times New Roman" w:cs="Times New Roman"/>
        </w:rPr>
        <w:t>* or rupture*) N/2 (</w:t>
      </w:r>
      <w:proofErr w:type="spellStart"/>
      <w:r w:rsidRPr="00CB6749">
        <w:rPr>
          <w:rFonts w:ascii="Times New Roman" w:hAnsi="Times New Roman" w:cs="Times New Roman"/>
        </w:rPr>
        <w:t>pelvi</w:t>
      </w:r>
      <w:proofErr w:type="spellEnd"/>
      <w:r w:rsidRPr="00CB6749">
        <w:rPr>
          <w:rFonts w:ascii="Times New Roman" w:hAnsi="Times New Roman" w:cs="Times New Roman"/>
        </w:rPr>
        <w:t xml:space="preserve">* or ilia* or </w:t>
      </w:r>
      <w:proofErr w:type="spellStart"/>
      <w:r w:rsidRPr="00CB6749">
        <w:rPr>
          <w:rFonts w:ascii="Times New Roman" w:hAnsi="Times New Roman" w:cs="Times New Roman"/>
        </w:rPr>
        <w:t>pubi</w:t>
      </w:r>
      <w:proofErr w:type="spellEnd"/>
      <w:r w:rsidRPr="00CB6749">
        <w:rPr>
          <w:rFonts w:ascii="Times New Roman" w:hAnsi="Times New Roman" w:cs="Times New Roman"/>
        </w:rPr>
        <w:t>*))</w:t>
      </w:r>
    </w:p>
    <w:p w14:paraId="7AD7AEC5" w14:textId="77777777" w:rsidR="00F9638E" w:rsidRPr="00CB6749" w:rsidRDefault="00F9638E" w:rsidP="00F9638E">
      <w:pPr>
        <w:rPr>
          <w:rFonts w:ascii="Times New Roman" w:hAnsi="Times New Roman" w:cs="Times New Roman"/>
        </w:rPr>
      </w:pPr>
      <w:r w:rsidRPr="00CB6749">
        <w:rPr>
          <w:rFonts w:ascii="Times New Roman" w:hAnsi="Times New Roman" w:cs="Times New Roman"/>
        </w:rPr>
        <w:t>S8</w:t>
      </w:r>
      <w:r w:rsidRPr="00CB6749">
        <w:rPr>
          <w:rFonts w:ascii="Times New Roman" w:hAnsi="Times New Roman" w:cs="Times New Roman"/>
        </w:rPr>
        <w:tab/>
        <w:t>S6 OR S5</w:t>
      </w:r>
    </w:p>
    <w:p w14:paraId="3F58BEC4" w14:textId="77777777" w:rsidR="00F9638E" w:rsidRPr="00CB6749" w:rsidRDefault="00F9638E" w:rsidP="00F9638E">
      <w:pPr>
        <w:rPr>
          <w:rFonts w:ascii="Times New Roman" w:hAnsi="Times New Roman" w:cs="Times New Roman"/>
        </w:rPr>
      </w:pPr>
      <w:r w:rsidRPr="00CB6749">
        <w:rPr>
          <w:rFonts w:ascii="Times New Roman" w:hAnsi="Times New Roman" w:cs="Times New Roman"/>
        </w:rPr>
        <w:t>S9</w:t>
      </w:r>
      <w:r w:rsidRPr="00CB6749">
        <w:rPr>
          <w:rFonts w:ascii="Times New Roman" w:hAnsi="Times New Roman" w:cs="Times New Roman"/>
        </w:rPr>
        <w:tab/>
        <w:t>S8 AND S7 AND S4</w:t>
      </w:r>
    </w:p>
    <w:p w14:paraId="37498D3A" w14:textId="77777777" w:rsidR="00F9638E" w:rsidRDefault="00F9638E"/>
    <w:p w14:paraId="0D7FD182" w14:textId="77777777" w:rsidR="00CB6749" w:rsidRDefault="00CB6749"/>
    <w:p w14:paraId="251D79FE" w14:textId="77777777" w:rsidR="00CB6749" w:rsidRDefault="00CB6749"/>
    <w:p w14:paraId="350AD825" w14:textId="77777777" w:rsidR="00CB6749" w:rsidRDefault="00CB6749"/>
    <w:p w14:paraId="78C5FB96" w14:textId="77777777" w:rsidR="00CB6749" w:rsidRDefault="00CB6749"/>
    <w:p w14:paraId="7D526A22" w14:textId="77777777" w:rsidR="00CB6749" w:rsidRDefault="00CB6749"/>
    <w:p w14:paraId="72D4BB92" w14:textId="77777777" w:rsidR="00CB6749" w:rsidRDefault="00CB6749"/>
    <w:p w14:paraId="5EF8DAF5" w14:textId="77777777" w:rsidR="00CB6749" w:rsidRDefault="00CB6749"/>
    <w:p w14:paraId="4AB529AE" w14:textId="77777777" w:rsidR="00CB6749" w:rsidRDefault="00CB6749"/>
    <w:p w14:paraId="3E086CB7" w14:textId="77777777" w:rsidR="00CB6749" w:rsidRDefault="00CB6749"/>
    <w:p w14:paraId="711E907D" w14:textId="77777777" w:rsidR="00CB6749" w:rsidRDefault="00CB6749"/>
    <w:p w14:paraId="79835CD2" w14:textId="77777777" w:rsidR="00CB6749" w:rsidRDefault="00CB6749"/>
    <w:p w14:paraId="1153BDCC" w14:textId="77777777" w:rsidR="0091767A" w:rsidRDefault="0091767A">
      <w:pPr>
        <w:rPr>
          <w:rFonts w:ascii="Times New Roman" w:hAnsi="Times New Roman" w:cs="Times New Roman"/>
          <w:b/>
          <w:bCs/>
        </w:rPr>
        <w:sectPr w:rsidR="0091767A"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14:paraId="5B407515" w14:textId="1C29F975" w:rsidR="00EF7AFB" w:rsidRPr="00EF7AFB" w:rsidRDefault="00B45EDC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lastRenderedPageBreak/>
        <w:t xml:space="preserve">S-Table 1. </w:t>
      </w:r>
      <w:r w:rsidR="00CB6749" w:rsidRPr="00EF7AFB">
        <w:rPr>
          <w:rFonts w:ascii="Times New Roman" w:hAnsi="Times New Roman" w:cs="Times New Roman"/>
          <w:b/>
          <w:bCs/>
        </w:rPr>
        <w:t>Exc</w:t>
      </w:r>
      <w:r w:rsidR="00EF7AFB" w:rsidRPr="00EF7AFB">
        <w:rPr>
          <w:rFonts w:ascii="Times New Roman" w:hAnsi="Times New Roman" w:cs="Times New Roman"/>
          <w:b/>
          <w:bCs/>
        </w:rPr>
        <w:t xml:space="preserve">luded </w:t>
      </w:r>
      <w:r w:rsidR="00EF7AFB">
        <w:rPr>
          <w:rFonts w:ascii="Times New Roman" w:hAnsi="Times New Roman" w:cs="Times New Roman"/>
          <w:b/>
          <w:bCs/>
        </w:rPr>
        <w:t>literatures by full-text screening</w:t>
      </w:r>
    </w:p>
    <w:p w14:paraId="572428FF" w14:textId="77777777" w:rsidR="00EF7AFB" w:rsidRPr="00EF7AFB" w:rsidRDefault="00EF7AFB">
      <w:pPr>
        <w:rPr>
          <w:rFonts w:ascii="Times New Roman" w:hAnsi="Times New Roman" w:cs="Times New Roman"/>
        </w:rPr>
      </w:pPr>
    </w:p>
    <w:tbl>
      <w:tblPr>
        <w:tblStyle w:val="a3"/>
        <w:tblW w:w="9367" w:type="dxa"/>
        <w:tblLook w:val="04A0" w:firstRow="1" w:lastRow="0" w:firstColumn="1" w:lastColumn="0" w:noHBand="0" w:noVBand="1"/>
      </w:tblPr>
      <w:tblGrid>
        <w:gridCol w:w="4557"/>
        <w:gridCol w:w="944"/>
        <w:gridCol w:w="1888"/>
        <w:gridCol w:w="1978"/>
      </w:tblGrid>
      <w:tr w:rsidR="00EF7AFB" w:rsidRPr="00EF7AFB" w14:paraId="0E991028" w14:textId="77777777" w:rsidTr="00EF7AFB">
        <w:trPr>
          <w:trHeight w:val="300"/>
        </w:trPr>
        <w:tc>
          <w:tcPr>
            <w:tcW w:w="4557" w:type="dxa"/>
            <w:noWrap/>
            <w:hideMark/>
          </w:tcPr>
          <w:p w14:paraId="52DD7773" w14:textId="77777777" w:rsidR="00EF7AFB" w:rsidRPr="00EF7AFB" w:rsidRDefault="00EF7AFB" w:rsidP="00EF7AFB">
            <w:pPr>
              <w:rPr>
                <w:rFonts w:ascii="Times New Roman" w:hAnsi="Times New Roman" w:cs="Times New Roman"/>
                <w:b/>
                <w:bCs/>
                <w:lang/>
              </w:rPr>
            </w:pPr>
            <w:r w:rsidRPr="00EF7AFB">
              <w:rPr>
                <w:rFonts w:ascii="Times New Roman" w:hAnsi="Times New Roman" w:cs="Times New Roman"/>
                <w:b/>
                <w:bCs/>
              </w:rPr>
              <w:t>Title</w:t>
            </w:r>
          </w:p>
        </w:tc>
        <w:tc>
          <w:tcPr>
            <w:tcW w:w="944" w:type="dxa"/>
            <w:noWrap/>
            <w:hideMark/>
          </w:tcPr>
          <w:p w14:paraId="153C63CD" w14:textId="77777777" w:rsidR="00EF7AFB" w:rsidRPr="00EF7AFB" w:rsidRDefault="00EF7AFB" w:rsidP="00EF7AFB">
            <w:pPr>
              <w:rPr>
                <w:rFonts w:ascii="Times New Roman" w:hAnsi="Times New Roman" w:cs="Times New Roman"/>
                <w:b/>
                <w:bCs/>
              </w:rPr>
            </w:pPr>
            <w:r w:rsidRPr="00EF7AFB">
              <w:rPr>
                <w:rFonts w:ascii="Times New Roman" w:hAnsi="Times New Roman" w:cs="Times New Roman"/>
                <w:b/>
                <w:bCs/>
              </w:rPr>
              <w:t>Year</w:t>
            </w:r>
          </w:p>
        </w:tc>
        <w:tc>
          <w:tcPr>
            <w:tcW w:w="1888" w:type="dxa"/>
            <w:noWrap/>
            <w:hideMark/>
          </w:tcPr>
          <w:p w14:paraId="48CD6DF6" w14:textId="77777777" w:rsidR="00EF7AFB" w:rsidRPr="00EF7AFB" w:rsidRDefault="00EF7AFB" w:rsidP="00EF7AFB">
            <w:pPr>
              <w:rPr>
                <w:rFonts w:ascii="Times New Roman" w:hAnsi="Times New Roman" w:cs="Times New Roman"/>
                <w:b/>
                <w:bCs/>
              </w:rPr>
            </w:pPr>
            <w:r w:rsidRPr="00EF7AFB">
              <w:rPr>
                <w:rFonts w:ascii="Times New Roman" w:hAnsi="Times New Roman" w:cs="Times New Roman"/>
                <w:b/>
                <w:bCs/>
              </w:rPr>
              <w:t>Author</w:t>
            </w:r>
          </w:p>
        </w:tc>
        <w:tc>
          <w:tcPr>
            <w:tcW w:w="1978" w:type="dxa"/>
            <w:noWrap/>
            <w:hideMark/>
          </w:tcPr>
          <w:p w14:paraId="05E07299" w14:textId="77777777" w:rsidR="00EF7AFB" w:rsidRPr="00EF7AFB" w:rsidRDefault="00EF7AFB" w:rsidP="00EF7AFB">
            <w:pPr>
              <w:rPr>
                <w:rFonts w:ascii="Times New Roman" w:hAnsi="Times New Roman" w:cs="Times New Roman"/>
                <w:b/>
                <w:bCs/>
              </w:rPr>
            </w:pPr>
            <w:r w:rsidRPr="00EF7AFB">
              <w:rPr>
                <w:rFonts w:ascii="Times New Roman" w:hAnsi="Times New Roman" w:cs="Times New Roman"/>
                <w:b/>
                <w:bCs/>
              </w:rPr>
              <w:t>Reason</w:t>
            </w:r>
          </w:p>
        </w:tc>
      </w:tr>
      <w:tr w:rsidR="00EF7AFB" w:rsidRPr="00EF7AFB" w14:paraId="560F5736" w14:textId="77777777" w:rsidTr="00EF7AFB">
        <w:trPr>
          <w:trHeight w:val="300"/>
        </w:trPr>
        <w:tc>
          <w:tcPr>
            <w:tcW w:w="4557" w:type="dxa"/>
            <w:noWrap/>
            <w:hideMark/>
          </w:tcPr>
          <w:p w14:paraId="210D8754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Predictive value of the hip flexion test for fractures of the pelvis</w:t>
            </w:r>
          </w:p>
        </w:tc>
        <w:tc>
          <w:tcPr>
            <w:tcW w:w="944" w:type="dxa"/>
            <w:noWrap/>
            <w:hideMark/>
          </w:tcPr>
          <w:p w14:paraId="1F0D6F38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1996</w:t>
            </w:r>
          </w:p>
        </w:tc>
        <w:tc>
          <w:tcPr>
            <w:tcW w:w="1888" w:type="dxa"/>
            <w:noWrap/>
            <w:hideMark/>
          </w:tcPr>
          <w:p w14:paraId="617078AE" w14:textId="2EA86633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Ham, S. J.</w:t>
            </w:r>
          </w:p>
        </w:tc>
        <w:tc>
          <w:tcPr>
            <w:tcW w:w="1978" w:type="dxa"/>
            <w:noWrap/>
            <w:hideMark/>
          </w:tcPr>
          <w:p w14:paraId="5385FB87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Wrong reference</w:t>
            </w:r>
          </w:p>
        </w:tc>
      </w:tr>
      <w:tr w:rsidR="00EF7AFB" w:rsidRPr="00EF7AFB" w14:paraId="61CBF12A" w14:textId="77777777" w:rsidTr="00EF7AFB">
        <w:trPr>
          <w:trHeight w:val="300"/>
        </w:trPr>
        <w:tc>
          <w:tcPr>
            <w:tcW w:w="4557" w:type="dxa"/>
            <w:noWrap/>
            <w:hideMark/>
          </w:tcPr>
          <w:p w14:paraId="2591A569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The cost-effectiveness of routine pelvic radiography in the evaluation of blunt trauma patients</w:t>
            </w:r>
          </w:p>
        </w:tc>
        <w:tc>
          <w:tcPr>
            <w:tcW w:w="944" w:type="dxa"/>
            <w:noWrap/>
            <w:hideMark/>
          </w:tcPr>
          <w:p w14:paraId="5F836B1C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1999</w:t>
            </w:r>
          </w:p>
        </w:tc>
        <w:tc>
          <w:tcPr>
            <w:tcW w:w="1888" w:type="dxa"/>
            <w:noWrap/>
            <w:hideMark/>
          </w:tcPr>
          <w:p w14:paraId="4FB0F354" w14:textId="0D657B23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proofErr w:type="spellStart"/>
            <w:r w:rsidRPr="00EF7AFB">
              <w:rPr>
                <w:rFonts w:ascii="Times New Roman" w:hAnsi="Times New Roman" w:cs="Times New Roman"/>
              </w:rPr>
              <w:t>Kaneriya</w:t>
            </w:r>
            <w:proofErr w:type="spellEnd"/>
            <w:r w:rsidRPr="00EF7AFB">
              <w:rPr>
                <w:rFonts w:ascii="Times New Roman" w:hAnsi="Times New Roman" w:cs="Times New Roman"/>
              </w:rPr>
              <w:t>, P. P.</w:t>
            </w:r>
          </w:p>
        </w:tc>
        <w:tc>
          <w:tcPr>
            <w:tcW w:w="1978" w:type="dxa"/>
            <w:noWrap/>
            <w:hideMark/>
          </w:tcPr>
          <w:p w14:paraId="3C033318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Wrong index test</w:t>
            </w:r>
          </w:p>
        </w:tc>
      </w:tr>
      <w:tr w:rsidR="00EF7AFB" w:rsidRPr="00EF7AFB" w14:paraId="35B985EA" w14:textId="77777777" w:rsidTr="00EF7AFB">
        <w:trPr>
          <w:trHeight w:val="300"/>
        </w:trPr>
        <w:tc>
          <w:tcPr>
            <w:tcW w:w="4557" w:type="dxa"/>
            <w:noWrap/>
            <w:hideMark/>
          </w:tcPr>
          <w:p w14:paraId="67EFC31A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Does ethanol affect the reliability of pelvic bone examination in blunt trauma?</w:t>
            </w:r>
          </w:p>
        </w:tc>
        <w:tc>
          <w:tcPr>
            <w:tcW w:w="944" w:type="dxa"/>
            <w:noWrap/>
            <w:hideMark/>
          </w:tcPr>
          <w:p w14:paraId="741CBD65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2000</w:t>
            </w:r>
          </w:p>
        </w:tc>
        <w:tc>
          <w:tcPr>
            <w:tcW w:w="1888" w:type="dxa"/>
            <w:noWrap/>
            <w:hideMark/>
          </w:tcPr>
          <w:p w14:paraId="0D9ABCB0" w14:textId="0931A192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Tien, I. Y.</w:t>
            </w:r>
          </w:p>
        </w:tc>
        <w:tc>
          <w:tcPr>
            <w:tcW w:w="1978" w:type="dxa"/>
            <w:noWrap/>
            <w:hideMark/>
          </w:tcPr>
          <w:p w14:paraId="73EBBCDE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Case-control design</w:t>
            </w:r>
          </w:p>
        </w:tc>
      </w:tr>
      <w:tr w:rsidR="00EF7AFB" w:rsidRPr="00EF7AFB" w14:paraId="2EBC63C8" w14:textId="77777777" w:rsidTr="00EF7AFB">
        <w:trPr>
          <w:trHeight w:val="300"/>
        </w:trPr>
        <w:tc>
          <w:tcPr>
            <w:tcW w:w="4557" w:type="dxa"/>
            <w:noWrap/>
            <w:hideMark/>
          </w:tcPr>
          <w:p w14:paraId="29531FD3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Blunt trauma and the role of routine pelvic radiographs</w:t>
            </w:r>
          </w:p>
        </w:tc>
        <w:tc>
          <w:tcPr>
            <w:tcW w:w="944" w:type="dxa"/>
            <w:noWrap/>
            <w:hideMark/>
          </w:tcPr>
          <w:p w14:paraId="74F8B5DE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2001</w:t>
            </w:r>
          </w:p>
        </w:tc>
        <w:tc>
          <w:tcPr>
            <w:tcW w:w="1888" w:type="dxa"/>
            <w:noWrap/>
            <w:hideMark/>
          </w:tcPr>
          <w:p w14:paraId="04660C26" w14:textId="501005D3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Duane, T. M.</w:t>
            </w:r>
          </w:p>
        </w:tc>
        <w:tc>
          <w:tcPr>
            <w:tcW w:w="1978" w:type="dxa"/>
            <w:noWrap/>
            <w:hideMark/>
          </w:tcPr>
          <w:p w14:paraId="6B04B5B9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Case-control design</w:t>
            </w:r>
          </w:p>
        </w:tc>
      </w:tr>
      <w:tr w:rsidR="00EF7AFB" w:rsidRPr="00EF7AFB" w14:paraId="286F4AA7" w14:textId="77777777" w:rsidTr="00EF7AFB">
        <w:trPr>
          <w:trHeight w:val="300"/>
        </w:trPr>
        <w:tc>
          <w:tcPr>
            <w:tcW w:w="4557" w:type="dxa"/>
            <w:noWrap/>
            <w:hideMark/>
          </w:tcPr>
          <w:p w14:paraId="0C4CC6F4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The clinical presentation of pediatric pelvic fractures</w:t>
            </w:r>
          </w:p>
        </w:tc>
        <w:tc>
          <w:tcPr>
            <w:tcW w:w="944" w:type="dxa"/>
            <w:noWrap/>
            <w:hideMark/>
          </w:tcPr>
          <w:p w14:paraId="78792334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2001</w:t>
            </w:r>
          </w:p>
        </w:tc>
        <w:tc>
          <w:tcPr>
            <w:tcW w:w="1888" w:type="dxa"/>
            <w:noWrap/>
            <w:hideMark/>
          </w:tcPr>
          <w:p w14:paraId="5A48744E" w14:textId="11BC5ACE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proofErr w:type="spellStart"/>
            <w:r w:rsidRPr="00EF7AFB">
              <w:rPr>
                <w:rFonts w:ascii="Times New Roman" w:hAnsi="Times New Roman" w:cs="Times New Roman"/>
              </w:rPr>
              <w:t>Junkins</w:t>
            </w:r>
            <w:proofErr w:type="spellEnd"/>
            <w:r w:rsidRPr="00EF7AFB">
              <w:rPr>
                <w:rFonts w:ascii="Times New Roman" w:hAnsi="Times New Roman" w:cs="Times New Roman"/>
              </w:rPr>
              <w:t>, E. P.</w:t>
            </w:r>
          </w:p>
        </w:tc>
        <w:tc>
          <w:tcPr>
            <w:tcW w:w="1978" w:type="dxa"/>
            <w:noWrap/>
            <w:hideMark/>
          </w:tcPr>
          <w:p w14:paraId="061D2DB6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Case-control design</w:t>
            </w:r>
          </w:p>
        </w:tc>
      </w:tr>
      <w:tr w:rsidR="00EF7AFB" w:rsidRPr="00EF7AFB" w14:paraId="2430E897" w14:textId="77777777" w:rsidTr="00EF7AFB">
        <w:trPr>
          <w:trHeight w:val="300"/>
        </w:trPr>
        <w:tc>
          <w:tcPr>
            <w:tcW w:w="4557" w:type="dxa"/>
            <w:noWrap/>
            <w:hideMark/>
          </w:tcPr>
          <w:p w14:paraId="508FB099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The screening pelvic radiograph in pediatric trauma</w:t>
            </w:r>
          </w:p>
        </w:tc>
        <w:tc>
          <w:tcPr>
            <w:tcW w:w="944" w:type="dxa"/>
            <w:noWrap/>
            <w:hideMark/>
          </w:tcPr>
          <w:p w14:paraId="3376C5CF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2001</w:t>
            </w:r>
          </w:p>
        </w:tc>
        <w:tc>
          <w:tcPr>
            <w:tcW w:w="1888" w:type="dxa"/>
            <w:noWrap/>
            <w:hideMark/>
          </w:tcPr>
          <w:p w14:paraId="6E8F6313" w14:textId="01F43A93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Rees, M. J.</w:t>
            </w:r>
          </w:p>
        </w:tc>
        <w:tc>
          <w:tcPr>
            <w:tcW w:w="1978" w:type="dxa"/>
            <w:noWrap/>
            <w:hideMark/>
          </w:tcPr>
          <w:p w14:paraId="4E0B57B7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Wrong index test</w:t>
            </w:r>
          </w:p>
        </w:tc>
      </w:tr>
      <w:tr w:rsidR="00EF7AFB" w:rsidRPr="00EF7AFB" w14:paraId="7622783C" w14:textId="77777777" w:rsidTr="00EF7AFB">
        <w:trPr>
          <w:trHeight w:val="300"/>
        </w:trPr>
        <w:tc>
          <w:tcPr>
            <w:tcW w:w="4557" w:type="dxa"/>
            <w:noWrap/>
            <w:hideMark/>
          </w:tcPr>
          <w:p w14:paraId="0357ABEC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Clinical examination in screening for pelvic fractures in blunt trauma 1</w:t>
            </w:r>
          </w:p>
        </w:tc>
        <w:tc>
          <w:tcPr>
            <w:tcW w:w="944" w:type="dxa"/>
            <w:noWrap/>
            <w:hideMark/>
          </w:tcPr>
          <w:p w14:paraId="556B1FA6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2002</w:t>
            </w:r>
          </w:p>
        </w:tc>
        <w:tc>
          <w:tcPr>
            <w:tcW w:w="1888" w:type="dxa"/>
            <w:noWrap/>
            <w:hideMark/>
          </w:tcPr>
          <w:p w14:paraId="09AA15E0" w14:textId="1177D38D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Krantz, Brent E.</w:t>
            </w:r>
          </w:p>
        </w:tc>
        <w:tc>
          <w:tcPr>
            <w:tcW w:w="1978" w:type="dxa"/>
            <w:noWrap/>
            <w:hideMark/>
          </w:tcPr>
          <w:p w14:paraId="2A901FD8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Wrong purpose or type of study</w:t>
            </w:r>
          </w:p>
        </w:tc>
      </w:tr>
      <w:tr w:rsidR="00EF7AFB" w:rsidRPr="00EF7AFB" w14:paraId="0DBA5400" w14:textId="77777777" w:rsidTr="00EF7AFB">
        <w:trPr>
          <w:trHeight w:val="300"/>
        </w:trPr>
        <w:tc>
          <w:tcPr>
            <w:tcW w:w="4557" w:type="dxa"/>
            <w:noWrap/>
            <w:hideMark/>
          </w:tcPr>
          <w:p w14:paraId="236B7CAD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Pelvic radiography in blunt trauma resuscitation: A diminishing role</w:t>
            </w:r>
          </w:p>
        </w:tc>
        <w:tc>
          <w:tcPr>
            <w:tcW w:w="944" w:type="dxa"/>
            <w:noWrap/>
            <w:hideMark/>
          </w:tcPr>
          <w:p w14:paraId="6D9ABB75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2002</w:t>
            </w:r>
          </w:p>
        </w:tc>
        <w:tc>
          <w:tcPr>
            <w:tcW w:w="1888" w:type="dxa"/>
            <w:noWrap/>
            <w:hideMark/>
          </w:tcPr>
          <w:p w14:paraId="641663B3" w14:textId="3CFB79E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proofErr w:type="spellStart"/>
            <w:r w:rsidRPr="00EF7AFB">
              <w:rPr>
                <w:rFonts w:ascii="Times New Roman" w:hAnsi="Times New Roman" w:cs="Times New Roman"/>
              </w:rPr>
              <w:t>Guillamondegui</w:t>
            </w:r>
            <w:proofErr w:type="spellEnd"/>
            <w:r w:rsidRPr="00EF7AFB">
              <w:rPr>
                <w:rFonts w:ascii="Times New Roman" w:hAnsi="Times New Roman" w:cs="Times New Roman"/>
              </w:rPr>
              <w:t>, Oscar D.</w:t>
            </w:r>
          </w:p>
        </w:tc>
        <w:tc>
          <w:tcPr>
            <w:tcW w:w="1978" w:type="dxa"/>
            <w:noWrap/>
            <w:hideMark/>
          </w:tcPr>
          <w:p w14:paraId="5773BA2E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Wrong index test</w:t>
            </w:r>
          </w:p>
        </w:tc>
      </w:tr>
      <w:tr w:rsidR="00EF7AFB" w:rsidRPr="00EF7AFB" w14:paraId="3772FD1F" w14:textId="77777777" w:rsidTr="00EF7AFB">
        <w:trPr>
          <w:trHeight w:val="300"/>
        </w:trPr>
        <w:tc>
          <w:tcPr>
            <w:tcW w:w="4557" w:type="dxa"/>
            <w:noWrap/>
            <w:hideMark/>
          </w:tcPr>
          <w:p w14:paraId="40353CF2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Physical examination and imaging of hip injuries</w:t>
            </w:r>
          </w:p>
        </w:tc>
        <w:tc>
          <w:tcPr>
            <w:tcW w:w="944" w:type="dxa"/>
            <w:noWrap/>
            <w:hideMark/>
          </w:tcPr>
          <w:p w14:paraId="556FEB8D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2002</w:t>
            </w:r>
          </w:p>
        </w:tc>
        <w:tc>
          <w:tcPr>
            <w:tcW w:w="1888" w:type="dxa"/>
            <w:noWrap/>
            <w:hideMark/>
          </w:tcPr>
          <w:p w14:paraId="41AC5FAE" w14:textId="16806DCF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proofErr w:type="spellStart"/>
            <w:r w:rsidRPr="00EF7AFB">
              <w:rPr>
                <w:rFonts w:ascii="Times New Roman" w:hAnsi="Times New Roman" w:cs="Times New Roman"/>
              </w:rPr>
              <w:t>Kallas</w:t>
            </w:r>
            <w:proofErr w:type="spellEnd"/>
            <w:r w:rsidRPr="00EF7AFB">
              <w:rPr>
                <w:rFonts w:ascii="Times New Roman" w:hAnsi="Times New Roman" w:cs="Times New Roman"/>
              </w:rPr>
              <w:t>, Kerry M.</w:t>
            </w:r>
          </w:p>
        </w:tc>
        <w:tc>
          <w:tcPr>
            <w:tcW w:w="1978" w:type="dxa"/>
            <w:noWrap/>
            <w:hideMark/>
          </w:tcPr>
          <w:p w14:paraId="7536193C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Wrong reference</w:t>
            </w:r>
          </w:p>
        </w:tc>
      </w:tr>
      <w:tr w:rsidR="00EF7AFB" w:rsidRPr="00EF7AFB" w14:paraId="593AF90D" w14:textId="77777777" w:rsidTr="00EF7AFB">
        <w:trPr>
          <w:trHeight w:val="300"/>
        </w:trPr>
        <w:tc>
          <w:tcPr>
            <w:tcW w:w="4557" w:type="dxa"/>
            <w:noWrap/>
            <w:hideMark/>
          </w:tcPr>
          <w:p w14:paraId="51655E82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Clinical effectiveness of the physical examination in diagnosis of posterior pelvic ring injuries</w:t>
            </w:r>
          </w:p>
        </w:tc>
        <w:tc>
          <w:tcPr>
            <w:tcW w:w="944" w:type="dxa"/>
            <w:noWrap/>
            <w:hideMark/>
          </w:tcPr>
          <w:p w14:paraId="38E78FAC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2003</w:t>
            </w:r>
          </w:p>
        </w:tc>
        <w:tc>
          <w:tcPr>
            <w:tcW w:w="1888" w:type="dxa"/>
            <w:noWrap/>
            <w:hideMark/>
          </w:tcPr>
          <w:p w14:paraId="267F8949" w14:textId="58015E56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McCormick, Joseph P.</w:t>
            </w:r>
          </w:p>
        </w:tc>
        <w:tc>
          <w:tcPr>
            <w:tcW w:w="1978" w:type="dxa"/>
            <w:noWrap/>
            <w:hideMark/>
          </w:tcPr>
          <w:p w14:paraId="10D512B2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Wrong purpose or type of study</w:t>
            </w:r>
          </w:p>
        </w:tc>
      </w:tr>
      <w:tr w:rsidR="00EF7AFB" w:rsidRPr="00EF7AFB" w14:paraId="445E50B6" w14:textId="77777777" w:rsidTr="00EF7AFB">
        <w:trPr>
          <w:trHeight w:val="300"/>
        </w:trPr>
        <w:tc>
          <w:tcPr>
            <w:tcW w:w="4557" w:type="dxa"/>
            <w:noWrap/>
            <w:hideMark/>
          </w:tcPr>
          <w:p w14:paraId="46713F04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Validation of a decision instrument to limit pelvic radiography in blunt trauma</w:t>
            </w:r>
          </w:p>
        </w:tc>
        <w:tc>
          <w:tcPr>
            <w:tcW w:w="944" w:type="dxa"/>
            <w:noWrap/>
            <w:hideMark/>
          </w:tcPr>
          <w:p w14:paraId="018B4763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2005</w:t>
            </w:r>
          </w:p>
        </w:tc>
        <w:tc>
          <w:tcPr>
            <w:tcW w:w="1888" w:type="dxa"/>
            <w:noWrap/>
            <w:hideMark/>
          </w:tcPr>
          <w:p w14:paraId="573E46A7" w14:textId="478CF5AA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Gross, Eric Alan</w:t>
            </w:r>
          </w:p>
        </w:tc>
        <w:tc>
          <w:tcPr>
            <w:tcW w:w="1978" w:type="dxa"/>
            <w:noWrap/>
            <w:hideMark/>
          </w:tcPr>
          <w:p w14:paraId="4CCF362E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2x2table unavailable</w:t>
            </w:r>
          </w:p>
        </w:tc>
      </w:tr>
      <w:tr w:rsidR="00EF7AFB" w:rsidRPr="00EF7AFB" w14:paraId="7041C3B4" w14:textId="77777777" w:rsidTr="00EF7AFB">
        <w:trPr>
          <w:trHeight w:val="300"/>
        </w:trPr>
        <w:tc>
          <w:tcPr>
            <w:tcW w:w="4557" w:type="dxa"/>
            <w:noWrap/>
            <w:hideMark/>
          </w:tcPr>
          <w:p w14:paraId="714B3353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Is routine portable pelvic X-ray in stable multiple trauma patients always justified in a high technology era?</w:t>
            </w:r>
          </w:p>
        </w:tc>
        <w:tc>
          <w:tcPr>
            <w:tcW w:w="944" w:type="dxa"/>
            <w:noWrap/>
            <w:hideMark/>
          </w:tcPr>
          <w:p w14:paraId="6CFCF5DB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2007</w:t>
            </w:r>
          </w:p>
        </w:tc>
        <w:tc>
          <w:tcPr>
            <w:tcW w:w="1888" w:type="dxa"/>
            <w:noWrap/>
            <w:hideMark/>
          </w:tcPr>
          <w:p w14:paraId="3F70B264" w14:textId="05B94E3B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Kessel, Boris</w:t>
            </w:r>
          </w:p>
        </w:tc>
        <w:tc>
          <w:tcPr>
            <w:tcW w:w="1978" w:type="dxa"/>
            <w:noWrap/>
            <w:hideMark/>
          </w:tcPr>
          <w:p w14:paraId="68B12E15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Wrong index test</w:t>
            </w:r>
          </w:p>
        </w:tc>
      </w:tr>
      <w:tr w:rsidR="00EF7AFB" w:rsidRPr="00EF7AFB" w14:paraId="466DF550" w14:textId="77777777" w:rsidTr="00EF7AFB">
        <w:trPr>
          <w:trHeight w:val="300"/>
        </w:trPr>
        <w:tc>
          <w:tcPr>
            <w:tcW w:w="4557" w:type="dxa"/>
            <w:noWrap/>
            <w:hideMark/>
          </w:tcPr>
          <w:p w14:paraId="25FDB5B2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Necessity of routine pelvic radiograph in the pediatric blunt trauma patient</w:t>
            </w:r>
          </w:p>
        </w:tc>
        <w:tc>
          <w:tcPr>
            <w:tcW w:w="944" w:type="dxa"/>
            <w:noWrap/>
            <w:hideMark/>
          </w:tcPr>
          <w:p w14:paraId="11303752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2008</w:t>
            </w:r>
          </w:p>
        </w:tc>
        <w:tc>
          <w:tcPr>
            <w:tcW w:w="1888" w:type="dxa"/>
            <w:noWrap/>
            <w:hideMark/>
          </w:tcPr>
          <w:p w14:paraId="01C70D79" w14:textId="30FAEE3F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Ramirez, Dana W. E.</w:t>
            </w:r>
          </w:p>
        </w:tc>
        <w:tc>
          <w:tcPr>
            <w:tcW w:w="1978" w:type="dxa"/>
            <w:noWrap/>
            <w:hideMark/>
          </w:tcPr>
          <w:p w14:paraId="16EABD54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Case-control design</w:t>
            </w:r>
          </w:p>
        </w:tc>
      </w:tr>
      <w:tr w:rsidR="00EF7AFB" w:rsidRPr="00EF7AFB" w14:paraId="6F7767D6" w14:textId="77777777" w:rsidTr="00EF7AFB">
        <w:trPr>
          <w:trHeight w:val="300"/>
        </w:trPr>
        <w:tc>
          <w:tcPr>
            <w:tcW w:w="4557" w:type="dxa"/>
            <w:noWrap/>
            <w:hideMark/>
          </w:tcPr>
          <w:p w14:paraId="0368E7F1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Physical Examination is a Poor Screening Test for Abdominal-Pelvic Injury in Adult Blunt Trauma Patients</w:t>
            </w:r>
          </w:p>
        </w:tc>
        <w:tc>
          <w:tcPr>
            <w:tcW w:w="944" w:type="dxa"/>
            <w:noWrap/>
            <w:hideMark/>
          </w:tcPr>
          <w:p w14:paraId="6A96AEE9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2010</w:t>
            </w:r>
          </w:p>
        </w:tc>
        <w:tc>
          <w:tcPr>
            <w:tcW w:w="1888" w:type="dxa"/>
            <w:noWrap/>
            <w:hideMark/>
          </w:tcPr>
          <w:p w14:paraId="31C120D9" w14:textId="2592C54C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proofErr w:type="spellStart"/>
            <w:r w:rsidRPr="00EF7AFB">
              <w:rPr>
                <w:rFonts w:ascii="Times New Roman" w:hAnsi="Times New Roman" w:cs="Times New Roman"/>
              </w:rPr>
              <w:t>Michetti</w:t>
            </w:r>
            <w:proofErr w:type="spellEnd"/>
            <w:r w:rsidRPr="00EF7AFB">
              <w:rPr>
                <w:rFonts w:ascii="Times New Roman" w:hAnsi="Times New Roman" w:cs="Times New Roman"/>
              </w:rPr>
              <w:t>, Christopher P.</w:t>
            </w:r>
          </w:p>
        </w:tc>
        <w:tc>
          <w:tcPr>
            <w:tcW w:w="1978" w:type="dxa"/>
            <w:noWrap/>
            <w:hideMark/>
          </w:tcPr>
          <w:p w14:paraId="3A9E8C41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Wrong index test</w:t>
            </w:r>
          </w:p>
        </w:tc>
      </w:tr>
      <w:tr w:rsidR="00EF7AFB" w:rsidRPr="00EF7AFB" w14:paraId="08A2EDE0" w14:textId="77777777" w:rsidTr="00EF7AFB">
        <w:trPr>
          <w:trHeight w:val="300"/>
        </w:trPr>
        <w:tc>
          <w:tcPr>
            <w:tcW w:w="4557" w:type="dxa"/>
            <w:noWrap/>
            <w:hideMark/>
          </w:tcPr>
          <w:p w14:paraId="52D76EDB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Implementation of a cost-saving algorithm for pelvic radiographs in blunt trauma patients</w:t>
            </w:r>
          </w:p>
        </w:tc>
        <w:tc>
          <w:tcPr>
            <w:tcW w:w="944" w:type="dxa"/>
            <w:noWrap/>
            <w:hideMark/>
          </w:tcPr>
          <w:p w14:paraId="2DC4B9FA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2011</w:t>
            </w:r>
          </w:p>
        </w:tc>
        <w:tc>
          <w:tcPr>
            <w:tcW w:w="1888" w:type="dxa"/>
            <w:noWrap/>
            <w:hideMark/>
          </w:tcPr>
          <w:p w14:paraId="6F1F6D4E" w14:textId="0AA7C95B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proofErr w:type="spellStart"/>
            <w:r w:rsidRPr="00EF7AFB">
              <w:rPr>
                <w:rFonts w:ascii="Times New Roman" w:hAnsi="Times New Roman" w:cs="Times New Roman"/>
              </w:rPr>
              <w:t>Barleben</w:t>
            </w:r>
            <w:proofErr w:type="spellEnd"/>
            <w:r w:rsidRPr="00EF7AFB">
              <w:rPr>
                <w:rFonts w:ascii="Times New Roman" w:hAnsi="Times New Roman" w:cs="Times New Roman"/>
              </w:rPr>
              <w:t>, Andrew</w:t>
            </w:r>
          </w:p>
        </w:tc>
        <w:tc>
          <w:tcPr>
            <w:tcW w:w="1978" w:type="dxa"/>
            <w:noWrap/>
            <w:hideMark/>
          </w:tcPr>
          <w:p w14:paraId="61F4D52C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Wrong index test</w:t>
            </w:r>
          </w:p>
        </w:tc>
      </w:tr>
      <w:tr w:rsidR="00EF7AFB" w:rsidRPr="00EF7AFB" w14:paraId="117FA705" w14:textId="77777777" w:rsidTr="00EF7AFB">
        <w:trPr>
          <w:trHeight w:val="320"/>
        </w:trPr>
        <w:tc>
          <w:tcPr>
            <w:tcW w:w="4557" w:type="dxa"/>
            <w:noWrap/>
            <w:hideMark/>
          </w:tcPr>
          <w:p w14:paraId="6D8C6BA3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Analysis of the necessity of routine tests in trauma patients in the emergency department</w:t>
            </w:r>
          </w:p>
        </w:tc>
        <w:tc>
          <w:tcPr>
            <w:tcW w:w="944" w:type="dxa"/>
            <w:noWrap/>
            <w:hideMark/>
          </w:tcPr>
          <w:p w14:paraId="3F0A2E12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2012</w:t>
            </w:r>
          </w:p>
        </w:tc>
        <w:tc>
          <w:tcPr>
            <w:tcW w:w="1888" w:type="dxa"/>
            <w:noWrap/>
            <w:hideMark/>
          </w:tcPr>
          <w:p w14:paraId="04964B13" w14:textId="61E46C3E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proofErr w:type="spellStart"/>
            <w:r w:rsidRPr="00EF7AFB">
              <w:rPr>
                <w:rFonts w:ascii="Times New Roman" w:hAnsi="Times New Roman" w:cs="Times New Roman"/>
              </w:rPr>
              <w:t>Ozlem</w:t>
            </w:r>
            <w:proofErr w:type="spellEnd"/>
            <w:r w:rsidRPr="00EF7AF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F7AFB">
              <w:rPr>
                <w:rFonts w:ascii="Times New Roman" w:hAnsi="Times New Roman" w:cs="Times New Roman"/>
              </w:rPr>
              <w:t>Koksal</w:t>
            </w:r>
            <w:proofErr w:type="spellEnd"/>
          </w:p>
        </w:tc>
        <w:tc>
          <w:tcPr>
            <w:tcW w:w="1978" w:type="dxa"/>
            <w:noWrap/>
            <w:hideMark/>
          </w:tcPr>
          <w:p w14:paraId="4217435A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Wrong index test</w:t>
            </w:r>
          </w:p>
        </w:tc>
      </w:tr>
      <w:tr w:rsidR="00EF7AFB" w:rsidRPr="00EF7AFB" w14:paraId="21DC757C" w14:textId="77777777" w:rsidTr="00EF7AFB">
        <w:trPr>
          <w:trHeight w:val="300"/>
        </w:trPr>
        <w:tc>
          <w:tcPr>
            <w:tcW w:w="4557" w:type="dxa"/>
            <w:noWrap/>
            <w:hideMark/>
          </w:tcPr>
          <w:p w14:paraId="69371DB1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Indications and performance of pelvic radiography in patients with blunt trauma</w:t>
            </w:r>
          </w:p>
        </w:tc>
        <w:tc>
          <w:tcPr>
            <w:tcW w:w="944" w:type="dxa"/>
            <w:noWrap/>
            <w:hideMark/>
          </w:tcPr>
          <w:p w14:paraId="027AF5F5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2012</w:t>
            </w:r>
          </w:p>
        </w:tc>
        <w:tc>
          <w:tcPr>
            <w:tcW w:w="1888" w:type="dxa"/>
            <w:noWrap/>
            <w:hideMark/>
          </w:tcPr>
          <w:p w14:paraId="423A65A3" w14:textId="13196B9B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Holmes, James F.</w:t>
            </w:r>
          </w:p>
        </w:tc>
        <w:tc>
          <w:tcPr>
            <w:tcW w:w="1978" w:type="dxa"/>
            <w:noWrap/>
            <w:hideMark/>
          </w:tcPr>
          <w:p w14:paraId="755D92FA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Wrong index test</w:t>
            </w:r>
          </w:p>
        </w:tc>
      </w:tr>
      <w:tr w:rsidR="00EF7AFB" w:rsidRPr="00EF7AFB" w14:paraId="31392CF4" w14:textId="77777777" w:rsidTr="00EF7AFB">
        <w:trPr>
          <w:trHeight w:val="300"/>
        </w:trPr>
        <w:tc>
          <w:tcPr>
            <w:tcW w:w="4557" w:type="dxa"/>
            <w:noWrap/>
            <w:hideMark/>
          </w:tcPr>
          <w:p w14:paraId="2193E8D8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Role of routine pelvic radiography in initial evaluation of stable, high-energy, blunt trauma patients</w:t>
            </w:r>
          </w:p>
        </w:tc>
        <w:tc>
          <w:tcPr>
            <w:tcW w:w="944" w:type="dxa"/>
            <w:noWrap/>
            <w:hideMark/>
          </w:tcPr>
          <w:p w14:paraId="4258754B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2013</w:t>
            </w:r>
          </w:p>
        </w:tc>
        <w:tc>
          <w:tcPr>
            <w:tcW w:w="1888" w:type="dxa"/>
            <w:noWrap/>
            <w:hideMark/>
          </w:tcPr>
          <w:p w14:paraId="56989B62" w14:textId="5141CE0F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proofErr w:type="spellStart"/>
            <w:r w:rsidRPr="00EF7AFB">
              <w:rPr>
                <w:rFonts w:ascii="Times New Roman" w:hAnsi="Times New Roman" w:cs="Times New Roman"/>
              </w:rPr>
              <w:t>Paydar</w:t>
            </w:r>
            <w:proofErr w:type="spellEnd"/>
            <w:r w:rsidRPr="00EF7AFB">
              <w:rPr>
                <w:rFonts w:ascii="Times New Roman" w:hAnsi="Times New Roman" w:cs="Times New Roman"/>
              </w:rPr>
              <w:t>, Shahram</w:t>
            </w:r>
          </w:p>
        </w:tc>
        <w:tc>
          <w:tcPr>
            <w:tcW w:w="1978" w:type="dxa"/>
            <w:noWrap/>
            <w:hideMark/>
          </w:tcPr>
          <w:p w14:paraId="56706756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Wrong index test</w:t>
            </w:r>
          </w:p>
        </w:tc>
      </w:tr>
      <w:tr w:rsidR="00EF7AFB" w:rsidRPr="00EF7AFB" w14:paraId="2F05D6A3" w14:textId="77777777" w:rsidTr="00EF7AFB">
        <w:trPr>
          <w:trHeight w:val="300"/>
        </w:trPr>
        <w:tc>
          <w:tcPr>
            <w:tcW w:w="4557" w:type="dxa"/>
            <w:noWrap/>
            <w:hideMark/>
          </w:tcPr>
          <w:p w14:paraId="797E56E4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Patterns of injury and management of children with pelvic fractures at a non-trauma center</w:t>
            </w:r>
          </w:p>
        </w:tc>
        <w:tc>
          <w:tcPr>
            <w:tcW w:w="944" w:type="dxa"/>
            <w:noWrap/>
            <w:hideMark/>
          </w:tcPr>
          <w:p w14:paraId="7ED86940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2014</w:t>
            </w:r>
          </w:p>
        </w:tc>
        <w:tc>
          <w:tcPr>
            <w:tcW w:w="1888" w:type="dxa"/>
            <w:noWrap/>
            <w:hideMark/>
          </w:tcPr>
          <w:p w14:paraId="4F4AC957" w14:textId="648AEA7E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Ortega, Henry W.</w:t>
            </w:r>
          </w:p>
        </w:tc>
        <w:tc>
          <w:tcPr>
            <w:tcW w:w="1978" w:type="dxa"/>
            <w:noWrap/>
            <w:hideMark/>
          </w:tcPr>
          <w:p w14:paraId="3A822D04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Wrong index test</w:t>
            </w:r>
          </w:p>
        </w:tc>
      </w:tr>
      <w:tr w:rsidR="00EF7AFB" w:rsidRPr="00EF7AFB" w14:paraId="0C29BD2A" w14:textId="77777777" w:rsidTr="00EF7AFB">
        <w:trPr>
          <w:trHeight w:val="300"/>
        </w:trPr>
        <w:tc>
          <w:tcPr>
            <w:tcW w:w="4557" w:type="dxa"/>
            <w:noWrap/>
            <w:hideMark/>
          </w:tcPr>
          <w:p w14:paraId="0E07F014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 xml:space="preserve">Clinical and economic effects of selective radiological evaluation of high-energy trauma patients: A prospective experience of a level 1 busy trauma </w:t>
            </w:r>
            <w:proofErr w:type="spellStart"/>
            <w:r w:rsidRPr="00EF7AFB">
              <w:rPr>
                <w:rFonts w:ascii="Times New Roman" w:hAnsi="Times New Roman" w:cs="Times New Roman"/>
              </w:rPr>
              <w:t>centre</w:t>
            </w:r>
            <w:proofErr w:type="spellEnd"/>
          </w:p>
        </w:tc>
        <w:tc>
          <w:tcPr>
            <w:tcW w:w="944" w:type="dxa"/>
            <w:noWrap/>
            <w:hideMark/>
          </w:tcPr>
          <w:p w14:paraId="6191DFF8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2015</w:t>
            </w:r>
          </w:p>
        </w:tc>
        <w:tc>
          <w:tcPr>
            <w:tcW w:w="1888" w:type="dxa"/>
            <w:noWrap/>
            <w:hideMark/>
          </w:tcPr>
          <w:p w14:paraId="344A097B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proofErr w:type="spellStart"/>
            <w:r w:rsidRPr="00EF7AFB">
              <w:rPr>
                <w:rFonts w:ascii="Times New Roman" w:hAnsi="Times New Roman" w:cs="Times New Roman"/>
              </w:rPr>
              <w:t>Paydar</w:t>
            </w:r>
            <w:proofErr w:type="spellEnd"/>
            <w:r w:rsidRPr="00EF7AFB">
              <w:rPr>
                <w:rFonts w:ascii="Times New Roman" w:hAnsi="Times New Roman" w:cs="Times New Roman"/>
              </w:rPr>
              <w:t>, Shahram</w:t>
            </w:r>
          </w:p>
        </w:tc>
        <w:tc>
          <w:tcPr>
            <w:tcW w:w="1978" w:type="dxa"/>
            <w:noWrap/>
            <w:hideMark/>
          </w:tcPr>
          <w:p w14:paraId="07BD81D0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Wrong purpose or type of study</w:t>
            </w:r>
          </w:p>
        </w:tc>
      </w:tr>
      <w:tr w:rsidR="00EF7AFB" w:rsidRPr="00EF7AFB" w14:paraId="2417C78A" w14:textId="77777777" w:rsidTr="00EF7AFB">
        <w:trPr>
          <w:trHeight w:val="300"/>
        </w:trPr>
        <w:tc>
          <w:tcPr>
            <w:tcW w:w="4557" w:type="dxa"/>
            <w:noWrap/>
            <w:hideMark/>
          </w:tcPr>
          <w:p w14:paraId="384ABB5E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Reducing unnecessary portable pelvic radiographs in trauma patients: A resident-driven quality improvement initiative</w:t>
            </w:r>
          </w:p>
        </w:tc>
        <w:tc>
          <w:tcPr>
            <w:tcW w:w="944" w:type="dxa"/>
            <w:noWrap/>
            <w:hideMark/>
          </w:tcPr>
          <w:p w14:paraId="2602C716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2015</w:t>
            </w:r>
          </w:p>
        </w:tc>
        <w:tc>
          <w:tcPr>
            <w:tcW w:w="1888" w:type="dxa"/>
            <w:noWrap/>
            <w:hideMark/>
          </w:tcPr>
          <w:p w14:paraId="539C6AD6" w14:textId="4052C3D5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Langer, Jessica M.</w:t>
            </w:r>
          </w:p>
        </w:tc>
        <w:tc>
          <w:tcPr>
            <w:tcW w:w="1978" w:type="dxa"/>
            <w:noWrap/>
            <w:hideMark/>
          </w:tcPr>
          <w:p w14:paraId="5CE04DDC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Wrong purpose or type of study</w:t>
            </w:r>
          </w:p>
        </w:tc>
      </w:tr>
      <w:tr w:rsidR="00EF7AFB" w:rsidRPr="00EF7AFB" w14:paraId="15B6FEA6" w14:textId="77777777" w:rsidTr="00EF7AFB">
        <w:trPr>
          <w:trHeight w:val="300"/>
        </w:trPr>
        <w:tc>
          <w:tcPr>
            <w:tcW w:w="4557" w:type="dxa"/>
            <w:noWrap/>
            <w:hideMark/>
          </w:tcPr>
          <w:p w14:paraId="3F4ED213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lastRenderedPageBreak/>
              <w:t>Significance of clinical examination, CT and MRI scan in the diagnosis of posterior pelvic ring fractures</w:t>
            </w:r>
          </w:p>
        </w:tc>
        <w:tc>
          <w:tcPr>
            <w:tcW w:w="944" w:type="dxa"/>
            <w:noWrap/>
            <w:hideMark/>
          </w:tcPr>
          <w:p w14:paraId="4DDDEDAE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2015</w:t>
            </w:r>
          </w:p>
        </w:tc>
        <w:tc>
          <w:tcPr>
            <w:tcW w:w="1888" w:type="dxa"/>
            <w:noWrap/>
            <w:hideMark/>
          </w:tcPr>
          <w:p w14:paraId="55F410B0" w14:textId="422F96F9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 xml:space="preserve">J.V. Nu ̈ </w:t>
            </w:r>
            <w:proofErr w:type="spellStart"/>
            <w:r w:rsidRPr="00EF7AFB">
              <w:rPr>
                <w:rFonts w:ascii="Times New Roman" w:hAnsi="Times New Roman" w:cs="Times New Roman"/>
              </w:rPr>
              <w:t>chtern</w:t>
            </w:r>
            <w:proofErr w:type="spellEnd"/>
          </w:p>
        </w:tc>
        <w:tc>
          <w:tcPr>
            <w:tcW w:w="1978" w:type="dxa"/>
            <w:noWrap/>
            <w:hideMark/>
          </w:tcPr>
          <w:p w14:paraId="6AA6A28E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Wrong purpose or type of study</w:t>
            </w:r>
          </w:p>
        </w:tc>
      </w:tr>
      <w:tr w:rsidR="00EF7AFB" w:rsidRPr="00EF7AFB" w14:paraId="1F176C9C" w14:textId="77777777" w:rsidTr="00EF7AFB">
        <w:trPr>
          <w:trHeight w:val="300"/>
        </w:trPr>
        <w:tc>
          <w:tcPr>
            <w:tcW w:w="4557" w:type="dxa"/>
            <w:noWrap/>
            <w:hideMark/>
          </w:tcPr>
          <w:p w14:paraId="2853F0B6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Skip and save: Utility of pelvic x-rays in the initial evaluation of blunt trauma patients</w:t>
            </w:r>
          </w:p>
        </w:tc>
        <w:tc>
          <w:tcPr>
            <w:tcW w:w="944" w:type="dxa"/>
            <w:noWrap/>
            <w:hideMark/>
          </w:tcPr>
          <w:p w14:paraId="374637C1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2015</w:t>
            </w:r>
          </w:p>
        </w:tc>
        <w:tc>
          <w:tcPr>
            <w:tcW w:w="1888" w:type="dxa"/>
            <w:noWrap/>
            <w:hideMark/>
          </w:tcPr>
          <w:p w14:paraId="1BD5C573" w14:textId="36BFAB12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Soto, Jose Raul</w:t>
            </w:r>
          </w:p>
        </w:tc>
        <w:tc>
          <w:tcPr>
            <w:tcW w:w="1978" w:type="dxa"/>
            <w:noWrap/>
            <w:hideMark/>
          </w:tcPr>
          <w:p w14:paraId="12AA01E5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Case-control design</w:t>
            </w:r>
          </w:p>
        </w:tc>
      </w:tr>
      <w:tr w:rsidR="00EF7AFB" w:rsidRPr="00EF7AFB" w14:paraId="6823187E" w14:textId="77777777" w:rsidTr="00EF7AFB">
        <w:trPr>
          <w:trHeight w:val="300"/>
        </w:trPr>
        <w:tc>
          <w:tcPr>
            <w:tcW w:w="4557" w:type="dxa"/>
            <w:noWrap/>
            <w:hideMark/>
          </w:tcPr>
          <w:p w14:paraId="60AE5BE9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Use of the initial trauma CT scan to aid in diagnosis of open pelvic fractures</w:t>
            </w:r>
          </w:p>
        </w:tc>
        <w:tc>
          <w:tcPr>
            <w:tcW w:w="944" w:type="dxa"/>
            <w:noWrap/>
            <w:hideMark/>
          </w:tcPr>
          <w:p w14:paraId="1C08DF2D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2015</w:t>
            </w:r>
          </w:p>
        </w:tc>
        <w:tc>
          <w:tcPr>
            <w:tcW w:w="1888" w:type="dxa"/>
            <w:noWrap/>
            <w:hideMark/>
          </w:tcPr>
          <w:p w14:paraId="1B66798C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proofErr w:type="spellStart"/>
            <w:r w:rsidRPr="00EF7AFB">
              <w:rPr>
                <w:rFonts w:ascii="Times New Roman" w:hAnsi="Times New Roman" w:cs="Times New Roman"/>
              </w:rPr>
              <w:t>Scolaro</w:t>
            </w:r>
            <w:proofErr w:type="spellEnd"/>
            <w:r w:rsidRPr="00EF7AFB">
              <w:rPr>
                <w:rFonts w:ascii="Times New Roman" w:hAnsi="Times New Roman" w:cs="Times New Roman"/>
              </w:rPr>
              <w:t>, John A.</w:t>
            </w:r>
          </w:p>
        </w:tc>
        <w:tc>
          <w:tcPr>
            <w:tcW w:w="1978" w:type="dxa"/>
            <w:noWrap/>
            <w:hideMark/>
          </w:tcPr>
          <w:p w14:paraId="69471CA7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Wrong index test</w:t>
            </w:r>
          </w:p>
        </w:tc>
      </w:tr>
      <w:tr w:rsidR="00EF7AFB" w:rsidRPr="00EF7AFB" w14:paraId="55EAF9A7" w14:textId="77777777" w:rsidTr="00EF7AFB">
        <w:trPr>
          <w:trHeight w:val="300"/>
        </w:trPr>
        <w:tc>
          <w:tcPr>
            <w:tcW w:w="4557" w:type="dxa"/>
            <w:noWrap/>
            <w:hideMark/>
          </w:tcPr>
          <w:p w14:paraId="256F9435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Pre-hospital pelvic girdle injury: Improving diagnostic accuracy in a physician-led trauma service</w:t>
            </w:r>
          </w:p>
        </w:tc>
        <w:tc>
          <w:tcPr>
            <w:tcW w:w="944" w:type="dxa"/>
            <w:noWrap/>
            <w:hideMark/>
          </w:tcPr>
          <w:p w14:paraId="44958773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2016</w:t>
            </w:r>
          </w:p>
        </w:tc>
        <w:tc>
          <w:tcPr>
            <w:tcW w:w="1888" w:type="dxa"/>
            <w:noWrap/>
            <w:hideMark/>
          </w:tcPr>
          <w:p w14:paraId="377A2A95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Yong, E.</w:t>
            </w:r>
          </w:p>
        </w:tc>
        <w:tc>
          <w:tcPr>
            <w:tcW w:w="1978" w:type="dxa"/>
            <w:noWrap/>
            <w:hideMark/>
          </w:tcPr>
          <w:p w14:paraId="4543D263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Wrong index test</w:t>
            </w:r>
          </w:p>
        </w:tc>
      </w:tr>
      <w:tr w:rsidR="00EF7AFB" w:rsidRPr="00EF7AFB" w14:paraId="74994D0D" w14:textId="77777777" w:rsidTr="00EF7AFB">
        <w:trPr>
          <w:trHeight w:val="300"/>
        </w:trPr>
        <w:tc>
          <w:tcPr>
            <w:tcW w:w="4557" w:type="dxa"/>
            <w:noWrap/>
            <w:hideMark/>
          </w:tcPr>
          <w:p w14:paraId="327865C5" w14:textId="7AE7EE28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Prehospital assessment of injury type and severity in severely injured patients by emergency physicians: An analysis of the Trauma Register DGU</w:t>
            </w:r>
          </w:p>
        </w:tc>
        <w:tc>
          <w:tcPr>
            <w:tcW w:w="944" w:type="dxa"/>
            <w:noWrap/>
            <w:hideMark/>
          </w:tcPr>
          <w:p w14:paraId="4FE4F1D6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2017</w:t>
            </w:r>
          </w:p>
        </w:tc>
        <w:tc>
          <w:tcPr>
            <w:tcW w:w="1888" w:type="dxa"/>
            <w:noWrap/>
            <w:hideMark/>
          </w:tcPr>
          <w:p w14:paraId="1D1E6C38" w14:textId="7212987E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proofErr w:type="spellStart"/>
            <w:r w:rsidRPr="00EF7AFB">
              <w:rPr>
                <w:rFonts w:ascii="Times New Roman" w:hAnsi="Times New Roman" w:cs="Times New Roman"/>
              </w:rPr>
              <w:t>Esmer</w:t>
            </w:r>
            <w:proofErr w:type="spellEnd"/>
            <w:r w:rsidRPr="00EF7AFB">
              <w:rPr>
                <w:rFonts w:ascii="Times New Roman" w:hAnsi="Times New Roman" w:cs="Times New Roman"/>
              </w:rPr>
              <w:t>, E.</w:t>
            </w:r>
          </w:p>
        </w:tc>
        <w:tc>
          <w:tcPr>
            <w:tcW w:w="1978" w:type="dxa"/>
            <w:noWrap/>
            <w:hideMark/>
          </w:tcPr>
          <w:p w14:paraId="7E8FFAE6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Wrong index test</w:t>
            </w:r>
          </w:p>
        </w:tc>
      </w:tr>
      <w:tr w:rsidR="00EF7AFB" w:rsidRPr="00EF7AFB" w14:paraId="7B1AFD42" w14:textId="77777777" w:rsidTr="00EF7AFB">
        <w:trPr>
          <w:trHeight w:val="300"/>
        </w:trPr>
        <w:tc>
          <w:tcPr>
            <w:tcW w:w="4557" w:type="dxa"/>
            <w:noWrap/>
            <w:hideMark/>
          </w:tcPr>
          <w:p w14:paraId="382DE389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Negative Stress Examination Under Anesthesia Reliably Predicts Pelvic Ring Union Without Displacement</w:t>
            </w:r>
          </w:p>
        </w:tc>
        <w:tc>
          <w:tcPr>
            <w:tcW w:w="944" w:type="dxa"/>
            <w:noWrap/>
            <w:hideMark/>
          </w:tcPr>
          <w:p w14:paraId="537EC354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2017</w:t>
            </w:r>
          </w:p>
        </w:tc>
        <w:tc>
          <w:tcPr>
            <w:tcW w:w="1888" w:type="dxa"/>
            <w:noWrap/>
            <w:hideMark/>
          </w:tcPr>
          <w:p w14:paraId="41184F13" w14:textId="4E711A80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Whiting, Paul S.</w:t>
            </w:r>
          </w:p>
        </w:tc>
        <w:tc>
          <w:tcPr>
            <w:tcW w:w="1978" w:type="dxa"/>
            <w:noWrap/>
            <w:hideMark/>
          </w:tcPr>
          <w:p w14:paraId="40CC5D10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Wrong population</w:t>
            </w:r>
          </w:p>
        </w:tc>
      </w:tr>
      <w:tr w:rsidR="00EF7AFB" w:rsidRPr="00EF7AFB" w14:paraId="343127D1" w14:textId="77777777" w:rsidTr="00EF7AFB">
        <w:trPr>
          <w:trHeight w:val="300"/>
        </w:trPr>
        <w:tc>
          <w:tcPr>
            <w:tcW w:w="4557" w:type="dxa"/>
            <w:noWrap/>
            <w:hideMark/>
          </w:tcPr>
          <w:p w14:paraId="5572D3FF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Straight leg elevation to rule out pelvic injury</w:t>
            </w:r>
          </w:p>
        </w:tc>
        <w:tc>
          <w:tcPr>
            <w:tcW w:w="944" w:type="dxa"/>
            <w:noWrap/>
            <w:hideMark/>
          </w:tcPr>
          <w:p w14:paraId="313BC3C4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2018</w:t>
            </w:r>
          </w:p>
        </w:tc>
        <w:tc>
          <w:tcPr>
            <w:tcW w:w="1888" w:type="dxa"/>
            <w:noWrap/>
            <w:hideMark/>
          </w:tcPr>
          <w:p w14:paraId="5CD1FFC8" w14:textId="64127CBC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Bolt, Caroline</w:t>
            </w:r>
          </w:p>
        </w:tc>
        <w:tc>
          <w:tcPr>
            <w:tcW w:w="1978" w:type="dxa"/>
            <w:noWrap/>
            <w:hideMark/>
          </w:tcPr>
          <w:p w14:paraId="0220823E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Wrong index test</w:t>
            </w:r>
          </w:p>
        </w:tc>
      </w:tr>
      <w:tr w:rsidR="00EF7AFB" w:rsidRPr="00EF7AFB" w14:paraId="7381A529" w14:textId="77777777" w:rsidTr="00EF7AFB">
        <w:trPr>
          <w:trHeight w:val="300"/>
        </w:trPr>
        <w:tc>
          <w:tcPr>
            <w:tcW w:w="4557" w:type="dxa"/>
            <w:noWrap/>
            <w:hideMark/>
          </w:tcPr>
          <w:p w14:paraId="5CD1459B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The patellar pubic percussion test: a simple bedside tool for suspected occult hip fractures</w:t>
            </w:r>
          </w:p>
        </w:tc>
        <w:tc>
          <w:tcPr>
            <w:tcW w:w="944" w:type="dxa"/>
            <w:noWrap/>
            <w:hideMark/>
          </w:tcPr>
          <w:p w14:paraId="6368437E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2018</w:t>
            </w:r>
          </w:p>
        </w:tc>
        <w:tc>
          <w:tcPr>
            <w:tcW w:w="1888" w:type="dxa"/>
            <w:noWrap/>
            <w:hideMark/>
          </w:tcPr>
          <w:p w14:paraId="31F2201A" w14:textId="34482924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proofErr w:type="spellStart"/>
            <w:r w:rsidRPr="00EF7AFB">
              <w:rPr>
                <w:rFonts w:ascii="Times New Roman" w:hAnsi="Times New Roman" w:cs="Times New Roman"/>
              </w:rPr>
              <w:t>Smeets</w:t>
            </w:r>
            <w:proofErr w:type="spellEnd"/>
            <w:r w:rsidRPr="00EF7AFB">
              <w:rPr>
                <w:rFonts w:ascii="Times New Roman" w:hAnsi="Times New Roman" w:cs="Times New Roman"/>
              </w:rPr>
              <w:t xml:space="preserve">, Stef </w:t>
            </w:r>
            <w:proofErr w:type="spellStart"/>
            <w:r w:rsidRPr="00EF7AFB">
              <w:rPr>
                <w:rFonts w:ascii="Times New Roman" w:hAnsi="Times New Roman" w:cs="Times New Roman"/>
              </w:rPr>
              <w:t>Jozef</w:t>
            </w:r>
            <w:proofErr w:type="spellEnd"/>
            <w:r w:rsidRPr="00EF7AFB">
              <w:rPr>
                <w:rFonts w:ascii="Times New Roman" w:hAnsi="Times New Roman" w:cs="Times New Roman"/>
              </w:rPr>
              <w:t xml:space="preserve"> Marie</w:t>
            </w:r>
          </w:p>
        </w:tc>
        <w:tc>
          <w:tcPr>
            <w:tcW w:w="1978" w:type="dxa"/>
            <w:noWrap/>
            <w:hideMark/>
          </w:tcPr>
          <w:p w14:paraId="42488777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Wrong purpose or type of study</w:t>
            </w:r>
          </w:p>
        </w:tc>
      </w:tr>
      <w:tr w:rsidR="00EF7AFB" w:rsidRPr="00EF7AFB" w14:paraId="410A4047" w14:textId="77777777" w:rsidTr="00EF7AFB">
        <w:trPr>
          <w:trHeight w:val="300"/>
        </w:trPr>
        <w:tc>
          <w:tcPr>
            <w:tcW w:w="4557" w:type="dxa"/>
            <w:noWrap/>
            <w:hideMark/>
          </w:tcPr>
          <w:p w14:paraId="4FAA1A4B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Is there any benefit in the pre-hospital application of pelvic binders in patients with suspected pelvic injuries?</w:t>
            </w:r>
          </w:p>
        </w:tc>
        <w:tc>
          <w:tcPr>
            <w:tcW w:w="944" w:type="dxa"/>
            <w:noWrap/>
            <w:hideMark/>
          </w:tcPr>
          <w:p w14:paraId="4BBF8796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2019</w:t>
            </w:r>
          </w:p>
        </w:tc>
        <w:tc>
          <w:tcPr>
            <w:tcW w:w="1888" w:type="dxa"/>
            <w:noWrap/>
            <w:hideMark/>
          </w:tcPr>
          <w:p w14:paraId="0DC16541" w14:textId="4F5F12AF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proofErr w:type="spellStart"/>
            <w:r w:rsidRPr="00EF7AFB">
              <w:rPr>
                <w:rFonts w:ascii="Times New Roman" w:hAnsi="Times New Roman" w:cs="Times New Roman"/>
              </w:rPr>
              <w:t>Schweigkofler</w:t>
            </w:r>
            <w:proofErr w:type="spellEnd"/>
            <w:r w:rsidRPr="00EF7AFB">
              <w:rPr>
                <w:rFonts w:ascii="Times New Roman" w:hAnsi="Times New Roman" w:cs="Times New Roman"/>
              </w:rPr>
              <w:t>, Uwe</w:t>
            </w:r>
          </w:p>
        </w:tc>
        <w:tc>
          <w:tcPr>
            <w:tcW w:w="1978" w:type="dxa"/>
            <w:noWrap/>
            <w:hideMark/>
          </w:tcPr>
          <w:p w14:paraId="372FD4FA" w14:textId="77777777" w:rsidR="00EF7AFB" w:rsidRPr="00EF7AFB" w:rsidRDefault="00EF7AFB" w:rsidP="00EF7AFB">
            <w:pPr>
              <w:jc w:val="left"/>
              <w:rPr>
                <w:rFonts w:ascii="Times New Roman" w:hAnsi="Times New Roman" w:cs="Times New Roman"/>
              </w:rPr>
            </w:pPr>
            <w:r w:rsidRPr="00EF7AFB">
              <w:rPr>
                <w:rFonts w:ascii="Times New Roman" w:hAnsi="Times New Roman" w:cs="Times New Roman"/>
              </w:rPr>
              <w:t>Wrong purpose or type of study</w:t>
            </w:r>
          </w:p>
        </w:tc>
      </w:tr>
    </w:tbl>
    <w:p w14:paraId="0883D4A4" w14:textId="77777777" w:rsidR="00EF7AFB" w:rsidRPr="00EF7AFB" w:rsidRDefault="00EF7AFB">
      <w:pPr>
        <w:rPr>
          <w:rFonts w:ascii="Times New Roman" w:hAnsi="Times New Roman" w:cs="Times New Roman"/>
        </w:rPr>
      </w:pPr>
    </w:p>
    <w:p w14:paraId="2CE1A403" w14:textId="77777777" w:rsidR="00EF7AFB" w:rsidRPr="00EF7AFB" w:rsidRDefault="00EF7AFB">
      <w:pPr>
        <w:rPr>
          <w:rFonts w:ascii="Times New Roman" w:hAnsi="Times New Roman" w:cs="Times New Roman"/>
        </w:rPr>
      </w:pPr>
    </w:p>
    <w:p w14:paraId="165D09B7" w14:textId="77777777" w:rsidR="00EF7AFB" w:rsidRPr="00EF7AFB" w:rsidRDefault="00EF7AFB">
      <w:pPr>
        <w:rPr>
          <w:rFonts w:ascii="Times New Roman" w:hAnsi="Times New Roman" w:cs="Times New Roman"/>
        </w:rPr>
      </w:pPr>
    </w:p>
    <w:p w14:paraId="26277F43" w14:textId="77777777" w:rsidR="00EF7AFB" w:rsidRDefault="00EF7AFB"/>
    <w:p w14:paraId="327335E4" w14:textId="77777777" w:rsidR="0072270B" w:rsidRDefault="0072270B"/>
    <w:p w14:paraId="291E1D2D" w14:textId="77777777" w:rsidR="0072270B" w:rsidRDefault="0072270B">
      <w:pPr>
        <w:sectPr w:rsidR="0072270B" w:rsidSect="0091767A">
          <w:type w:val="continuous"/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14:paraId="4D478128" w14:textId="701CE41E" w:rsidR="0072270B" w:rsidRDefault="00B45EDC" w:rsidP="0072270B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lastRenderedPageBreak/>
        <w:t xml:space="preserve">S-Table 2. </w:t>
      </w:r>
      <w:r w:rsidR="0072270B" w:rsidRPr="0072270B">
        <w:rPr>
          <w:rFonts w:ascii="Times New Roman" w:hAnsi="Times New Roman" w:cs="Times New Roman"/>
          <w:b/>
          <w:bCs/>
        </w:rPr>
        <w:t xml:space="preserve">The detail of the </w:t>
      </w:r>
      <w:r w:rsidR="0072270B">
        <w:rPr>
          <w:rFonts w:ascii="Times New Roman" w:hAnsi="Times New Roman" w:cs="Times New Roman"/>
          <w:b/>
          <w:bCs/>
        </w:rPr>
        <w:t>assessment of QUDAS-2 tool</w:t>
      </w: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1223"/>
        <w:gridCol w:w="700"/>
        <w:gridCol w:w="910"/>
        <w:gridCol w:w="809"/>
        <w:gridCol w:w="1319"/>
        <w:gridCol w:w="1071"/>
        <w:gridCol w:w="769"/>
        <w:gridCol w:w="1135"/>
        <w:gridCol w:w="1215"/>
        <w:gridCol w:w="769"/>
        <w:gridCol w:w="1138"/>
        <w:gridCol w:w="821"/>
        <w:gridCol w:w="268"/>
        <w:gridCol w:w="611"/>
        <w:gridCol w:w="1642"/>
      </w:tblGrid>
      <w:tr w:rsidR="002A41E4" w:rsidRPr="002A41E4" w14:paraId="5E4AF8BE" w14:textId="77777777" w:rsidTr="00E27A0B">
        <w:trPr>
          <w:trHeight w:val="327"/>
        </w:trPr>
        <w:tc>
          <w:tcPr>
            <w:tcW w:w="425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A4499" w14:textId="77777777" w:rsidR="0072270B" w:rsidRPr="0072270B" w:rsidRDefault="0072270B" w:rsidP="0072270B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  <w:t> </w:t>
            </w:r>
          </w:p>
        </w:tc>
        <w:tc>
          <w:tcPr>
            <w:tcW w:w="243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65DE7" w14:textId="77777777" w:rsidR="0072270B" w:rsidRPr="0072270B" w:rsidRDefault="0072270B" w:rsidP="0072270B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  <w:t> </w:t>
            </w:r>
          </w:p>
        </w:tc>
        <w:tc>
          <w:tcPr>
            <w:tcW w:w="1427" w:type="pct"/>
            <w:gridSpan w:val="4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D22DC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5"/>
                <w:szCs w:val="15"/>
                <w:lang/>
              </w:rPr>
              <w:t>Patients selection</w:t>
            </w:r>
          </w:p>
        </w:tc>
        <w:tc>
          <w:tcPr>
            <w:tcW w:w="1083" w:type="pct"/>
            <w:gridSpan w:val="3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F37BF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5"/>
                <w:szCs w:val="15"/>
                <w:lang/>
              </w:rPr>
              <w:t>Index test</w:t>
            </w:r>
          </w:p>
        </w:tc>
        <w:tc>
          <w:tcPr>
            <w:tcW w:w="1040" w:type="pct"/>
            <w:gridSpan w:val="4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A94E5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5"/>
                <w:szCs w:val="15"/>
                <w:lang/>
              </w:rPr>
              <w:t>Ref</w:t>
            </w:r>
          </w:p>
        </w:tc>
        <w:tc>
          <w:tcPr>
            <w:tcW w:w="782" w:type="pct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EEE5B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5"/>
                <w:szCs w:val="15"/>
                <w:lang/>
              </w:rPr>
              <w:t>Patients flow</w:t>
            </w:r>
          </w:p>
        </w:tc>
      </w:tr>
      <w:tr w:rsidR="002A41E4" w:rsidRPr="002A41E4" w14:paraId="67C665C7" w14:textId="77777777" w:rsidTr="00E27A0B">
        <w:trPr>
          <w:trHeight w:val="327"/>
        </w:trPr>
        <w:tc>
          <w:tcPr>
            <w:tcW w:w="42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356923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5"/>
                <w:szCs w:val="15"/>
                <w:lang/>
              </w:rPr>
              <w:t>Author</w:t>
            </w:r>
          </w:p>
        </w:tc>
        <w:tc>
          <w:tcPr>
            <w:tcW w:w="24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0F54EF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5"/>
                <w:szCs w:val="15"/>
                <w:lang/>
              </w:rPr>
              <w:t>Year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3A19FC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5"/>
                <w:szCs w:val="15"/>
                <w:lang/>
              </w:rPr>
              <w:t>Bias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03A520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5"/>
                <w:szCs w:val="15"/>
                <w:lang/>
              </w:rPr>
              <w:t>Reason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E28887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5"/>
                <w:szCs w:val="15"/>
                <w:lang/>
              </w:rPr>
              <w:t>Applicability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9C7CF5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5"/>
                <w:szCs w:val="15"/>
                <w:lang/>
              </w:rPr>
              <w:t>Reason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729BA4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5"/>
                <w:szCs w:val="15"/>
                <w:lang/>
              </w:rPr>
              <w:t>Bias</w:t>
            </w:r>
          </w:p>
        </w:tc>
        <w:tc>
          <w:tcPr>
            <w:tcW w:w="39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C9DE35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5"/>
                <w:szCs w:val="15"/>
                <w:lang/>
              </w:rPr>
              <w:t>Applicability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5E8C37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5"/>
                <w:szCs w:val="15"/>
                <w:lang/>
              </w:rPr>
              <w:t>Reason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3608A7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5"/>
                <w:szCs w:val="15"/>
                <w:lang/>
              </w:rPr>
              <w:t>Bias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F6AD15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5"/>
                <w:szCs w:val="15"/>
                <w:lang/>
              </w:rPr>
              <w:t>Applicability</w:t>
            </w:r>
          </w:p>
        </w:tc>
        <w:tc>
          <w:tcPr>
            <w:tcW w:w="28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5AE43B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5"/>
                <w:szCs w:val="15"/>
                <w:lang/>
              </w:rPr>
              <w:t>Reason</w:t>
            </w:r>
          </w:p>
        </w:tc>
        <w:tc>
          <w:tcPr>
            <w:tcW w:w="305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F290F7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5"/>
                <w:szCs w:val="15"/>
                <w:lang/>
              </w:rPr>
              <w:t>Bias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B00BED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5"/>
                <w:szCs w:val="15"/>
                <w:lang/>
              </w:rPr>
              <w:t>Reason</w:t>
            </w:r>
          </w:p>
        </w:tc>
      </w:tr>
      <w:tr w:rsidR="00E27A0B" w:rsidRPr="002A41E4" w14:paraId="67221857" w14:textId="77777777" w:rsidTr="00E27A0B">
        <w:trPr>
          <w:trHeight w:val="327"/>
        </w:trPr>
        <w:tc>
          <w:tcPr>
            <w:tcW w:w="42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B6599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  <w:t>Civil, et al</w:t>
            </w:r>
          </w:p>
        </w:tc>
        <w:tc>
          <w:tcPr>
            <w:tcW w:w="24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58469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  <w:t>1988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D9E1F2" w:fill="C6EFCE"/>
            <w:noWrap/>
            <w:vAlign w:val="center"/>
            <w:hideMark/>
          </w:tcPr>
          <w:p w14:paraId="34A58437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  <w:t>Low</w:t>
            </w:r>
          </w:p>
        </w:tc>
        <w:tc>
          <w:tcPr>
            <w:tcW w:w="28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E042D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D9E1F2" w:fill="C6EFCE"/>
            <w:noWrap/>
            <w:vAlign w:val="center"/>
            <w:hideMark/>
          </w:tcPr>
          <w:p w14:paraId="16831628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  <w:t>Low concern</w:t>
            </w:r>
          </w:p>
        </w:tc>
        <w:tc>
          <w:tcPr>
            <w:tcW w:w="37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5ADE9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</w:pPr>
          </w:p>
        </w:tc>
        <w:tc>
          <w:tcPr>
            <w:tcW w:w="26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D9E1F2" w:fill="C6EFCE"/>
            <w:noWrap/>
            <w:vAlign w:val="center"/>
            <w:hideMark/>
          </w:tcPr>
          <w:p w14:paraId="151D9206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  <w:t>Low</w:t>
            </w:r>
          </w:p>
        </w:tc>
        <w:tc>
          <w:tcPr>
            <w:tcW w:w="39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D9E1F2" w:fill="C6EFCE"/>
            <w:noWrap/>
            <w:vAlign w:val="center"/>
            <w:hideMark/>
          </w:tcPr>
          <w:p w14:paraId="2A77A382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  <w:t>Low concern</w:t>
            </w:r>
          </w:p>
        </w:tc>
        <w:tc>
          <w:tcPr>
            <w:tcW w:w="42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875F6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</w:pPr>
          </w:p>
        </w:tc>
        <w:tc>
          <w:tcPr>
            <w:tcW w:w="26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D9E1F2" w:fill="FFC7CE"/>
            <w:noWrap/>
            <w:vAlign w:val="center"/>
            <w:hideMark/>
          </w:tcPr>
          <w:p w14:paraId="07624001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  <w:t>High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D9E1F2" w:fill="FFC7CE"/>
            <w:noWrap/>
            <w:vAlign w:val="center"/>
            <w:hideMark/>
          </w:tcPr>
          <w:p w14:paraId="5F3E0D79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  <w:t>High concern</w:t>
            </w:r>
          </w:p>
        </w:tc>
        <w:tc>
          <w:tcPr>
            <w:tcW w:w="28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7D41D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  <w:t>Blind was unclear</w:t>
            </w:r>
          </w:p>
        </w:tc>
        <w:tc>
          <w:tcPr>
            <w:tcW w:w="305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D9E1F2" w:fill="C6EFCE"/>
            <w:noWrap/>
            <w:vAlign w:val="center"/>
            <w:hideMark/>
          </w:tcPr>
          <w:p w14:paraId="5DB151B9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  <w:t>Low</w:t>
            </w:r>
          </w:p>
        </w:tc>
        <w:tc>
          <w:tcPr>
            <w:tcW w:w="57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90357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</w:pPr>
          </w:p>
        </w:tc>
      </w:tr>
      <w:tr w:rsidR="00E27A0B" w:rsidRPr="002A41E4" w14:paraId="24E56994" w14:textId="77777777" w:rsidTr="00E27A0B">
        <w:trPr>
          <w:trHeight w:val="327"/>
        </w:trPr>
        <w:tc>
          <w:tcPr>
            <w:tcW w:w="425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CA5A3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  <w:t>Grant</w:t>
            </w:r>
          </w:p>
        </w:tc>
        <w:tc>
          <w:tcPr>
            <w:tcW w:w="243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B247F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  <w:t>1990</w:t>
            </w:r>
          </w:p>
        </w:tc>
        <w:tc>
          <w:tcPr>
            <w:tcW w:w="316" w:type="pct"/>
            <w:tcBorders>
              <w:left w:val="nil"/>
              <w:bottom w:val="nil"/>
              <w:right w:val="nil"/>
            </w:tcBorders>
            <w:shd w:val="clear" w:color="D9E1F2" w:fill="FFC7CE"/>
            <w:noWrap/>
            <w:vAlign w:val="center"/>
            <w:hideMark/>
          </w:tcPr>
          <w:p w14:paraId="29F40483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  <w:t>High</w:t>
            </w:r>
          </w:p>
        </w:tc>
        <w:tc>
          <w:tcPr>
            <w:tcW w:w="281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DF068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  <w:t>Inappropriate Inclusion</w:t>
            </w:r>
          </w:p>
        </w:tc>
        <w:tc>
          <w:tcPr>
            <w:tcW w:w="458" w:type="pct"/>
            <w:tcBorders>
              <w:left w:val="nil"/>
              <w:bottom w:val="nil"/>
              <w:right w:val="nil"/>
            </w:tcBorders>
            <w:shd w:val="clear" w:color="D9E1F2" w:fill="FFC7CE"/>
            <w:noWrap/>
            <w:vAlign w:val="center"/>
            <w:hideMark/>
          </w:tcPr>
          <w:p w14:paraId="5BDC7EF3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  <w:t>High</w:t>
            </w:r>
          </w:p>
        </w:tc>
        <w:tc>
          <w:tcPr>
            <w:tcW w:w="372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F20D2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  <w:t>Inappropriate Inclusion</w:t>
            </w:r>
          </w:p>
        </w:tc>
        <w:tc>
          <w:tcPr>
            <w:tcW w:w="267" w:type="pct"/>
            <w:tcBorders>
              <w:left w:val="nil"/>
              <w:bottom w:val="nil"/>
              <w:right w:val="nil"/>
            </w:tcBorders>
            <w:shd w:val="clear" w:color="D9E1F2" w:fill="C6EFCE"/>
            <w:noWrap/>
            <w:vAlign w:val="center"/>
            <w:hideMark/>
          </w:tcPr>
          <w:p w14:paraId="3A9AEB63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  <w:t>Low</w:t>
            </w:r>
          </w:p>
        </w:tc>
        <w:tc>
          <w:tcPr>
            <w:tcW w:w="394" w:type="pct"/>
            <w:tcBorders>
              <w:left w:val="nil"/>
              <w:bottom w:val="nil"/>
              <w:right w:val="nil"/>
            </w:tcBorders>
            <w:shd w:val="clear" w:color="D9E1F2" w:fill="C6EFCE"/>
            <w:noWrap/>
            <w:vAlign w:val="center"/>
            <w:hideMark/>
          </w:tcPr>
          <w:p w14:paraId="6444F94C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  <w:t>Low concern</w:t>
            </w:r>
          </w:p>
        </w:tc>
        <w:tc>
          <w:tcPr>
            <w:tcW w:w="422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CCBA0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</w:pPr>
          </w:p>
        </w:tc>
        <w:tc>
          <w:tcPr>
            <w:tcW w:w="267" w:type="pct"/>
            <w:tcBorders>
              <w:left w:val="nil"/>
              <w:bottom w:val="nil"/>
              <w:right w:val="nil"/>
            </w:tcBorders>
            <w:shd w:val="clear" w:color="D9E1F2" w:fill="C6EFCE"/>
            <w:noWrap/>
            <w:vAlign w:val="center"/>
            <w:hideMark/>
          </w:tcPr>
          <w:p w14:paraId="7CBC8BFE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  <w:t>Low</w:t>
            </w:r>
          </w:p>
        </w:tc>
        <w:tc>
          <w:tcPr>
            <w:tcW w:w="395" w:type="pct"/>
            <w:tcBorders>
              <w:left w:val="nil"/>
              <w:bottom w:val="nil"/>
              <w:right w:val="nil"/>
            </w:tcBorders>
            <w:shd w:val="clear" w:color="D9E1F2" w:fill="FFC7CE"/>
            <w:noWrap/>
            <w:vAlign w:val="center"/>
            <w:hideMark/>
          </w:tcPr>
          <w:p w14:paraId="68538B6D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  <w:t>High concern</w:t>
            </w:r>
          </w:p>
        </w:tc>
        <w:tc>
          <w:tcPr>
            <w:tcW w:w="285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8D40C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</w:pPr>
          </w:p>
        </w:tc>
        <w:tc>
          <w:tcPr>
            <w:tcW w:w="305" w:type="pct"/>
            <w:gridSpan w:val="2"/>
            <w:tcBorders>
              <w:left w:val="nil"/>
              <w:bottom w:val="nil"/>
              <w:right w:val="nil"/>
            </w:tcBorders>
            <w:shd w:val="clear" w:color="D9E1F2" w:fill="FFC7CE"/>
            <w:noWrap/>
            <w:vAlign w:val="center"/>
            <w:hideMark/>
          </w:tcPr>
          <w:p w14:paraId="1B8BCF71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  <w:t>High</w:t>
            </w:r>
          </w:p>
        </w:tc>
        <w:tc>
          <w:tcPr>
            <w:tcW w:w="570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1D7EC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  <w:t>Inappropriate Exclusion in analysis</w:t>
            </w:r>
          </w:p>
        </w:tc>
      </w:tr>
      <w:tr w:rsidR="00E27A0B" w:rsidRPr="002A41E4" w14:paraId="2723343E" w14:textId="77777777" w:rsidTr="00E27A0B">
        <w:trPr>
          <w:trHeight w:val="327"/>
        </w:trPr>
        <w:tc>
          <w:tcPr>
            <w:tcW w:w="425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01B60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  <w:t>Salvino, et al</w:t>
            </w:r>
          </w:p>
        </w:tc>
        <w:tc>
          <w:tcPr>
            <w:tcW w:w="243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6E5B9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  <w:t>1992</w:t>
            </w:r>
          </w:p>
        </w:tc>
        <w:tc>
          <w:tcPr>
            <w:tcW w:w="316" w:type="pct"/>
            <w:tcBorders>
              <w:left w:val="nil"/>
              <w:bottom w:val="nil"/>
              <w:right w:val="nil"/>
            </w:tcBorders>
            <w:shd w:val="clear" w:color="D9E1F2" w:fill="C6EFCE"/>
            <w:noWrap/>
            <w:vAlign w:val="center"/>
            <w:hideMark/>
          </w:tcPr>
          <w:p w14:paraId="1ED7DEB9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  <w:t>Low</w:t>
            </w:r>
          </w:p>
        </w:tc>
        <w:tc>
          <w:tcPr>
            <w:tcW w:w="281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823FD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</w:pPr>
          </w:p>
        </w:tc>
        <w:tc>
          <w:tcPr>
            <w:tcW w:w="458" w:type="pct"/>
            <w:tcBorders>
              <w:left w:val="nil"/>
              <w:bottom w:val="nil"/>
              <w:right w:val="nil"/>
            </w:tcBorders>
            <w:shd w:val="clear" w:color="D9E1F2" w:fill="C6EFCE"/>
            <w:noWrap/>
            <w:vAlign w:val="center"/>
            <w:hideMark/>
          </w:tcPr>
          <w:p w14:paraId="33D9975F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  <w:t>Low concern</w:t>
            </w:r>
          </w:p>
        </w:tc>
        <w:tc>
          <w:tcPr>
            <w:tcW w:w="372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0F805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</w:pPr>
          </w:p>
        </w:tc>
        <w:tc>
          <w:tcPr>
            <w:tcW w:w="267" w:type="pct"/>
            <w:tcBorders>
              <w:left w:val="nil"/>
              <w:bottom w:val="nil"/>
              <w:right w:val="nil"/>
            </w:tcBorders>
            <w:shd w:val="clear" w:color="D9E1F2" w:fill="C6EFCE"/>
            <w:noWrap/>
            <w:vAlign w:val="center"/>
            <w:hideMark/>
          </w:tcPr>
          <w:p w14:paraId="7D87AFDB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  <w:t>Low</w:t>
            </w:r>
          </w:p>
        </w:tc>
        <w:tc>
          <w:tcPr>
            <w:tcW w:w="394" w:type="pct"/>
            <w:tcBorders>
              <w:left w:val="nil"/>
              <w:bottom w:val="nil"/>
              <w:right w:val="nil"/>
            </w:tcBorders>
            <w:shd w:val="clear" w:color="D9E1F2" w:fill="C6EFCE"/>
            <w:noWrap/>
            <w:vAlign w:val="center"/>
            <w:hideMark/>
          </w:tcPr>
          <w:p w14:paraId="59724ECE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  <w:t>Low concern</w:t>
            </w:r>
          </w:p>
        </w:tc>
        <w:tc>
          <w:tcPr>
            <w:tcW w:w="422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6248F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</w:pPr>
          </w:p>
        </w:tc>
        <w:tc>
          <w:tcPr>
            <w:tcW w:w="267" w:type="pct"/>
            <w:tcBorders>
              <w:left w:val="nil"/>
              <w:bottom w:val="nil"/>
              <w:right w:val="nil"/>
            </w:tcBorders>
            <w:shd w:val="clear" w:color="D9E1F2" w:fill="C6EFCE"/>
            <w:noWrap/>
            <w:vAlign w:val="center"/>
            <w:hideMark/>
          </w:tcPr>
          <w:p w14:paraId="4AF52EC2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  <w:t>Low</w:t>
            </w:r>
          </w:p>
        </w:tc>
        <w:tc>
          <w:tcPr>
            <w:tcW w:w="395" w:type="pct"/>
            <w:tcBorders>
              <w:left w:val="nil"/>
              <w:bottom w:val="nil"/>
              <w:right w:val="nil"/>
            </w:tcBorders>
            <w:shd w:val="clear" w:color="D9E1F2" w:fill="FFC7CE"/>
            <w:noWrap/>
            <w:vAlign w:val="center"/>
            <w:hideMark/>
          </w:tcPr>
          <w:p w14:paraId="3B0F93C8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  <w:t>High concern</w:t>
            </w:r>
          </w:p>
        </w:tc>
        <w:tc>
          <w:tcPr>
            <w:tcW w:w="285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5282F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</w:pPr>
          </w:p>
        </w:tc>
        <w:tc>
          <w:tcPr>
            <w:tcW w:w="305" w:type="pct"/>
            <w:gridSpan w:val="2"/>
            <w:tcBorders>
              <w:left w:val="nil"/>
              <w:bottom w:val="nil"/>
              <w:right w:val="nil"/>
            </w:tcBorders>
            <w:shd w:val="clear" w:color="D9E1F2" w:fill="C6EFCE"/>
            <w:noWrap/>
            <w:vAlign w:val="center"/>
            <w:hideMark/>
          </w:tcPr>
          <w:p w14:paraId="5E038CAE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  <w:t>Low</w:t>
            </w:r>
          </w:p>
        </w:tc>
        <w:tc>
          <w:tcPr>
            <w:tcW w:w="570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8E7D8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</w:pPr>
          </w:p>
        </w:tc>
      </w:tr>
      <w:tr w:rsidR="00E27A0B" w:rsidRPr="002A41E4" w14:paraId="53B5205D" w14:textId="77777777" w:rsidTr="00E27A0B">
        <w:trPr>
          <w:trHeight w:val="327"/>
        </w:trPr>
        <w:tc>
          <w:tcPr>
            <w:tcW w:w="425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80226" w14:textId="4A463E78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  <w:t>Yugueros, et al</w:t>
            </w:r>
          </w:p>
        </w:tc>
        <w:tc>
          <w:tcPr>
            <w:tcW w:w="243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71431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  <w:t>1995</w:t>
            </w:r>
          </w:p>
        </w:tc>
        <w:tc>
          <w:tcPr>
            <w:tcW w:w="316" w:type="pct"/>
            <w:tcBorders>
              <w:left w:val="nil"/>
              <w:bottom w:val="nil"/>
              <w:right w:val="nil"/>
            </w:tcBorders>
            <w:shd w:val="clear" w:color="D9E1F2" w:fill="C6EFCE"/>
            <w:noWrap/>
            <w:vAlign w:val="center"/>
            <w:hideMark/>
          </w:tcPr>
          <w:p w14:paraId="44EE71F8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  <w:t>Low</w:t>
            </w:r>
          </w:p>
        </w:tc>
        <w:tc>
          <w:tcPr>
            <w:tcW w:w="281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70C97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</w:pPr>
          </w:p>
        </w:tc>
        <w:tc>
          <w:tcPr>
            <w:tcW w:w="458" w:type="pct"/>
            <w:tcBorders>
              <w:left w:val="nil"/>
              <w:bottom w:val="nil"/>
              <w:right w:val="nil"/>
            </w:tcBorders>
            <w:shd w:val="clear" w:color="D9E1F2" w:fill="C6EFCE"/>
            <w:noWrap/>
            <w:vAlign w:val="center"/>
            <w:hideMark/>
          </w:tcPr>
          <w:p w14:paraId="5FCAB9FF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  <w:t>Low concern</w:t>
            </w:r>
          </w:p>
        </w:tc>
        <w:tc>
          <w:tcPr>
            <w:tcW w:w="372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E4DDD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</w:pPr>
          </w:p>
        </w:tc>
        <w:tc>
          <w:tcPr>
            <w:tcW w:w="267" w:type="pct"/>
            <w:tcBorders>
              <w:left w:val="nil"/>
              <w:bottom w:val="nil"/>
              <w:right w:val="nil"/>
            </w:tcBorders>
            <w:shd w:val="clear" w:color="D9E1F2" w:fill="C6EFCE"/>
            <w:noWrap/>
            <w:vAlign w:val="center"/>
            <w:hideMark/>
          </w:tcPr>
          <w:p w14:paraId="7A0E1C81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  <w:t>Low</w:t>
            </w:r>
          </w:p>
        </w:tc>
        <w:tc>
          <w:tcPr>
            <w:tcW w:w="394" w:type="pct"/>
            <w:tcBorders>
              <w:left w:val="nil"/>
              <w:bottom w:val="nil"/>
              <w:right w:val="nil"/>
            </w:tcBorders>
            <w:shd w:val="clear" w:color="D9E1F2" w:fill="C6EFCE"/>
            <w:noWrap/>
            <w:vAlign w:val="center"/>
            <w:hideMark/>
          </w:tcPr>
          <w:p w14:paraId="0A687F92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  <w:t>Low concern</w:t>
            </w:r>
          </w:p>
        </w:tc>
        <w:tc>
          <w:tcPr>
            <w:tcW w:w="422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2BD82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</w:pPr>
          </w:p>
        </w:tc>
        <w:tc>
          <w:tcPr>
            <w:tcW w:w="267" w:type="pct"/>
            <w:tcBorders>
              <w:left w:val="nil"/>
              <w:bottom w:val="nil"/>
              <w:right w:val="nil"/>
            </w:tcBorders>
            <w:shd w:val="clear" w:color="D9E1F2" w:fill="C6EFCE"/>
            <w:noWrap/>
            <w:vAlign w:val="center"/>
            <w:hideMark/>
          </w:tcPr>
          <w:p w14:paraId="2C5D0A48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  <w:t>Low</w:t>
            </w:r>
          </w:p>
        </w:tc>
        <w:tc>
          <w:tcPr>
            <w:tcW w:w="395" w:type="pct"/>
            <w:tcBorders>
              <w:left w:val="nil"/>
              <w:bottom w:val="nil"/>
              <w:right w:val="nil"/>
            </w:tcBorders>
            <w:shd w:val="clear" w:color="D9E1F2" w:fill="FFC7CE"/>
            <w:noWrap/>
            <w:vAlign w:val="center"/>
            <w:hideMark/>
          </w:tcPr>
          <w:p w14:paraId="08602EC5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  <w:t>High concern</w:t>
            </w:r>
          </w:p>
        </w:tc>
        <w:tc>
          <w:tcPr>
            <w:tcW w:w="285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F0166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</w:pPr>
          </w:p>
        </w:tc>
        <w:tc>
          <w:tcPr>
            <w:tcW w:w="305" w:type="pct"/>
            <w:gridSpan w:val="2"/>
            <w:tcBorders>
              <w:left w:val="nil"/>
              <w:bottom w:val="nil"/>
              <w:right w:val="nil"/>
            </w:tcBorders>
            <w:shd w:val="clear" w:color="D9E1F2" w:fill="C6EFCE"/>
            <w:noWrap/>
            <w:vAlign w:val="center"/>
            <w:hideMark/>
          </w:tcPr>
          <w:p w14:paraId="28158AFC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  <w:t>Low</w:t>
            </w:r>
          </w:p>
        </w:tc>
        <w:tc>
          <w:tcPr>
            <w:tcW w:w="570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1B2CC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</w:pPr>
          </w:p>
        </w:tc>
      </w:tr>
      <w:tr w:rsidR="00E27A0B" w:rsidRPr="002A41E4" w14:paraId="41217065" w14:textId="77777777" w:rsidTr="00E27A0B">
        <w:trPr>
          <w:trHeight w:val="327"/>
        </w:trPr>
        <w:tc>
          <w:tcPr>
            <w:tcW w:w="425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76AF9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  <w:t>SD. John, et al</w:t>
            </w:r>
          </w:p>
        </w:tc>
        <w:tc>
          <w:tcPr>
            <w:tcW w:w="243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FAE78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  <w:t>1996</w:t>
            </w:r>
          </w:p>
        </w:tc>
        <w:tc>
          <w:tcPr>
            <w:tcW w:w="316" w:type="pct"/>
            <w:tcBorders>
              <w:left w:val="nil"/>
              <w:bottom w:val="nil"/>
              <w:right w:val="nil"/>
            </w:tcBorders>
            <w:shd w:val="clear" w:color="D9E1F2" w:fill="FFC7CE"/>
            <w:noWrap/>
            <w:vAlign w:val="center"/>
            <w:hideMark/>
          </w:tcPr>
          <w:p w14:paraId="37950D88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  <w:t>High</w:t>
            </w:r>
          </w:p>
        </w:tc>
        <w:tc>
          <w:tcPr>
            <w:tcW w:w="281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4EF5F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  <w:t>Inappropriate Inclusion</w:t>
            </w:r>
          </w:p>
        </w:tc>
        <w:tc>
          <w:tcPr>
            <w:tcW w:w="458" w:type="pct"/>
            <w:tcBorders>
              <w:left w:val="nil"/>
              <w:bottom w:val="nil"/>
              <w:right w:val="nil"/>
            </w:tcBorders>
            <w:shd w:val="clear" w:color="D9E1F2" w:fill="FFC7CE"/>
            <w:noWrap/>
            <w:vAlign w:val="center"/>
            <w:hideMark/>
          </w:tcPr>
          <w:p w14:paraId="45D00EF7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  <w:t>High concern</w:t>
            </w:r>
          </w:p>
        </w:tc>
        <w:tc>
          <w:tcPr>
            <w:tcW w:w="372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AF285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  <w:t>Inappropriate Inclusion</w:t>
            </w:r>
          </w:p>
        </w:tc>
        <w:tc>
          <w:tcPr>
            <w:tcW w:w="267" w:type="pct"/>
            <w:tcBorders>
              <w:left w:val="nil"/>
              <w:bottom w:val="nil"/>
              <w:right w:val="nil"/>
            </w:tcBorders>
            <w:shd w:val="clear" w:color="000000" w:fill="FFC7CE"/>
            <w:noWrap/>
            <w:vAlign w:val="center"/>
            <w:hideMark/>
          </w:tcPr>
          <w:p w14:paraId="3F96BB86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  <w:t>High</w:t>
            </w:r>
          </w:p>
        </w:tc>
        <w:tc>
          <w:tcPr>
            <w:tcW w:w="394" w:type="pct"/>
            <w:tcBorders>
              <w:left w:val="nil"/>
              <w:bottom w:val="nil"/>
              <w:right w:val="nil"/>
            </w:tcBorders>
            <w:shd w:val="clear" w:color="D9E1F2" w:fill="FFC7CE"/>
            <w:noWrap/>
            <w:vAlign w:val="center"/>
            <w:hideMark/>
          </w:tcPr>
          <w:p w14:paraId="14A4CA0A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  <w:t>High concern</w:t>
            </w:r>
          </w:p>
        </w:tc>
        <w:tc>
          <w:tcPr>
            <w:tcW w:w="422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7AA9E" w14:textId="77777777" w:rsidR="0072270B" w:rsidRPr="0072270B" w:rsidRDefault="0072270B" w:rsidP="0072270B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  <w:t>Index test Positive was unclar</w:t>
            </w:r>
          </w:p>
        </w:tc>
        <w:tc>
          <w:tcPr>
            <w:tcW w:w="267" w:type="pct"/>
            <w:tcBorders>
              <w:left w:val="nil"/>
              <w:bottom w:val="nil"/>
              <w:right w:val="nil"/>
            </w:tcBorders>
            <w:shd w:val="clear" w:color="D9E1F2" w:fill="FFC7CE"/>
            <w:noWrap/>
            <w:vAlign w:val="center"/>
            <w:hideMark/>
          </w:tcPr>
          <w:p w14:paraId="22891FBB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  <w:t>High</w:t>
            </w:r>
          </w:p>
        </w:tc>
        <w:tc>
          <w:tcPr>
            <w:tcW w:w="395" w:type="pct"/>
            <w:tcBorders>
              <w:left w:val="nil"/>
              <w:bottom w:val="nil"/>
              <w:right w:val="nil"/>
            </w:tcBorders>
            <w:shd w:val="clear" w:color="D9E1F2" w:fill="FFC7CE"/>
            <w:noWrap/>
            <w:vAlign w:val="center"/>
            <w:hideMark/>
          </w:tcPr>
          <w:p w14:paraId="0193027C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  <w:t>High concern</w:t>
            </w:r>
          </w:p>
        </w:tc>
        <w:tc>
          <w:tcPr>
            <w:tcW w:w="285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2EF56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  <w:t>Reader and Blindness</w:t>
            </w:r>
          </w:p>
        </w:tc>
        <w:tc>
          <w:tcPr>
            <w:tcW w:w="305" w:type="pct"/>
            <w:gridSpan w:val="2"/>
            <w:tcBorders>
              <w:left w:val="nil"/>
              <w:bottom w:val="nil"/>
              <w:right w:val="nil"/>
            </w:tcBorders>
            <w:shd w:val="clear" w:color="D9E1F2" w:fill="FFC7CE"/>
            <w:noWrap/>
            <w:vAlign w:val="center"/>
            <w:hideMark/>
          </w:tcPr>
          <w:p w14:paraId="5A34C175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  <w:t>High</w:t>
            </w:r>
          </w:p>
        </w:tc>
        <w:tc>
          <w:tcPr>
            <w:tcW w:w="570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E9D9D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  <w:t>Inappropriate Exclusion in analysis</w:t>
            </w:r>
          </w:p>
        </w:tc>
      </w:tr>
      <w:tr w:rsidR="00E27A0B" w:rsidRPr="002A41E4" w14:paraId="228C9710" w14:textId="77777777" w:rsidTr="00E27A0B">
        <w:trPr>
          <w:trHeight w:val="327"/>
        </w:trPr>
        <w:tc>
          <w:tcPr>
            <w:tcW w:w="425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19CCC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  <w:t>Heath, et al</w:t>
            </w:r>
          </w:p>
        </w:tc>
        <w:tc>
          <w:tcPr>
            <w:tcW w:w="243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90A3C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  <w:t>1997</w:t>
            </w:r>
          </w:p>
        </w:tc>
        <w:tc>
          <w:tcPr>
            <w:tcW w:w="316" w:type="pct"/>
            <w:tcBorders>
              <w:left w:val="nil"/>
              <w:bottom w:val="nil"/>
              <w:right w:val="nil"/>
            </w:tcBorders>
            <w:shd w:val="clear" w:color="D9E1F2" w:fill="FFC7CE"/>
            <w:noWrap/>
            <w:vAlign w:val="center"/>
            <w:hideMark/>
          </w:tcPr>
          <w:p w14:paraId="191A8E9E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  <w:t>High</w:t>
            </w:r>
          </w:p>
        </w:tc>
        <w:tc>
          <w:tcPr>
            <w:tcW w:w="281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E0FC1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  <w:t>Inappropriate exclusion</w:t>
            </w:r>
          </w:p>
        </w:tc>
        <w:tc>
          <w:tcPr>
            <w:tcW w:w="458" w:type="pct"/>
            <w:tcBorders>
              <w:left w:val="nil"/>
              <w:bottom w:val="nil"/>
              <w:right w:val="nil"/>
            </w:tcBorders>
            <w:shd w:val="clear" w:color="D9E1F2" w:fill="FFC7CE"/>
            <w:noWrap/>
            <w:vAlign w:val="center"/>
            <w:hideMark/>
          </w:tcPr>
          <w:p w14:paraId="240F161D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  <w:t>High concern</w:t>
            </w:r>
          </w:p>
        </w:tc>
        <w:tc>
          <w:tcPr>
            <w:tcW w:w="372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01672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  <w:t>Inappropriate exclusion</w:t>
            </w:r>
          </w:p>
        </w:tc>
        <w:tc>
          <w:tcPr>
            <w:tcW w:w="267" w:type="pct"/>
            <w:tcBorders>
              <w:left w:val="nil"/>
              <w:bottom w:val="nil"/>
              <w:right w:val="nil"/>
            </w:tcBorders>
            <w:shd w:val="clear" w:color="000000" w:fill="FFC7CE"/>
            <w:noWrap/>
            <w:vAlign w:val="center"/>
            <w:hideMark/>
          </w:tcPr>
          <w:p w14:paraId="56FA114B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  <w:t>High</w:t>
            </w:r>
          </w:p>
        </w:tc>
        <w:tc>
          <w:tcPr>
            <w:tcW w:w="394" w:type="pct"/>
            <w:tcBorders>
              <w:left w:val="nil"/>
              <w:bottom w:val="nil"/>
              <w:right w:val="nil"/>
            </w:tcBorders>
            <w:shd w:val="clear" w:color="D9E1F2" w:fill="FFC7CE"/>
            <w:noWrap/>
            <w:vAlign w:val="center"/>
            <w:hideMark/>
          </w:tcPr>
          <w:p w14:paraId="52764A14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  <w:t>High concern</w:t>
            </w:r>
          </w:p>
        </w:tc>
        <w:tc>
          <w:tcPr>
            <w:tcW w:w="422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4C752" w14:textId="77777777" w:rsidR="0072270B" w:rsidRPr="0072270B" w:rsidRDefault="0072270B" w:rsidP="0072270B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  <w:t>Index test Positive was unclar</w:t>
            </w:r>
          </w:p>
        </w:tc>
        <w:tc>
          <w:tcPr>
            <w:tcW w:w="267" w:type="pct"/>
            <w:tcBorders>
              <w:left w:val="nil"/>
              <w:bottom w:val="nil"/>
              <w:right w:val="nil"/>
            </w:tcBorders>
            <w:shd w:val="clear" w:color="D9E1F2" w:fill="FFC7CE"/>
            <w:noWrap/>
            <w:vAlign w:val="center"/>
            <w:hideMark/>
          </w:tcPr>
          <w:p w14:paraId="155F5767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  <w:t>High</w:t>
            </w:r>
          </w:p>
        </w:tc>
        <w:tc>
          <w:tcPr>
            <w:tcW w:w="395" w:type="pct"/>
            <w:tcBorders>
              <w:left w:val="nil"/>
              <w:bottom w:val="nil"/>
              <w:right w:val="nil"/>
            </w:tcBorders>
            <w:shd w:val="clear" w:color="D9E1F2" w:fill="FFC7CE"/>
            <w:noWrap/>
            <w:vAlign w:val="center"/>
            <w:hideMark/>
          </w:tcPr>
          <w:p w14:paraId="05A8D041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  <w:t>High concern</w:t>
            </w:r>
          </w:p>
        </w:tc>
        <w:tc>
          <w:tcPr>
            <w:tcW w:w="285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A0C2E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  <w:t>Reader and Blindness</w:t>
            </w:r>
          </w:p>
        </w:tc>
        <w:tc>
          <w:tcPr>
            <w:tcW w:w="305" w:type="pct"/>
            <w:gridSpan w:val="2"/>
            <w:tcBorders>
              <w:left w:val="nil"/>
              <w:bottom w:val="nil"/>
              <w:right w:val="nil"/>
            </w:tcBorders>
            <w:shd w:val="clear" w:color="D9E1F2" w:fill="FFC7CE"/>
            <w:noWrap/>
            <w:vAlign w:val="center"/>
            <w:hideMark/>
          </w:tcPr>
          <w:p w14:paraId="0BC20DE4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  <w:t>High</w:t>
            </w:r>
          </w:p>
        </w:tc>
        <w:tc>
          <w:tcPr>
            <w:tcW w:w="570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B9AC1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  <w:t>Inappropriate Exclusion in analysis</w:t>
            </w:r>
          </w:p>
        </w:tc>
      </w:tr>
      <w:tr w:rsidR="00E27A0B" w:rsidRPr="002A41E4" w14:paraId="2D00E8AE" w14:textId="77777777" w:rsidTr="00E27A0B">
        <w:trPr>
          <w:trHeight w:val="327"/>
        </w:trPr>
        <w:tc>
          <w:tcPr>
            <w:tcW w:w="425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BF617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  <w:t>Junkins, et al </w:t>
            </w:r>
          </w:p>
        </w:tc>
        <w:tc>
          <w:tcPr>
            <w:tcW w:w="243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C8973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  <w:t>2000</w:t>
            </w:r>
          </w:p>
        </w:tc>
        <w:tc>
          <w:tcPr>
            <w:tcW w:w="316" w:type="pct"/>
            <w:tcBorders>
              <w:left w:val="nil"/>
              <w:bottom w:val="nil"/>
              <w:right w:val="nil"/>
            </w:tcBorders>
            <w:shd w:val="clear" w:color="D9E1F2" w:fill="C6EFCE"/>
            <w:noWrap/>
            <w:vAlign w:val="center"/>
            <w:hideMark/>
          </w:tcPr>
          <w:p w14:paraId="58E1EA5A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  <w:t>Low</w:t>
            </w:r>
          </w:p>
        </w:tc>
        <w:tc>
          <w:tcPr>
            <w:tcW w:w="281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855E9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</w:pPr>
          </w:p>
        </w:tc>
        <w:tc>
          <w:tcPr>
            <w:tcW w:w="458" w:type="pct"/>
            <w:tcBorders>
              <w:left w:val="nil"/>
              <w:bottom w:val="nil"/>
              <w:right w:val="nil"/>
            </w:tcBorders>
            <w:shd w:val="clear" w:color="D9E1F2" w:fill="C6EFCE"/>
            <w:noWrap/>
            <w:vAlign w:val="center"/>
            <w:hideMark/>
          </w:tcPr>
          <w:p w14:paraId="0534B5F9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  <w:t>Low concern</w:t>
            </w:r>
          </w:p>
        </w:tc>
        <w:tc>
          <w:tcPr>
            <w:tcW w:w="372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5BB57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</w:pPr>
          </w:p>
        </w:tc>
        <w:tc>
          <w:tcPr>
            <w:tcW w:w="267" w:type="pct"/>
            <w:tcBorders>
              <w:left w:val="nil"/>
              <w:bottom w:val="nil"/>
              <w:right w:val="nil"/>
            </w:tcBorders>
            <w:shd w:val="clear" w:color="D9E1F2" w:fill="C6EFCE"/>
            <w:noWrap/>
            <w:vAlign w:val="center"/>
            <w:hideMark/>
          </w:tcPr>
          <w:p w14:paraId="7260E70C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  <w:t>Low</w:t>
            </w:r>
          </w:p>
        </w:tc>
        <w:tc>
          <w:tcPr>
            <w:tcW w:w="394" w:type="pct"/>
            <w:tcBorders>
              <w:left w:val="nil"/>
              <w:bottom w:val="nil"/>
              <w:right w:val="nil"/>
            </w:tcBorders>
            <w:shd w:val="clear" w:color="D9E1F2" w:fill="C6EFCE"/>
            <w:noWrap/>
            <w:vAlign w:val="center"/>
            <w:hideMark/>
          </w:tcPr>
          <w:p w14:paraId="0A8CAD86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  <w:t>Low concern</w:t>
            </w:r>
          </w:p>
        </w:tc>
        <w:tc>
          <w:tcPr>
            <w:tcW w:w="422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9B263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</w:pPr>
          </w:p>
        </w:tc>
        <w:tc>
          <w:tcPr>
            <w:tcW w:w="267" w:type="pct"/>
            <w:tcBorders>
              <w:left w:val="nil"/>
              <w:bottom w:val="nil"/>
              <w:right w:val="nil"/>
            </w:tcBorders>
            <w:shd w:val="clear" w:color="D9E1F2" w:fill="C6EFCE"/>
            <w:noWrap/>
            <w:vAlign w:val="center"/>
            <w:hideMark/>
          </w:tcPr>
          <w:p w14:paraId="0D6D6F76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  <w:t>Low</w:t>
            </w:r>
          </w:p>
        </w:tc>
        <w:tc>
          <w:tcPr>
            <w:tcW w:w="395" w:type="pct"/>
            <w:tcBorders>
              <w:left w:val="nil"/>
              <w:bottom w:val="nil"/>
              <w:right w:val="nil"/>
            </w:tcBorders>
            <w:shd w:val="clear" w:color="D9E1F2" w:fill="C6EFCE"/>
            <w:noWrap/>
            <w:vAlign w:val="center"/>
            <w:hideMark/>
          </w:tcPr>
          <w:p w14:paraId="3A59C022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  <w:t>Low concern</w:t>
            </w:r>
          </w:p>
        </w:tc>
        <w:tc>
          <w:tcPr>
            <w:tcW w:w="285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CB005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</w:pPr>
          </w:p>
        </w:tc>
        <w:tc>
          <w:tcPr>
            <w:tcW w:w="305" w:type="pct"/>
            <w:gridSpan w:val="2"/>
            <w:tcBorders>
              <w:left w:val="nil"/>
              <w:bottom w:val="nil"/>
              <w:right w:val="nil"/>
            </w:tcBorders>
            <w:shd w:val="clear" w:color="D9E1F2" w:fill="C6EFCE"/>
            <w:noWrap/>
            <w:vAlign w:val="center"/>
            <w:hideMark/>
          </w:tcPr>
          <w:p w14:paraId="6D697738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  <w:t>Low</w:t>
            </w:r>
          </w:p>
        </w:tc>
        <w:tc>
          <w:tcPr>
            <w:tcW w:w="570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FA385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</w:pPr>
          </w:p>
        </w:tc>
      </w:tr>
      <w:tr w:rsidR="00E27A0B" w:rsidRPr="002A41E4" w14:paraId="582DCB93" w14:textId="77777777" w:rsidTr="00E27A0B">
        <w:trPr>
          <w:trHeight w:val="327"/>
        </w:trPr>
        <w:tc>
          <w:tcPr>
            <w:tcW w:w="425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B1A02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  <w:t>Duane, et al</w:t>
            </w:r>
          </w:p>
        </w:tc>
        <w:tc>
          <w:tcPr>
            <w:tcW w:w="243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16B15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  <w:t>2002</w:t>
            </w:r>
          </w:p>
        </w:tc>
        <w:tc>
          <w:tcPr>
            <w:tcW w:w="316" w:type="pct"/>
            <w:tcBorders>
              <w:left w:val="nil"/>
              <w:bottom w:val="nil"/>
              <w:right w:val="nil"/>
            </w:tcBorders>
            <w:shd w:val="clear" w:color="D9E1F2" w:fill="FFC7CE"/>
            <w:noWrap/>
            <w:vAlign w:val="center"/>
            <w:hideMark/>
          </w:tcPr>
          <w:p w14:paraId="5285F2D9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  <w:t>High</w:t>
            </w:r>
          </w:p>
        </w:tc>
        <w:tc>
          <w:tcPr>
            <w:tcW w:w="281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25016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  <w:t>Inappropriate exclusion</w:t>
            </w:r>
          </w:p>
        </w:tc>
        <w:tc>
          <w:tcPr>
            <w:tcW w:w="458" w:type="pct"/>
            <w:tcBorders>
              <w:left w:val="nil"/>
              <w:bottom w:val="nil"/>
              <w:right w:val="nil"/>
            </w:tcBorders>
            <w:shd w:val="clear" w:color="D9E1F2" w:fill="FFC7CE"/>
            <w:noWrap/>
            <w:vAlign w:val="center"/>
            <w:hideMark/>
          </w:tcPr>
          <w:p w14:paraId="7487535A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  <w:t>High concern</w:t>
            </w:r>
          </w:p>
        </w:tc>
        <w:tc>
          <w:tcPr>
            <w:tcW w:w="372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58B2D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  <w:t>Inappropriate exclusion</w:t>
            </w:r>
          </w:p>
        </w:tc>
        <w:tc>
          <w:tcPr>
            <w:tcW w:w="267" w:type="pct"/>
            <w:tcBorders>
              <w:left w:val="nil"/>
              <w:bottom w:val="nil"/>
              <w:right w:val="nil"/>
            </w:tcBorders>
            <w:shd w:val="clear" w:color="D9E1F2" w:fill="C6EFCE"/>
            <w:noWrap/>
            <w:vAlign w:val="center"/>
            <w:hideMark/>
          </w:tcPr>
          <w:p w14:paraId="3208EAFB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  <w:t>Low</w:t>
            </w:r>
          </w:p>
        </w:tc>
        <w:tc>
          <w:tcPr>
            <w:tcW w:w="394" w:type="pct"/>
            <w:tcBorders>
              <w:left w:val="nil"/>
              <w:bottom w:val="nil"/>
              <w:right w:val="nil"/>
            </w:tcBorders>
            <w:shd w:val="clear" w:color="D9E1F2" w:fill="C6EFCE"/>
            <w:noWrap/>
            <w:vAlign w:val="center"/>
            <w:hideMark/>
          </w:tcPr>
          <w:p w14:paraId="1B2B6A6A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  <w:t>Low concern</w:t>
            </w:r>
          </w:p>
        </w:tc>
        <w:tc>
          <w:tcPr>
            <w:tcW w:w="422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E2611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</w:pPr>
          </w:p>
        </w:tc>
        <w:tc>
          <w:tcPr>
            <w:tcW w:w="267" w:type="pct"/>
            <w:tcBorders>
              <w:left w:val="nil"/>
              <w:bottom w:val="nil"/>
              <w:right w:val="nil"/>
            </w:tcBorders>
            <w:shd w:val="clear" w:color="D9E1F2" w:fill="FFC7CE"/>
            <w:noWrap/>
            <w:vAlign w:val="center"/>
            <w:hideMark/>
          </w:tcPr>
          <w:p w14:paraId="2D2757E8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  <w:t>High</w:t>
            </w:r>
          </w:p>
        </w:tc>
        <w:tc>
          <w:tcPr>
            <w:tcW w:w="395" w:type="pct"/>
            <w:tcBorders>
              <w:left w:val="nil"/>
              <w:bottom w:val="nil"/>
              <w:right w:val="nil"/>
            </w:tcBorders>
            <w:shd w:val="clear" w:color="D9E1F2" w:fill="FFC7CE"/>
            <w:noWrap/>
            <w:vAlign w:val="center"/>
            <w:hideMark/>
          </w:tcPr>
          <w:p w14:paraId="59643154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  <w:t>High concern</w:t>
            </w:r>
          </w:p>
        </w:tc>
        <w:tc>
          <w:tcPr>
            <w:tcW w:w="285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53961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  <w:t>Reader and Blindness</w:t>
            </w:r>
          </w:p>
        </w:tc>
        <w:tc>
          <w:tcPr>
            <w:tcW w:w="305" w:type="pct"/>
            <w:gridSpan w:val="2"/>
            <w:tcBorders>
              <w:left w:val="nil"/>
              <w:bottom w:val="nil"/>
              <w:right w:val="nil"/>
            </w:tcBorders>
            <w:shd w:val="clear" w:color="D9E1F2" w:fill="FFC7CE"/>
            <w:noWrap/>
            <w:vAlign w:val="center"/>
            <w:hideMark/>
          </w:tcPr>
          <w:p w14:paraId="70374495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  <w:t>High</w:t>
            </w:r>
          </w:p>
        </w:tc>
        <w:tc>
          <w:tcPr>
            <w:tcW w:w="570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EFC32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  <w:t>Inappropriate Exclusion in analysis</w:t>
            </w:r>
          </w:p>
        </w:tc>
      </w:tr>
      <w:tr w:rsidR="00E27A0B" w:rsidRPr="002A41E4" w14:paraId="6B202D31" w14:textId="77777777" w:rsidTr="00E27A0B">
        <w:trPr>
          <w:trHeight w:val="327"/>
        </w:trPr>
        <w:tc>
          <w:tcPr>
            <w:tcW w:w="425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7B631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  <w:t>Gonzalez, et al</w:t>
            </w:r>
          </w:p>
        </w:tc>
        <w:tc>
          <w:tcPr>
            <w:tcW w:w="243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5764E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  <w:t>2002</w:t>
            </w:r>
          </w:p>
        </w:tc>
        <w:tc>
          <w:tcPr>
            <w:tcW w:w="316" w:type="pct"/>
            <w:tcBorders>
              <w:left w:val="nil"/>
              <w:bottom w:val="nil"/>
              <w:right w:val="nil"/>
            </w:tcBorders>
            <w:shd w:val="clear" w:color="D9E1F2" w:fill="C6EFCE"/>
            <w:noWrap/>
            <w:vAlign w:val="center"/>
            <w:hideMark/>
          </w:tcPr>
          <w:p w14:paraId="2ED85598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  <w:t>Low</w:t>
            </w:r>
          </w:p>
        </w:tc>
        <w:tc>
          <w:tcPr>
            <w:tcW w:w="281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87818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</w:pPr>
          </w:p>
        </w:tc>
        <w:tc>
          <w:tcPr>
            <w:tcW w:w="458" w:type="pct"/>
            <w:tcBorders>
              <w:left w:val="nil"/>
              <w:bottom w:val="nil"/>
              <w:right w:val="nil"/>
            </w:tcBorders>
            <w:shd w:val="clear" w:color="D9E1F2" w:fill="C6EFCE"/>
            <w:noWrap/>
            <w:vAlign w:val="center"/>
            <w:hideMark/>
          </w:tcPr>
          <w:p w14:paraId="2903FC53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  <w:t>Low concern</w:t>
            </w:r>
          </w:p>
        </w:tc>
        <w:tc>
          <w:tcPr>
            <w:tcW w:w="372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3BA32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</w:pPr>
          </w:p>
        </w:tc>
        <w:tc>
          <w:tcPr>
            <w:tcW w:w="267" w:type="pct"/>
            <w:tcBorders>
              <w:left w:val="nil"/>
              <w:bottom w:val="nil"/>
              <w:right w:val="nil"/>
            </w:tcBorders>
            <w:shd w:val="clear" w:color="D9E1F2" w:fill="C6EFCE"/>
            <w:noWrap/>
            <w:vAlign w:val="center"/>
            <w:hideMark/>
          </w:tcPr>
          <w:p w14:paraId="593AD2ED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  <w:t>Low</w:t>
            </w:r>
          </w:p>
        </w:tc>
        <w:tc>
          <w:tcPr>
            <w:tcW w:w="394" w:type="pct"/>
            <w:tcBorders>
              <w:left w:val="nil"/>
              <w:bottom w:val="nil"/>
              <w:right w:val="nil"/>
            </w:tcBorders>
            <w:shd w:val="clear" w:color="D9E1F2" w:fill="C6EFCE"/>
            <w:noWrap/>
            <w:vAlign w:val="center"/>
            <w:hideMark/>
          </w:tcPr>
          <w:p w14:paraId="40BAA1DE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  <w:t>Low concern</w:t>
            </w:r>
          </w:p>
        </w:tc>
        <w:tc>
          <w:tcPr>
            <w:tcW w:w="422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09E55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</w:pPr>
          </w:p>
        </w:tc>
        <w:tc>
          <w:tcPr>
            <w:tcW w:w="267" w:type="pct"/>
            <w:tcBorders>
              <w:left w:val="nil"/>
              <w:bottom w:val="nil"/>
              <w:right w:val="nil"/>
            </w:tcBorders>
            <w:shd w:val="clear" w:color="D9E1F2" w:fill="C6EFCE"/>
            <w:noWrap/>
            <w:vAlign w:val="center"/>
            <w:hideMark/>
          </w:tcPr>
          <w:p w14:paraId="0E27172C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  <w:t>Low</w:t>
            </w:r>
          </w:p>
        </w:tc>
        <w:tc>
          <w:tcPr>
            <w:tcW w:w="395" w:type="pct"/>
            <w:tcBorders>
              <w:left w:val="nil"/>
              <w:bottom w:val="nil"/>
              <w:right w:val="nil"/>
            </w:tcBorders>
            <w:shd w:val="clear" w:color="D9E1F2" w:fill="C6EFCE"/>
            <w:noWrap/>
            <w:vAlign w:val="center"/>
            <w:hideMark/>
          </w:tcPr>
          <w:p w14:paraId="0CB0A2DE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  <w:t>Low concern</w:t>
            </w:r>
          </w:p>
        </w:tc>
        <w:tc>
          <w:tcPr>
            <w:tcW w:w="285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4D4BE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</w:pPr>
          </w:p>
        </w:tc>
        <w:tc>
          <w:tcPr>
            <w:tcW w:w="305" w:type="pct"/>
            <w:gridSpan w:val="2"/>
            <w:tcBorders>
              <w:left w:val="nil"/>
              <w:bottom w:val="nil"/>
              <w:right w:val="nil"/>
            </w:tcBorders>
            <w:shd w:val="clear" w:color="D9E1F2" w:fill="C6EFCE"/>
            <w:noWrap/>
            <w:vAlign w:val="center"/>
            <w:hideMark/>
          </w:tcPr>
          <w:p w14:paraId="0A4282C6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  <w:t>Low</w:t>
            </w:r>
          </w:p>
        </w:tc>
        <w:tc>
          <w:tcPr>
            <w:tcW w:w="570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FA23F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</w:pPr>
          </w:p>
        </w:tc>
      </w:tr>
      <w:tr w:rsidR="00E27A0B" w:rsidRPr="002A41E4" w14:paraId="55A82AD9" w14:textId="77777777" w:rsidTr="00E27A0B">
        <w:trPr>
          <w:trHeight w:val="327"/>
        </w:trPr>
        <w:tc>
          <w:tcPr>
            <w:tcW w:w="425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296A1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282323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282323"/>
                <w:kern w:val="0"/>
                <w:sz w:val="15"/>
                <w:szCs w:val="15"/>
                <w:lang/>
              </w:rPr>
              <w:t xml:space="preserve">Pehle, et al </w:t>
            </w:r>
          </w:p>
        </w:tc>
        <w:tc>
          <w:tcPr>
            <w:tcW w:w="243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972A2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  <w:t>2003</w:t>
            </w:r>
          </w:p>
        </w:tc>
        <w:tc>
          <w:tcPr>
            <w:tcW w:w="316" w:type="pct"/>
            <w:tcBorders>
              <w:left w:val="nil"/>
              <w:bottom w:val="nil"/>
              <w:right w:val="nil"/>
            </w:tcBorders>
            <w:shd w:val="clear" w:color="D9E1F2" w:fill="C6EFCE"/>
            <w:noWrap/>
            <w:vAlign w:val="center"/>
            <w:hideMark/>
          </w:tcPr>
          <w:p w14:paraId="7C7F8A03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  <w:t>Low</w:t>
            </w:r>
          </w:p>
        </w:tc>
        <w:tc>
          <w:tcPr>
            <w:tcW w:w="281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E9B23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</w:pPr>
          </w:p>
        </w:tc>
        <w:tc>
          <w:tcPr>
            <w:tcW w:w="458" w:type="pct"/>
            <w:tcBorders>
              <w:left w:val="nil"/>
              <w:bottom w:val="nil"/>
              <w:right w:val="nil"/>
            </w:tcBorders>
            <w:shd w:val="clear" w:color="D9E1F2" w:fill="C6EFCE"/>
            <w:noWrap/>
            <w:vAlign w:val="center"/>
            <w:hideMark/>
          </w:tcPr>
          <w:p w14:paraId="4DF265E8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  <w:t>Low concern</w:t>
            </w:r>
          </w:p>
        </w:tc>
        <w:tc>
          <w:tcPr>
            <w:tcW w:w="372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C471A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</w:pPr>
          </w:p>
        </w:tc>
        <w:tc>
          <w:tcPr>
            <w:tcW w:w="267" w:type="pct"/>
            <w:tcBorders>
              <w:left w:val="nil"/>
              <w:bottom w:val="nil"/>
              <w:right w:val="nil"/>
            </w:tcBorders>
            <w:shd w:val="clear" w:color="D9E1F2" w:fill="C6EFCE"/>
            <w:noWrap/>
            <w:vAlign w:val="center"/>
            <w:hideMark/>
          </w:tcPr>
          <w:p w14:paraId="0E8097C6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  <w:t>Low</w:t>
            </w:r>
          </w:p>
        </w:tc>
        <w:tc>
          <w:tcPr>
            <w:tcW w:w="394" w:type="pct"/>
            <w:tcBorders>
              <w:left w:val="nil"/>
              <w:bottom w:val="nil"/>
              <w:right w:val="nil"/>
            </w:tcBorders>
            <w:shd w:val="clear" w:color="D9E1F2" w:fill="C6EFCE"/>
            <w:noWrap/>
            <w:vAlign w:val="center"/>
            <w:hideMark/>
          </w:tcPr>
          <w:p w14:paraId="764B4CE9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  <w:t>Low concern</w:t>
            </w:r>
          </w:p>
        </w:tc>
        <w:tc>
          <w:tcPr>
            <w:tcW w:w="422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27983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</w:pPr>
          </w:p>
        </w:tc>
        <w:tc>
          <w:tcPr>
            <w:tcW w:w="267" w:type="pct"/>
            <w:tcBorders>
              <w:left w:val="nil"/>
              <w:bottom w:val="nil"/>
              <w:right w:val="nil"/>
            </w:tcBorders>
            <w:shd w:val="clear" w:color="D9E1F2" w:fill="FFC7CE"/>
            <w:noWrap/>
            <w:vAlign w:val="center"/>
            <w:hideMark/>
          </w:tcPr>
          <w:p w14:paraId="428C5B99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  <w:t>High</w:t>
            </w:r>
          </w:p>
        </w:tc>
        <w:tc>
          <w:tcPr>
            <w:tcW w:w="395" w:type="pct"/>
            <w:tcBorders>
              <w:left w:val="nil"/>
              <w:bottom w:val="nil"/>
              <w:right w:val="nil"/>
            </w:tcBorders>
            <w:shd w:val="clear" w:color="D9E1F2" w:fill="FFC7CE"/>
            <w:noWrap/>
            <w:vAlign w:val="center"/>
            <w:hideMark/>
          </w:tcPr>
          <w:p w14:paraId="1DA2E196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  <w:t>High concern</w:t>
            </w:r>
          </w:p>
        </w:tc>
        <w:tc>
          <w:tcPr>
            <w:tcW w:w="285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50BA4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  <w:t>Blind was unclear</w:t>
            </w:r>
          </w:p>
        </w:tc>
        <w:tc>
          <w:tcPr>
            <w:tcW w:w="305" w:type="pct"/>
            <w:gridSpan w:val="2"/>
            <w:tcBorders>
              <w:left w:val="nil"/>
              <w:bottom w:val="nil"/>
              <w:right w:val="nil"/>
            </w:tcBorders>
            <w:shd w:val="clear" w:color="D9E1F2" w:fill="C6EFCE"/>
            <w:noWrap/>
            <w:vAlign w:val="center"/>
            <w:hideMark/>
          </w:tcPr>
          <w:p w14:paraId="188C4562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  <w:t>Low</w:t>
            </w:r>
          </w:p>
        </w:tc>
        <w:tc>
          <w:tcPr>
            <w:tcW w:w="570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E79EC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</w:pPr>
          </w:p>
        </w:tc>
      </w:tr>
      <w:tr w:rsidR="00E27A0B" w:rsidRPr="002A41E4" w14:paraId="39A3A6EC" w14:textId="77777777" w:rsidTr="00E27A0B">
        <w:trPr>
          <w:trHeight w:val="327"/>
        </w:trPr>
        <w:tc>
          <w:tcPr>
            <w:tcW w:w="425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0B80D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  <w:t xml:space="preserve">Waydhas, et al </w:t>
            </w:r>
          </w:p>
        </w:tc>
        <w:tc>
          <w:tcPr>
            <w:tcW w:w="243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18FCE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  <w:t>2007</w:t>
            </w:r>
          </w:p>
        </w:tc>
        <w:tc>
          <w:tcPr>
            <w:tcW w:w="316" w:type="pct"/>
            <w:tcBorders>
              <w:left w:val="nil"/>
              <w:bottom w:val="nil"/>
              <w:right w:val="nil"/>
            </w:tcBorders>
            <w:shd w:val="clear" w:color="D9E1F2" w:fill="C6EFCE"/>
            <w:noWrap/>
            <w:vAlign w:val="center"/>
            <w:hideMark/>
          </w:tcPr>
          <w:p w14:paraId="3A96BDCF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  <w:t>Low</w:t>
            </w:r>
          </w:p>
        </w:tc>
        <w:tc>
          <w:tcPr>
            <w:tcW w:w="281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C7E4C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</w:pPr>
          </w:p>
        </w:tc>
        <w:tc>
          <w:tcPr>
            <w:tcW w:w="458" w:type="pct"/>
            <w:tcBorders>
              <w:left w:val="nil"/>
              <w:bottom w:val="nil"/>
              <w:right w:val="nil"/>
            </w:tcBorders>
            <w:shd w:val="clear" w:color="D9E1F2" w:fill="C6EFCE"/>
            <w:noWrap/>
            <w:vAlign w:val="center"/>
            <w:hideMark/>
          </w:tcPr>
          <w:p w14:paraId="48860A1E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  <w:t>Low concern</w:t>
            </w:r>
          </w:p>
        </w:tc>
        <w:tc>
          <w:tcPr>
            <w:tcW w:w="372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EF8F0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</w:pPr>
          </w:p>
        </w:tc>
        <w:tc>
          <w:tcPr>
            <w:tcW w:w="267" w:type="pct"/>
            <w:tcBorders>
              <w:left w:val="nil"/>
              <w:bottom w:val="nil"/>
              <w:right w:val="nil"/>
            </w:tcBorders>
            <w:shd w:val="clear" w:color="D9E1F2" w:fill="C6EFCE"/>
            <w:noWrap/>
            <w:vAlign w:val="center"/>
            <w:hideMark/>
          </w:tcPr>
          <w:p w14:paraId="5FE0F96F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  <w:t>Low</w:t>
            </w:r>
          </w:p>
        </w:tc>
        <w:tc>
          <w:tcPr>
            <w:tcW w:w="394" w:type="pct"/>
            <w:tcBorders>
              <w:left w:val="nil"/>
              <w:bottom w:val="nil"/>
              <w:right w:val="nil"/>
            </w:tcBorders>
            <w:shd w:val="clear" w:color="D9E1F2" w:fill="C6EFCE"/>
            <w:noWrap/>
            <w:vAlign w:val="center"/>
            <w:hideMark/>
          </w:tcPr>
          <w:p w14:paraId="54CE06E4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  <w:t>Low concern</w:t>
            </w:r>
          </w:p>
        </w:tc>
        <w:tc>
          <w:tcPr>
            <w:tcW w:w="422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B446C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</w:pPr>
          </w:p>
        </w:tc>
        <w:tc>
          <w:tcPr>
            <w:tcW w:w="267" w:type="pct"/>
            <w:tcBorders>
              <w:left w:val="nil"/>
              <w:bottom w:val="nil"/>
              <w:right w:val="nil"/>
            </w:tcBorders>
            <w:shd w:val="clear" w:color="D9E1F2" w:fill="C6EFCE"/>
            <w:noWrap/>
            <w:vAlign w:val="center"/>
            <w:hideMark/>
          </w:tcPr>
          <w:p w14:paraId="22ACDD25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  <w:t>Low</w:t>
            </w:r>
          </w:p>
        </w:tc>
        <w:tc>
          <w:tcPr>
            <w:tcW w:w="395" w:type="pct"/>
            <w:tcBorders>
              <w:left w:val="nil"/>
              <w:bottom w:val="nil"/>
              <w:right w:val="nil"/>
            </w:tcBorders>
            <w:shd w:val="clear" w:color="D9E1F2" w:fill="C6EFCE"/>
            <w:noWrap/>
            <w:vAlign w:val="center"/>
            <w:hideMark/>
          </w:tcPr>
          <w:p w14:paraId="5CAC9C4C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  <w:t>Low concern</w:t>
            </w:r>
          </w:p>
        </w:tc>
        <w:tc>
          <w:tcPr>
            <w:tcW w:w="285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4F0DD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</w:pPr>
          </w:p>
        </w:tc>
        <w:tc>
          <w:tcPr>
            <w:tcW w:w="305" w:type="pct"/>
            <w:gridSpan w:val="2"/>
            <w:tcBorders>
              <w:left w:val="nil"/>
              <w:bottom w:val="nil"/>
              <w:right w:val="nil"/>
            </w:tcBorders>
            <w:shd w:val="clear" w:color="D9E1F2" w:fill="C6EFCE"/>
            <w:noWrap/>
            <w:vAlign w:val="center"/>
            <w:hideMark/>
          </w:tcPr>
          <w:p w14:paraId="23C945A6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  <w:t>Low</w:t>
            </w:r>
          </w:p>
        </w:tc>
        <w:tc>
          <w:tcPr>
            <w:tcW w:w="570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1B257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</w:pPr>
          </w:p>
        </w:tc>
      </w:tr>
      <w:tr w:rsidR="00E27A0B" w:rsidRPr="002A41E4" w14:paraId="33081B0D" w14:textId="77777777" w:rsidTr="00E27A0B">
        <w:trPr>
          <w:trHeight w:val="327"/>
        </w:trPr>
        <w:tc>
          <w:tcPr>
            <w:tcW w:w="425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77430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  <w:t>Duane, et al</w:t>
            </w:r>
          </w:p>
        </w:tc>
        <w:tc>
          <w:tcPr>
            <w:tcW w:w="243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14815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  <w:t>2008</w:t>
            </w:r>
          </w:p>
        </w:tc>
        <w:tc>
          <w:tcPr>
            <w:tcW w:w="316" w:type="pct"/>
            <w:tcBorders>
              <w:left w:val="nil"/>
              <w:bottom w:val="nil"/>
              <w:right w:val="nil"/>
            </w:tcBorders>
            <w:shd w:val="clear" w:color="D9E1F2" w:fill="FFC7CE"/>
            <w:noWrap/>
            <w:vAlign w:val="center"/>
            <w:hideMark/>
          </w:tcPr>
          <w:p w14:paraId="7976FDA8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  <w:t>High</w:t>
            </w:r>
          </w:p>
        </w:tc>
        <w:tc>
          <w:tcPr>
            <w:tcW w:w="281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E006D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  <w:t>Inappropriate exclusion</w:t>
            </w:r>
          </w:p>
        </w:tc>
        <w:tc>
          <w:tcPr>
            <w:tcW w:w="458" w:type="pct"/>
            <w:tcBorders>
              <w:left w:val="nil"/>
              <w:bottom w:val="nil"/>
              <w:right w:val="nil"/>
            </w:tcBorders>
            <w:shd w:val="clear" w:color="D9E1F2" w:fill="FFC7CE"/>
            <w:noWrap/>
            <w:vAlign w:val="center"/>
            <w:hideMark/>
          </w:tcPr>
          <w:p w14:paraId="1993531B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  <w:t>High concern</w:t>
            </w:r>
          </w:p>
        </w:tc>
        <w:tc>
          <w:tcPr>
            <w:tcW w:w="372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7EFCD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  <w:t>Inappropriate exclusion</w:t>
            </w:r>
          </w:p>
        </w:tc>
        <w:tc>
          <w:tcPr>
            <w:tcW w:w="267" w:type="pct"/>
            <w:tcBorders>
              <w:left w:val="nil"/>
              <w:bottom w:val="nil"/>
              <w:right w:val="nil"/>
            </w:tcBorders>
            <w:shd w:val="clear" w:color="D9E1F2" w:fill="C6EFCE"/>
            <w:noWrap/>
            <w:vAlign w:val="center"/>
            <w:hideMark/>
          </w:tcPr>
          <w:p w14:paraId="33E75FC5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  <w:t>Low</w:t>
            </w:r>
          </w:p>
        </w:tc>
        <w:tc>
          <w:tcPr>
            <w:tcW w:w="394" w:type="pct"/>
            <w:tcBorders>
              <w:left w:val="nil"/>
              <w:bottom w:val="nil"/>
              <w:right w:val="nil"/>
            </w:tcBorders>
            <w:shd w:val="clear" w:color="D9E1F2" w:fill="C6EFCE"/>
            <w:noWrap/>
            <w:vAlign w:val="center"/>
            <w:hideMark/>
          </w:tcPr>
          <w:p w14:paraId="4E51C94E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  <w:t>Low concern</w:t>
            </w:r>
          </w:p>
        </w:tc>
        <w:tc>
          <w:tcPr>
            <w:tcW w:w="422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48CC7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</w:pPr>
          </w:p>
        </w:tc>
        <w:tc>
          <w:tcPr>
            <w:tcW w:w="267" w:type="pct"/>
            <w:tcBorders>
              <w:left w:val="nil"/>
              <w:bottom w:val="nil"/>
              <w:right w:val="nil"/>
            </w:tcBorders>
            <w:shd w:val="clear" w:color="D9E1F2" w:fill="C6EFCE"/>
            <w:noWrap/>
            <w:vAlign w:val="center"/>
            <w:hideMark/>
          </w:tcPr>
          <w:p w14:paraId="6DB98728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  <w:t>Low</w:t>
            </w:r>
          </w:p>
        </w:tc>
        <w:tc>
          <w:tcPr>
            <w:tcW w:w="395" w:type="pct"/>
            <w:tcBorders>
              <w:left w:val="nil"/>
              <w:bottom w:val="nil"/>
              <w:right w:val="nil"/>
            </w:tcBorders>
            <w:shd w:val="clear" w:color="D9E1F2" w:fill="C6EFCE"/>
            <w:noWrap/>
            <w:vAlign w:val="center"/>
            <w:hideMark/>
          </w:tcPr>
          <w:p w14:paraId="0182F3B5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  <w:t>Low concern</w:t>
            </w:r>
          </w:p>
        </w:tc>
        <w:tc>
          <w:tcPr>
            <w:tcW w:w="285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C2911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</w:pPr>
          </w:p>
        </w:tc>
        <w:tc>
          <w:tcPr>
            <w:tcW w:w="305" w:type="pct"/>
            <w:gridSpan w:val="2"/>
            <w:tcBorders>
              <w:left w:val="nil"/>
              <w:bottom w:val="nil"/>
              <w:right w:val="nil"/>
            </w:tcBorders>
            <w:shd w:val="clear" w:color="D9E1F2" w:fill="FFC7CE"/>
            <w:noWrap/>
            <w:vAlign w:val="center"/>
            <w:hideMark/>
          </w:tcPr>
          <w:p w14:paraId="0E504181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  <w:t>High</w:t>
            </w:r>
          </w:p>
        </w:tc>
        <w:tc>
          <w:tcPr>
            <w:tcW w:w="570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DA60D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  <w:t>Inappropriate Exclusion in analysis</w:t>
            </w:r>
          </w:p>
        </w:tc>
      </w:tr>
      <w:tr w:rsidR="00E27A0B" w:rsidRPr="002A41E4" w14:paraId="5011FA77" w14:textId="77777777" w:rsidTr="00E27A0B">
        <w:trPr>
          <w:trHeight w:val="327"/>
        </w:trPr>
        <w:tc>
          <w:tcPr>
            <w:tcW w:w="425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2871B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  <w:t>Duane, et al</w:t>
            </w:r>
          </w:p>
        </w:tc>
        <w:tc>
          <w:tcPr>
            <w:tcW w:w="243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5F84A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  <w:t>2009</w:t>
            </w:r>
          </w:p>
        </w:tc>
        <w:tc>
          <w:tcPr>
            <w:tcW w:w="316" w:type="pct"/>
            <w:tcBorders>
              <w:left w:val="nil"/>
              <w:bottom w:val="nil"/>
              <w:right w:val="nil"/>
            </w:tcBorders>
            <w:shd w:val="clear" w:color="D9E1F2" w:fill="FFC7CE"/>
            <w:noWrap/>
            <w:vAlign w:val="center"/>
            <w:hideMark/>
          </w:tcPr>
          <w:p w14:paraId="6D1314C8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  <w:t>High</w:t>
            </w:r>
          </w:p>
        </w:tc>
        <w:tc>
          <w:tcPr>
            <w:tcW w:w="281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13E10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  <w:t>Inappropriate exclusion</w:t>
            </w:r>
          </w:p>
        </w:tc>
        <w:tc>
          <w:tcPr>
            <w:tcW w:w="458" w:type="pct"/>
            <w:tcBorders>
              <w:left w:val="nil"/>
              <w:bottom w:val="nil"/>
              <w:right w:val="nil"/>
            </w:tcBorders>
            <w:shd w:val="clear" w:color="D9E1F2" w:fill="FFC7CE"/>
            <w:noWrap/>
            <w:vAlign w:val="center"/>
            <w:hideMark/>
          </w:tcPr>
          <w:p w14:paraId="0086939B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  <w:t>High concern</w:t>
            </w:r>
          </w:p>
        </w:tc>
        <w:tc>
          <w:tcPr>
            <w:tcW w:w="372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93FBB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  <w:t>Inappropriate exclusion</w:t>
            </w:r>
          </w:p>
        </w:tc>
        <w:tc>
          <w:tcPr>
            <w:tcW w:w="267" w:type="pct"/>
            <w:tcBorders>
              <w:left w:val="nil"/>
              <w:bottom w:val="nil"/>
              <w:right w:val="nil"/>
            </w:tcBorders>
            <w:shd w:val="clear" w:color="D9E1F2" w:fill="C6EFCE"/>
            <w:noWrap/>
            <w:vAlign w:val="center"/>
            <w:hideMark/>
          </w:tcPr>
          <w:p w14:paraId="3A6EB909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  <w:t>Low</w:t>
            </w:r>
          </w:p>
        </w:tc>
        <w:tc>
          <w:tcPr>
            <w:tcW w:w="394" w:type="pct"/>
            <w:tcBorders>
              <w:left w:val="nil"/>
              <w:bottom w:val="nil"/>
              <w:right w:val="nil"/>
            </w:tcBorders>
            <w:shd w:val="clear" w:color="D9E1F2" w:fill="C6EFCE"/>
            <w:noWrap/>
            <w:vAlign w:val="center"/>
            <w:hideMark/>
          </w:tcPr>
          <w:p w14:paraId="44BD53E1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  <w:t>Low concern</w:t>
            </w:r>
          </w:p>
        </w:tc>
        <w:tc>
          <w:tcPr>
            <w:tcW w:w="422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7AEC3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</w:pPr>
          </w:p>
        </w:tc>
        <w:tc>
          <w:tcPr>
            <w:tcW w:w="267" w:type="pct"/>
            <w:tcBorders>
              <w:left w:val="nil"/>
              <w:bottom w:val="nil"/>
              <w:right w:val="nil"/>
            </w:tcBorders>
            <w:shd w:val="clear" w:color="D9E1F2" w:fill="FFC7CE"/>
            <w:noWrap/>
            <w:vAlign w:val="center"/>
            <w:hideMark/>
          </w:tcPr>
          <w:p w14:paraId="0F084862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  <w:t>High</w:t>
            </w:r>
          </w:p>
        </w:tc>
        <w:tc>
          <w:tcPr>
            <w:tcW w:w="395" w:type="pct"/>
            <w:tcBorders>
              <w:left w:val="nil"/>
              <w:bottom w:val="nil"/>
              <w:right w:val="nil"/>
            </w:tcBorders>
            <w:shd w:val="clear" w:color="D9E1F2" w:fill="FFC7CE"/>
            <w:noWrap/>
            <w:vAlign w:val="center"/>
            <w:hideMark/>
          </w:tcPr>
          <w:p w14:paraId="4BCD8D66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  <w:t>High concern</w:t>
            </w:r>
          </w:p>
        </w:tc>
        <w:tc>
          <w:tcPr>
            <w:tcW w:w="285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66BEE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  <w:t>Reader and Blindness</w:t>
            </w:r>
          </w:p>
        </w:tc>
        <w:tc>
          <w:tcPr>
            <w:tcW w:w="305" w:type="pct"/>
            <w:gridSpan w:val="2"/>
            <w:tcBorders>
              <w:left w:val="nil"/>
              <w:bottom w:val="nil"/>
              <w:right w:val="nil"/>
            </w:tcBorders>
            <w:shd w:val="clear" w:color="D9E1F2" w:fill="FFC7CE"/>
            <w:noWrap/>
            <w:vAlign w:val="center"/>
            <w:hideMark/>
          </w:tcPr>
          <w:p w14:paraId="1C575631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  <w:t>High</w:t>
            </w:r>
          </w:p>
        </w:tc>
        <w:tc>
          <w:tcPr>
            <w:tcW w:w="570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24946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  <w:t>Inappropriate Exclusion in analysis</w:t>
            </w:r>
          </w:p>
        </w:tc>
      </w:tr>
      <w:tr w:rsidR="00E27A0B" w:rsidRPr="002A41E4" w14:paraId="24D551B7" w14:textId="77777777" w:rsidTr="00E27A0B">
        <w:trPr>
          <w:trHeight w:val="327"/>
        </w:trPr>
        <w:tc>
          <w:tcPr>
            <w:tcW w:w="425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2809E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  <w:t>Shlamovitz, et al</w:t>
            </w:r>
          </w:p>
        </w:tc>
        <w:tc>
          <w:tcPr>
            <w:tcW w:w="243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D21FD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  <w:t>2009</w:t>
            </w:r>
          </w:p>
        </w:tc>
        <w:tc>
          <w:tcPr>
            <w:tcW w:w="316" w:type="pct"/>
            <w:tcBorders>
              <w:left w:val="nil"/>
              <w:bottom w:val="nil"/>
              <w:right w:val="nil"/>
            </w:tcBorders>
            <w:shd w:val="clear" w:color="D9E1F2" w:fill="FFC7CE"/>
            <w:noWrap/>
            <w:vAlign w:val="center"/>
            <w:hideMark/>
          </w:tcPr>
          <w:p w14:paraId="549DB2A9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  <w:t>High</w:t>
            </w:r>
          </w:p>
        </w:tc>
        <w:tc>
          <w:tcPr>
            <w:tcW w:w="281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BEFBC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  <w:t>Inappropriate exclusion</w:t>
            </w:r>
          </w:p>
        </w:tc>
        <w:tc>
          <w:tcPr>
            <w:tcW w:w="458" w:type="pct"/>
            <w:tcBorders>
              <w:left w:val="nil"/>
              <w:bottom w:val="nil"/>
              <w:right w:val="nil"/>
            </w:tcBorders>
            <w:shd w:val="clear" w:color="D9E1F2" w:fill="FFC7CE"/>
            <w:noWrap/>
            <w:vAlign w:val="center"/>
            <w:hideMark/>
          </w:tcPr>
          <w:p w14:paraId="5088E02E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  <w:t>High concern</w:t>
            </w:r>
          </w:p>
        </w:tc>
        <w:tc>
          <w:tcPr>
            <w:tcW w:w="372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D193B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  <w:t>Inappropriate exclusion</w:t>
            </w:r>
          </w:p>
        </w:tc>
        <w:tc>
          <w:tcPr>
            <w:tcW w:w="267" w:type="pct"/>
            <w:tcBorders>
              <w:left w:val="nil"/>
              <w:bottom w:val="nil"/>
              <w:right w:val="nil"/>
            </w:tcBorders>
            <w:shd w:val="clear" w:color="000000" w:fill="FFC7CE"/>
            <w:noWrap/>
            <w:vAlign w:val="center"/>
            <w:hideMark/>
          </w:tcPr>
          <w:p w14:paraId="478DC214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  <w:t>High</w:t>
            </w:r>
          </w:p>
        </w:tc>
        <w:tc>
          <w:tcPr>
            <w:tcW w:w="394" w:type="pct"/>
            <w:tcBorders>
              <w:left w:val="nil"/>
              <w:bottom w:val="nil"/>
              <w:right w:val="nil"/>
            </w:tcBorders>
            <w:shd w:val="clear" w:color="D9E1F2" w:fill="FFC7CE"/>
            <w:noWrap/>
            <w:vAlign w:val="center"/>
            <w:hideMark/>
          </w:tcPr>
          <w:p w14:paraId="245B4459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  <w:t>High concern</w:t>
            </w:r>
          </w:p>
        </w:tc>
        <w:tc>
          <w:tcPr>
            <w:tcW w:w="422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9BDF5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</w:pPr>
          </w:p>
        </w:tc>
        <w:tc>
          <w:tcPr>
            <w:tcW w:w="267" w:type="pct"/>
            <w:tcBorders>
              <w:left w:val="nil"/>
              <w:bottom w:val="nil"/>
              <w:right w:val="nil"/>
            </w:tcBorders>
            <w:shd w:val="clear" w:color="D9E1F2" w:fill="C6EFCE"/>
            <w:noWrap/>
            <w:vAlign w:val="center"/>
            <w:hideMark/>
          </w:tcPr>
          <w:p w14:paraId="79D93F9C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  <w:t>Low</w:t>
            </w:r>
          </w:p>
        </w:tc>
        <w:tc>
          <w:tcPr>
            <w:tcW w:w="395" w:type="pct"/>
            <w:tcBorders>
              <w:left w:val="nil"/>
              <w:bottom w:val="nil"/>
              <w:right w:val="nil"/>
            </w:tcBorders>
            <w:shd w:val="clear" w:color="D9E1F2" w:fill="C6EFCE"/>
            <w:noWrap/>
            <w:vAlign w:val="center"/>
            <w:hideMark/>
          </w:tcPr>
          <w:p w14:paraId="1E6A3B2F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  <w:t>Low concern</w:t>
            </w:r>
          </w:p>
        </w:tc>
        <w:tc>
          <w:tcPr>
            <w:tcW w:w="285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D491F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</w:pPr>
          </w:p>
        </w:tc>
        <w:tc>
          <w:tcPr>
            <w:tcW w:w="305" w:type="pct"/>
            <w:gridSpan w:val="2"/>
            <w:tcBorders>
              <w:left w:val="nil"/>
              <w:bottom w:val="nil"/>
              <w:right w:val="nil"/>
            </w:tcBorders>
            <w:shd w:val="clear" w:color="D9E1F2" w:fill="FFC7CE"/>
            <w:noWrap/>
            <w:vAlign w:val="center"/>
            <w:hideMark/>
          </w:tcPr>
          <w:p w14:paraId="379B1C4E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  <w:t>High</w:t>
            </w:r>
          </w:p>
        </w:tc>
        <w:tc>
          <w:tcPr>
            <w:tcW w:w="570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9A17E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  <w:t>Inappropriate Exclusion in analysis</w:t>
            </w:r>
          </w:p>
        </w:tc>
      </w:tr>
      <w:tr w:rsidR="00E27A0B" w:rsidRPr="002A41E4" w14:paraId="58212B2D" w14:textId="77777777" w:rsidTr="00E27A0B">
        <w:trPr>
          <w:trHeight w:val="327"/>
        </w:trPr>
        <w:tc>
          <w:tcPr>
            <w:tcW w:w="425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CA562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  <w:t>Lagisetty, et al</w:t>
            </w:r>
          </w:p>
        </w:tc>
        <w:tc>
          <w:tcPr>
            <w:tcW w:w="243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17A84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  <w:t>2012</w:t>
            </w:r>
          </w:p>
        </w:tc>
        <w:tc>
          <w:tcPr>
            <w:tcW w:w="316" w:type="pct"/>
            <w:tcBorders>
              <w:left w:val="nil"/>
              <w:bottom w:val="nil"/>
              <w:right w:val="nil"/>
            </w:tcBorders>
            <w:shd w:val="clear" w:color="D9E1F2" w:fill="C6EFCE"/>
            <w:noWrap/>
            <w:vAlign w:val="center"/>
            <w:hideMark/>
          </w:tcPr>
          <w:p w14:paraId="78D5F297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  <w:t>Low</w:t>
            </w:r>
          </w:p>
        </w:tc>
        <w:tc>
          <w:tcPr>
            <w:tcW w:w="281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8867D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</w:pPr>
          </w:p>
        </w:tc>
        <w:tc>
          <w:tcPr>
            <w:tcW w:w="458" w:type="pct"/>
            <w:tcBorders>
              <w:left w:val="nil"/>
              <w:bottom w:val="nil"/>
              <w:right w:val="nil"/>
            </w:tcBorders>
            <w:shd w:val="clear" w:color="D9E1F2" w:fill="C6EFCE"/>
            <w:noWrap/>
            <w:vAlign w:val="center"/>
            <w:hideMark/>
          </w:tcPr>
          <w:p w14:paraId="21DC3829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  <w:t>Low concern</w:t>
            </w:r>
          </w:p>
        </w:tc>
        <w:tc>
          <w:tcPr>
            <w:tcW w:w="372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35311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</w:pPr>
          </w:p>
        </w:tc>
        <w:tc>
          <w:tcPr>
            <w:tcW w:w="267" w:type="pct"/>
            <w:tcBorders>
              <w:left w:val="nil"/>
              <w:bottom w:val="nil"/>
              <w:right w:val="nil"/>
            </w:tcBorders>
            <w:shd w:val="clear" w:color="000000" w:fill="FFC7CE"/>
            <w:noWrap/>
            <w:vAlign w:val="center"/>
            <w:hideMark/>
          </w:tcPr>
          <w:p w14:paraId="3576624F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  <w:t>High</w:t>
            </w:r>
          </w:p>
        </w:tc>
        <w:tc>
          <w:tcPr>
            <w:tcW w:w="394" w:type="pct"/>
            <w:tcBorders>
              <w:left w:val="nil"/>
              <w:bottom w:val="nil"/>
              <w:right w:val="nil"/>
            </w:tcBorders>
            <w:shd w:val="clear" w:color="D9E1F2" w:fill="FFC7CE"/>
            <w:noWrap/>
            <w:vAlign w:val="center"/>
            <w:hideMark/>
          </w:tcPr>
          <w:p w14:paraId="19A62DD8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  <w:t>High concern</w:t>
            </w:r>
          </w:p>
        </w:tc>
        <w:tc>
          <w:tcPr>
            <w:tcW w:w="422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97357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</w:pPr>
          </w:p>
        </w:tc>
        <w:tc>
          <w:tcPr>
            <w:tcW w:w="267" w:type="pct"/>
            <w:tcBorders>
              <w:left w:val="nil"/>
              <w:bottom w:val="nil"/>
              <w:right w:val="nil"/>
            </w:tcBorders>
            <w:shd w:val="clear" w:color="D9E1F2" w:fill="C6EFCE"/>
            <w:noWrap/>
            <w:vAlign w:val="center"/>
            <w:hideMark/>
          </w:tcPr>
          <w:p w14:paraId="120A891B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  <w:t>Low</w:t>
            </w:r>
          </w:p>
        </w:tc>
        <w:tc>
          <w:tcPr>
            <w:tcW w:w="395" w:type="pct"/>
            <w:tcBorders>
              <w:left w:val="nil"/>
              <w:bottom w:val="nil"/>
              <w:right w:val="nil"/>
            </w:tcBorders>
            <w:shd w:val="clear" w:color="D9E1F2" w:fill="FFC7CE"/>
            <w:noWrap/>
            <w:vAlign w:val="center"/>
            <w:hideMark/>
          </w:tcPr>
          <w:p w14:paraId="393A82A3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  <w:t>High concern</w:t>
            </w:r>
          </w:p>
        </w:tc>
        <w:tc>
          <w:tcPr>
            <w:tcW w:w="285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2790A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</w:pPr>
          </w:p>
        </w:tc>
        <w:tc>
          <w:tcPr>
            <w:tcW w:w="305" w:type="pct"/>
            <w:gridSpan w:val="2"/>
            <w:tcBorders>
              <w:left w:val="nil"/>
              <w:bottom w:val="nil"/>
              <w:right w:val="nil"/>
            </w:tcBorders>
            <w:shd w:val="clear" w:color="D9E1F2" w:fill="FFC7CE"/>
            <w:noWrap/>
            <w:vAlign w:val="center"/>
            <w:hideMark/>
          </w:tcPr>
          <w:p w14:paraId="1DDA3599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  <w:t>High</w:t>
            </w:r>
          </w:p>
        </w:tc>
        <w:tc>
          <w:tcPr>
            <w:tcW w:w="570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6F490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  <w:t>Inappropriate Exclusion in analysis</w:t>
            </w:r>
          </w:p>
        </w:tc>
      </w:tr>
      <w:tr w:rsidR="00E27A0B" w:rsidRPr="002A41E4" w14:paraId="1F2F9337" w14:textId="77777777" w:rsidTr="00E27A0B">
        <w:trPr>
          <w:trHeight w:val="327"/>
        </w:trPr>
        <w:tc>
          <w:tcPr>
            <w:tcW w:w="425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248A6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  <w:t>Lustenberger, et al</w:t>
            </w:r>
          </w:p>
        </w:tc>
        <w:tc>
          <w:tcPr>
            <w:tcW w:w="243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9BFFB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  <w:t>2016</w:t>
            </w:r>
          </w:p>
        </w:tc>
        <w:tc>
          <w:tcPr>
            <w:tcW w:w="316" w:type="pct"/>
            <w:tcBorders>
              <w:left w:val="nil"/>
              <w:bottom w:val="nil"/>
              <w:right w:val="nil"/>
            </w:tcBorders>
            <w:shd w:val="clear" w:color="D9E1F2" w:fill="FFC7CE"/>
            <w:noWrap/>
            <w:vAlign w:val="center"/>
            <w:hideMark/>
          </w:tcPr>
          <w:p w14:paraId="7CB6B215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  <w:t>High</w:t>
            </w:r>
          </w:p>
        </w:tc>
        <w:tc>
          <w:tcPr>
            <w:tcW w:w="281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ACEC9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  <w:t>Inappropriate Inclusion</w:t>
            </w:r>
          </w:p>
        </w:tc>
        <w:tc>
          <w:tcPr>
            <w:tcW w:w="458" w:type="pct"/>
            <w:tcBorders>
              <w:left w:val="nil"/>
              <w:bottom w:val="nil"/>
              <w:right w:val="nil"/>
            </w:tcBorders>
            <w:shd w:val="clear" w:color="D9E1F2" w:fill="FFC7CE"/>
            <w:noWrap/>
            <w:vAlign w:val="center"/>
            <w:hideMark/>
          </w:tcPr>
          <w:p w14:paraId="703BB1EF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  <w:t>High concern</w:t>
            </w:r>
          </w:p>
        </w:tc>
        <w:tc>
          <w:tcPr>
            <w:tcW w:w="372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61184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  <w:t>Inappropriate Inclusion</w:t>
            </w:r>
          </w:p>
        </w:tc>
        <w:tc>
          <w:tcPr>
            <w:tcW w:w="267" w:type="pct"/>
            <w:tcBorders>
              <w:left w:val="nil"/>
              <w:bottom w:val="nil"/>
              <w:right w:val="nil"/>
            </w:tcBorders>
            <w:shd w:val="clear" w:color="000000" w:fill="FFC7CE"/>
            <w:noWrap/>
            <w:vAlign w:val="center"/>
            <w:hideMark/>
          </w:tcPr>
          <w:p w14:paraId="787AB9CF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  <w:t>High</w:t>
            </w:r>
          </w:p>
        </w:tc>
        <w:tc>
          <w:tcPr>
            <w:tcW w:w="394" w:type="pct"/>
            <w:tcBorders>
              <w:left w:val="nil"/>
              <w:bottom w:val="nil"/>
              <w:right w:val="nil"/>
            </w:tcBorders>
            <w:shd w:val="clear" w:color="D9E1F2" w:fill="FFC7CE"/>
            <w:noWrap/>
            <w:vAlign w:val="center"/>
            <w:hideMark/>
          </w:tcPr>
          <w:p w14:paraId="173737A2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  <w:t>High concern</w:t>
            </w:r>
          </w:p>
        </w:tc>
        <w:tc>
          <w:tcPr>
            <w:tcW w:w="422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DF806" w14:textId="77777777" w:rsidR="0072270B" w:rsidRPr="0072270B" w:rsidRDefault="0072270B" w:rsidP="0072270B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  <w:t>Index test Positive was unclar</w:t>
            </w:r>
          </w:p>
        </w:tc>
        <w:tc>
          <w:tcPr>
            <w:tcW w:w="267" w:type="pct"/>
            <w:tcBorders>
              <w:left w:val="nil"/>
              <w:bottom w:val="nil"/>
              <w:right w:val="nil"/>
            </w:tcBorders>
            <w:shd w:val="clear" w:color="D9E1F2" w:fill="FFC7CE"/>
            <w:noWrap/>
            <w:vAlign w:val="center"/>
            <w:hideMark/>
          </w:tcPr>
          <w:p w14:paraId="7C00E487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  <w:t>High</w:t>
            </w:r>
          </w:p>
        </w:tc>
        <w:tc>
          <w:tcPr>
            <w:tcW w:w="395" w:type="pct"/>
            <w:tcBorders>
              <w:left w:val="nil"/>
              <w:bottom w:val="nil"/>
              <w:right w:val="nil"/>
            </w:tcBorders>
            <w:shd w:val="clear" w:color="D9E1F2" w:fill="FFC7CE"/>
            <w:noWrap/>
            <w:vAlign w:val="center"/>
            <w:hideMark/>
          </w:tcPr>
          <w:p w14:paraId="494C13E4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  <w:t>High concern</w:t>
            </w:r>
          </w:p>
        </w:tc>
        <w:tc>
          <w:tcPr>
            <w:tcW w:w="285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3ED9E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  <w:t>Reader and Blindness</w:t>
            </w:r>
          </w:p>
        </w:tc>
        <w:tc>
          <w:tcPr>
            <w:tcW w:w="305" w:type="pct"/>
            <w:gridSpan w:val="2"/>
            <w:tcBorders>
              <w:left w:val="nil"/>
              <w:bottom w:val="nil"/>
              <w:right w:val="nil"/>
            </w:tcBorders>
            <w:shd w:val="clear" w:color="D9E1F2" w:fill="C6EFCE"/>
            <w:noWrap/>
            <w:vAlign w:val="center"/>
            <w:hideMark/>
          </w:tcPr>
          <w:p w14:paraId="59DF8D6E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  <w:t>Low</w:t>
            </w:r>
          </w:p>
        </w:tc>
        <w:tc>
          <w:tcPr>
            <w:tcW w:w="570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1964A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</w:pPr>
          </w:p>
        </w:tc>
      </w:tr>
      <w:tr w:rsidR="00E27A0B" w:rsidRPr="002A41E4" w14:paraId="5CEB4365" w14:textId="77777777" w:rsidTr="00E27A0B">
        <w:trPr>
          <w:trHeight w:val="327"/>
        </w:trPr>
        <w:tc>
          <w:tcPr>
            <w:tcW w:w="425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F620B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  <w:t>Majidinejad, et al</w:t>
            </w:r>
          </w:p>
        </w:tc>
        <w:tc>
          <w:tcPr>
            <w:tcW w:w="243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1419F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  <w:t>2018</w:t>
            </w:r>
          </w:p>
        </w:tc>
        <w:tc>
          <w:tcPr>
            <w:tcW w:w="316" w:type="pct"/>
            <w:tcBorders>
              <w:left w:val="nil"/>
              <w:bottom w:val="nil"/>
              <w:right w:val="nil"/>
            </w:tcBorders>
            <w:shd w:val="clear" w:color="D9E1F2" w:fill="FFC7CE"/>
            <w:noWrap/>
            <w:vAlign w:val="center"/>
            <w:hideMark/>
          </w:tcPr>
          <w:p w14:paraId="11CF53E5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  <w:t>High</w:t>
            </w:r>
          </w:p>
        </w:tc>
        <w:tc>
          <w:tcPr>
            <w:tcW w:w="281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23794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  <w:t>Unclear inclusion criteria</w:t>
            </w:r>
          </w:p>
        </w:tc>
        <w:tc>
          <w:tcPr>
            <w:tcW w:w="458" w:type="pct"/>
            <w:tcBorders>
              <w:left w:val="nil"/>
              <w:bottom w:val="nil"/>
              <w:right w:val="nil"/>
            </w:tcBorders>
            <w:shd w:val="clear" w:color="D9E1F2" w:fill="FFC7CE"/>
            <w:noWrap/>
            <w:vAlign w:val="center"/>
            <w:hideMark/>
          </w:tcPr>
          <w:p w14:paraId="70AB1C3A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  <w:t>High concern</w:t>
            </w:r>
          </w:p>
        </w:tc>
        <w:tc>
          <w:tcPr>
            <w:tcW w:w="372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6D9C0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  <w:t>Unclear inclusion criteria</w:t>
            </w:r>
          </w:p>
        </w:tc>
        <w:tc>
          <w:tcPr>
            <w:tcW w:w="267" w:type="pct"/>
            <w:tcBorders>
              <w:left w:val="nil"/>
              <w:bottom w:val="nil"/>
              <w:right w:val="nil"/>
            </w:tcBorders>
            <w:shd w:val="clear" w:color="D9E1F2" w:fill="C6EFCE"/>
            <w:noWrap/>
            <w:vAlign w:val="center"/>
            <w:hideMark/>
          </w:tcPr>
          <w:p w14:paraId="57BC7E2E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  <w:t>Low</w:t>
            </w:r>
          </w:p>
        </w:tc>
        <w:tc>
          <w:tcPr>
            <w:tcW w:w="394" w:type="pct"/>
            <w:tcBorders>
              <w:left w:val="nil"/>
              <w:bottom w:val="nil"/>
              <w:right w:val="nil"/>
            </w:tcBorders>
            <w:shd w:val="clear" w:color="D9E1F2" w:fill="C6EFCE"/>
            <w:noWrap/>
            <w:vAlign w:val="center"/>
            <w:hideMark/>
          </w:tcPr>
          <w:p w14:paraId="7541860C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  <w:t>Low concern</w:t>
            </w:r>
          </w:p>
        </w:tc>
        <w:tc>
          <w:tcPr>
            <w:tcW w:w="422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0644E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</w:pPr>
          </w:p>
        </w:tc>
        <w:tc>
          <w:tcPr>
            <w:tcW w:w="267" w:type="pct"/>
            <w:tcBorders>
              <w:left w:val="nil"/>
              <w:bottom w:val="nil"/>
              <w:right w:val="nil"/>
            </w:tcBorders>
            <w:shd w:val="clear" w:color="D9E1F2" w:fill="FFC7CE"/>
            <w:noWrap/>
            <w:vAlign w:val="center"/>
            <w:hideMark/>
          </w:tcPr>
          <w:p w14:paraId="08D4FE8C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  <w:t>High</w:t>
            </w:r>
          </w:p>
        </w:tc>
        <w:tc>
          <w:tcPr>
            <w:tcW w:w="395" w:type="pct"/>
            <w:tcBorders>
              <w:left w:val="nil"/>
              <w:bottom w:val="nil"/>
              <w:right w:val="nil"/>
            </w:tcBorders>
            <w:shd w:val="clear" w:color="D9E1F2" w:fill="FFC7CE"/>
            <w:noWrap/>
            <w:vAlign w:val="center"/>
            <w:hideMark/>
          </w:tcPr>
          <w:p w14:paraId="6E35FE39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  <w:t>High concern</w:t>
            </w:r>
          </w:p>
        </w:tc>
        <w:tc>
          <w:tcPr>
            <w:tcW w:w="285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6C7D8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  <w:t>Reader and Blindness</w:t>
            </w:r>
          </w:p>
        </w:tc>
        <w:tc>
          <w:tcPr>
            <w:tcW w:w="305" w:type="pct"/>
            <w:gridSpan w:val="2"/>
            <w:tcBorders>
              <w:left w:val="nil"/>
              <w:bottom w:val="nil"/>
              <w:right w:val="nil"/>
            </w:tcBorders>
            <w:shd w:val="clear" w:color="D9E1F2" w:fill="C6EFCE"/>
            <w:noWrap/>
            <w:vAlign w:val="center"/>
            <w:hideMark/>
          </w:tcPr>
          <w:p w14:paraId="0A0D7C1E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  <w:t>Low</w:t>
            </w:r>
          </w:p>
        </w:tc>
        <w:tc>
          <w:tcPr>
            <w:tcW w:w="570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F4BC9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</w:pPr>
          </w:p>
        </w:tc>
      </w:tr>
      <w:tr w:rsidR="00E27A0B" w:rsidRPr="002A41E4" w14:paraId="38F359EE" w14:textId="77777777" w:rsidTr="00E27A0B">
        <w:trPr>
          <w:trHeight w:val="327"/>
        </w:trPr>
        <w:tc>
          <w:tcPr>
            <w:tcW w:w="425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570AD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  <w:t>Schweigkofler, et al</w:t>
            </w:r>
          </w:p>
        </w:tc>
        <w:tc>
          <w:tcPr>
            <w:tcW w:w="243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087C5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  <w:t>2017</w:t>
            </w:r>
          </w:p>
        </w:tc>
        <w:tc>
          <w:tcPr>
            <w:tcW w:w="316" w:type="pct"/>
            <w:tcBorders>
              <w:left w:val="nil"/>
              <w:bottom w:val="nil"/>
              <w:right w:val="nil"/>
            </w:tcBorders>
            <w:shd w:val="clear" w:color="D9E1F2" w:fill="FFC7CE"/>
            <w:noWrap/>
            <w:vAlign w:val="center"/>
            <w:hideMark/>
          </w:tcPr>
          <w:p w14:paraId="40A57220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  <w:t>High</w:t>
            </w:r>
          </w:p>
        </w:tc>
        <w:tc>
          <w:tcPr>
            <w:tcW w:w="281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7FC22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  <w:t>Unclear inclusion criteria</w:t>
            </w:r>
          </w:p>
        </w:tc>
        <w:tc>
          <w:tcPr>
            <w:tcW w:w="458" w:type="pct"/>
            <w:tcBorders>
              <w:left w:val="nil"/>
              <w:bottom w:val="nil"/>
              <w:right w:val="nil"/>
            </w:tcBorders>
            <w:shd w:val="clear" w:color="D9E1F2" w:fill="FFC7CE"/>
            <w:noWrap/>
            <w:vAlign w:val="center"/>
            <w:hideMark/>
          </w:tcPr>
          <w:p w14:paraId="01307B46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  <w:t>High concern</w:t>
            </w:r>
          </w:p>
        </w:tc>
        <w:tc>
          <w:tcPr>
            <w:tcW w:w="372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5D484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  <w:t>Unclear inclusion criteria</w:t>
            </w:r>
          </w:p>
        </w:tc>
        <w:tc>
          <w:tcPr>
            <w:tcW w:w="267" w:type="pct"/>
            <w:tcBorders>
              <w:left w:val="nil"/>
              <w:bottom w:val="nil"/>
              <w:right w:val="nil"/>
            </w:tcBorders>
            <w:shd w:val="clear" w:color="000000" w:fill="FFC7CE"/>
            <w:noWrap/>
            <w:vAlign w:val="center"/>
            <w:hideMark/>
          </w:tcPr>
          <w:p w14:paraId="60E6AC9C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  <w:t>High</w:t>
            </w:r>
          </w:p>
        </w:tc>
        <w:tc>
          <w:tcPr>
            <w:tcW w:w="394" w:type="pct"/>
            <w:tcBorders>
              <w:left w:val="nil"/>
              <w:bottom w:val="nil"/>
              <w:right w:val="nil"/>
            </w:tcBorders>
            <w:shd w:val="clear" w:color="D9E1F2" w:fill="FFC7CE"/>
            <w:noWrap/>
            <w:vAlign w:val="center"/>
            <w:hideMark/>
          </w:tcPr>
          <w:p w14:paraId="0C78CE1E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  <w:t>High concern</w:t>
            </w:r>
          </w:p>
        </w:tc>
        <w:tc>
          <w:tcPr>
            <w:tcW w:w="422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80887" w14:textId="77777777" w:rsidR="0072270B" w:rsidRPr="0072270B" w:rsidRDefault="0072270B" w:rsidP="0072270B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  <w:t>Index test Positive was unclar</w:t>
            </w:r>
          </w:p>
        </w:tc>
        <w:tc>
          <w:tcPr>
            <w:tcW w:w="267" w:type="pct"/>
            <w:tcBorders>
              <w:left w:val="nil"/>
              <w:bottom w:val="nil"/>
              <w:right w:val="nil"/>
            </w:tcBorders>
            <w:shd w:val="clear" w:color="D9E1F2" w:fill="FFC7CE"/>
            <w:noWrap/>
            <w:vAlign w:val="center"/>
            <w:hideMark/>
          </w:tcPr>
          <w:p w14:paraId="2ABBDC4A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  <w:t>High</w:t>
            </w:r>
          </w:p>
        </w:tc>
        <w:tc>
          <w:tcPr>
            <w:tcW w:w="395" w:type="pct"/>
            <w:tcBorders>
              <w:left w:val="nil"/>
              <w:bottom w:val="nil"/>
              <w:right w:val="nil"/>
            </w:tcBorders>
            <w:shd w:val="clear" w:color="D9E1F2" w:fill="FFC7CE"/>
            <w:noWrap/>
            <w:vAlign w:val="center"/>
            <w:hideMark/>
          </w:tcPr>
          <w:p w14:paraId="03FED409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  <w:t>High concern</w:t>
            </w:r>
          </w:p>
        </w:tc>
        <w:tc>
          <w:tcPr>
            <w:tcW w:w="285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905E1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  <w:t>Reader and Blindness</w:t>
            </w:r>
          </w:p>
        </w:tc>
        <w:tc>
          <w:tcPr>
            <w:tcW w:w="305" w:type="pct"/>
            <w:gridSpan w:val="2"/>
            <w:tcBorders>
              <w:left w:val="nil"/>
              <w:bottom w:val="nil"/>
              <w:right w:val="nil"/>
            </w:tcBorders>
            <w:shd w:val="clear" w:color="D9E1F2" w:fill="C6EFCE"/>
            <w:noWrap/>
            <w:vAlign w:val="center"/>
            <w:hideMark/>
          </w:tcPr>
          <w:p w14:paraId="750373CF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  <w:t>Low</w:t>
            </w:r>
          </w:p>
        </w:tc>
        <w:tc>
          <w:tcPr>
            <w:tcW w:w="570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EBBB2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</w:pPr>
          </w:p>
        </w:tc>
      </w:tr>
      <w:tr w:rsidR="00E27A0B" w:rsidRPr="002A41E4" w14:paraId="5CD19265" w14:textId="77777777" w:rsidTr="00E27A0B">
        <w:trPr>
          <w:trHeight w:val="327"/>
        </w:trPr>
        <w:tc>
          <w:tcPr>
            <w:tcW w:w="425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DD720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  <w:t>Leent, et al</w:t>
            </w:r>
          </w:p>
        </w:tc>
        <w:tc>
          <w:tcPr>
            <w:tcW w:w="243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2D464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  <w:t>2019</w:t>
            </w:r>
          </w:p>
        </w:tc>
        <w:tc>
          <w:tcPr>
            <w:tcW w:w="316" w:type="pct"/>
            <w:tcBorders>
              <w:left w:val="nil"/>
              <w:bottom w:val="nil"/>
              <w:right w:val="nil"/>
            </w:tcBorders>
            <w:shd w:val="clear" w:color="D9E1F2" w:fill="FFC7CE"/>
            <w:noWrap/>
            <w:vAlign w:val="center"/>
            <w:hideMark/>
          </w:tcPr>
          <w:p w14:paraId="4E5B0493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  <w:t>High</w:t>
            </w:r>
          </w:p>
        </w:tc>
        <w:tc>
          <w:tcPr>
            <w:tcW w:w="281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B6C2C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  <w:t>Inappropriate Inclusion</w:t>
            </w:r>
          </w:p>
        </w:tc>
        <w:tc>
          <w:tcPr>
            <w:tcW w:w="458" w:type="pct"/>
            <w:tcBorders>
              <w:left w:val="nil"/>
              <w:bottom w:val="nil"/>
              <w:right w:val="nil"/>
            </w:tcBorders>
            <w:shd w:val="clear" w:color="D9E1F2" w:fill="FFC7CE"/>
            <w:noWrap/>
            <w:vAlign w:val="center"/>
            <w:hideMark/>
          </w:tcPr>
          <w:p w14:paraId="5B01959F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  <w:t>High concern</w:t>
            </w:r>
          </w:p>
        </w:tc>
        <w:tc>
          <w:tcPr>
            <w:tcW w:w="372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5D318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  <w:t>Inappropriate Inclusion</w:t>
            </w:r>
          </w:p>
        </w:tc>
        <w:tc>
          <w:tcPr>
            <w:tcW w:w="267" w:type="pct"/>
            <w:tcBorders>
              <w:left w:val="nil"/>
              <w:bottom w:val="nil"/>
              <w:right w:val="nil"/>
            </w:tcBorders>
            <w:shd w:val="clear" w:color="D9E1F2" w:fill="C6EFCE"/>
            <w:noWrap/>
            <w:vAlign w:val="center"/>
            <w:hideMark/>
          </w:tcPr>
          <w:p w14:paraId="341033DC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  <w:t>Low</w:t>
            </w:r>
          </w:p>
        </w:tc>
        <w:tc>
          <w:tcPr>
            <w:tcW w:w="394" w:type="pct"/>
            <w:tcBorders>
              <w:left w:val="nil"/>
              <w:bottom w:val="nil"/>
              <w:right w:val="nil"/>
            </w:tcBorders>
            <w:shd w:val="clear" w:color="D9E1F2" w:fill="C6EFCE"/>
            <w:noWrap/>
            <w:vAlign w:val="center"/>
            <w:hideMark/>
          </w:tcPr>
          <w:p w14:paraId="6CA2473A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  <w:t>Low concern</w:t>
            </w:r>
          </w:p>
        </w:tc>
        <w:tc>
          <w:tcPr>
            <w:tcW w:w="422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360C7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</w:pPr>
          </w:p>
        </w:tc>
        <w:tc>
          <w:tcPr>
            <w:tcW w:w="267" w:type="pct"/>
            <w:tcBorders>
              <w:left w:val="nil"/>
              <w:bottom w:val="nil"/>
              <w:right w:val="nil"/>
            </w:tcBorders>
            <w:shd w:val="clear" w:color="D9E1F2" w:fill="FFC7CE"/>
            <w:noWrap/>
            <w:vAlign w:val="center"/>
            <w:hideMark/>
          </w:tcPr>
          <w:p w14:paraId="38F46A91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  <w:t>High</w:t>
            </w:r>
          </w:p>
        </w:tc>
        <w:tc>
          <w:tcPr>
            <w:tcW w:w="395" w:type="pct"/>
            <w:tcBorders>
              <w:left w:val="nil"/>
              <w:bottom w:val="nil"/>
              <w:right w:val="nil"/>
            </w:tcBorders>
            <w:shd w:val="clear" w:color="D9E1F2" w:fill="FFC7CE"/>
            <w:noWrap/>
            <w:vAlign w:val="center"/>
            <w:hideMark/>
          </w:tcPr>
          <w:p w14:paraId="13A8FFF7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  <w:t>High concern</w:t>
            </w:r>
          </w:p>
        </w:tc>
        <w:tc>
          <w:tcPr>
            <w:tcW w:w="285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05E8D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  <w:t>Reader and Blindness</w:t>
            </w:r>
          </w:p>
        </w:tc>
        <w:tc>
          <w:tcPr>
            <w:tcW w:w="305" w:type="pct"/>
            <w:gridSpan w:val="2"/>
            <w:tcBorders>
              <w:left w:val="nil"/>
              <w:bottom w:val="nil"/>
              <w:right w:val="nil"/>
            </w:tcBorders>
            <w:shd w:val="clear" w:color="D9E1F2" w:fill="FFC7CE"/>
            <w:noWrap/>
            <w:vAlign w:val="center"/>
            <w:hideMark/>
          </w:tcPr>
          <w:p w14:paraId="52E82D6D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  <w:t>High</w:t>
            </w:r>
          </w:p>
        </w:tc>
        <w:tc>
          <w:tcPr>
            <w:tcW w:w="570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37F26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  <w:t>Inappropriate Exclusion in analysis</w:t>
            </w:r>
          </w:p>
        </w:tc>
      </w:tr>
      <w:tr w:rsidR="00E27A0B" w:rsidRPr="002A41E4" w14:paraId="41AAA344" w14:textId="77777777" w:rsidTr="00E27A0B">
        <w:trPr>
          <w:trHeight w:val="327"/>
        </w:trPr>
        <w:tc>
          <w:tcPr>
            <w:tcW w:w="425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EA125E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  <w:t>Moosa, et al</w:t>
            </w:r>
          </w:p>
        </w:tc>
        <w:tc>
          <w:tcPr>
            <w:tcW w:w="243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CF8CA6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  <w:t>2019</w:t>
            </w:r>
          </w:p>
        </w:tc>
        <w:tc>
          <w:tcPr>
            <w:tcW w:w="316" w:type="pct"/>
            <w:tcBorders>
              <w:left w:val="nil"/>
              <w:bottom w:val="single" w:sz="4" w:space="0" w:color="auto"/>
              <w:right w:val="nil"/>
            </w:tcBorders>
            <w:shd w:val="clear" w:color="D9E1F2" w:fill="C6EFCE"/>
            <w:noWrap/>
            <w:vAlign w:val="center"/>
            <w:hideMark/>
          </w:tcPr>
          <w:p w14:paraId="49537061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  <w:t>Low</w:t>
            </w:r>
          </w:p>
        </w:tc>
        <w:tc>
          <w:tcPr>
            <w:tcW w:w="281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0B1C4C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  <w:t> </w:t>
            </w:r>
          </w:p>
        </w:tc>
        <w:tc>
          <w:tcPr>
            <w:tcW w:w="458" w:type="pct"/>
            <w:tcBorders>
              <w:left w:val="nil"/>
              <w:bottom w:val="single" w:sz="4" w:space="0" w:color="auto"/>
              <w:right w:val="nil"/>
            </w:tcBorders>
            <w:shd w:val="clear" w:color="D9E1F2" w:fill="C6EFCE"/>
            <w:noWrap/>
            <w:vAlign w:val="center"/>
            <w:hideMark/>
          </w:tcPr>
          <w:p w14:paraId="42494808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  <w:t>Low concern</w:t>
            </w:r>
          </w:p>
        </w:tc>
        <w:tc>
          <w:tcPr>
            <w:tcW w:w="372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5D2C22" w14:textId="77777777" w:rsidR="0072270B" w:rsidRPr="0072270B" w:rsidRDefault="0072270B" w:rsidP="0072270B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  <w:t> </w:t>
            </w:r>
          </w:p>
        </w:tc>
        <w:tc>
          <w:tcPr>
            <w:tcW w:w="267" w:type="pct"/>
            <w:tcBorders>
              <w:left w:val="nil"/>
              <w:bottom w:val="single" w:sz="4" w:space="0" w:color="auto"/>
              <w:right w:val="nil"/>
            </w:tcBorders>
            <w:shd w:val="clear" w:color="D9E1F2" w:fill="C6EFCE"/>
            <w:noWrap/>
            <w:vAlign w:val="center"/>
            <w:hideMark/>
          </w:tcPr>
          <w:p w14:paraId="6172C3EE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  <w:t>Low</w:t>
            </w:r>
          </w:p>
        </w:tc>
        <w:tc>
          <w:tcPr>
            <w:tcW w:w="394" w:type="pct"/>
            <w:tcBorders>
              <w:left w:val="nil"/>
              <w:bottom w:val="single" w:sz="4" w:space="0" w:color="auto"/>
              <w:right w:val="nil"/>
            </w:tcBorders>
            <w:shd w:val="clear" w:color="D9E1F2" w:fill="C6EFCE"/>
            <w:noWrap/>
            <w:vAlign w:val="center"/>
            <w:hideMark/>
          </w:tcPr>
          <w:p w14:paraId="0AD3686A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  <w:t>Low concern</w:t>
            </w:r>
          </w:p>
        </w:tc>
        <w:tc>
          <w:tcPr>
            <w:tcW w:w="422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597403" w14:textId="77777777" w:rsidR="0072270B" w:rsidRPr="0072270B" w:rsidRDefault="0072270B" w:rsidP="0072270B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  <w:t> </w:t>
            </w:r>
          </w:p>
        </w:tc>
        <w:tc>
          <w:tcPr>
            <w:tcW w:w="267" w:type="pct"/>
            <w:tcBorders>
              <w:left w:val="nil"/>
              <w:bottom w:val="single" w:sz="4" w:space="0" w:color="auto"/>
              <w:right w:val="nil"/>
            </w:tcBorders>
            <w:shd w:val="clear" w:color="D9E1F2" w:fill="C6EFCE"/>
            <w:noWrap/>
            <w:vAlign w:val="center"/>
            <w:hideMark/>
          </w:tcPr>
          <w:p w14:paraId="61C47832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  <w:t>Low</w:t>
            </w:r>
          </w:p>
        </w:tc>
        <w:tc>
          <w:tcPr>
            <w:tcW w:w="395" w:type="pct"/>
            <w:tcBorders>
              <w:left w:val="nil"/>
              <w:bottom w:val="single" w:sz="4" w:space="0" w:color="auto"/>
              <w:right w:val="nil"/>
            </w:tcBorders>
            <w:shd w:val="clear" w:color="D9E1F2" w:fill="FFC7CE"/>
            <w:noWrap/>
            <w:vAlign w:val="center"/>
            <w:hideMark/>
          </w:tcPr>
          <w:p w14:paraId="4943FF97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9C0006"/>
                <w:kern w:val="0"/>
                <w:sz w:val="15"/>
                <w:szCs w:val="15"/>
                <w:lang/>
              </w:rPr>
              <w:t>High concern</w:t>
            </w:r>
          </w:p>
        </w:tc>
        <w:tc>
          <w:tcPr>
            <w:tcW w:w="285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B10D22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  <w:t> </w:t>
            </w:r>
          </w:p>
        </w:tc>
        <w:tc>
          <w:tcPr>
            <w:tcW w:w="305" w:type="pct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D9E1F2" w:fill="C6EFCE"/>
            <w:noWrap/>
            <w:vAlign w:val="center"/>
            <w:hideMark/>
          </w:tcPr>
          <w:p w14:paraId="3351C3EB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6100"/>
                <w:kern w:val="0"/>
                <w:sz w:val="15"/>
                <w:szCs w:val="15"/>
                <w:lang/>
              </w:rPr>
              <w:t>Low</w:t>
            </w:r>
          </w:p>
        </w:tc>
        <w:tc>
          <w:tcPr>
            <w:tcW w:w="570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D5DDCB" w14:textId="77777777" w:rsidR="0072270B" w:rsidRPr="0072270B" w:rsidRDefault="0072270B" w:rsidP="0072270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</w:pPr>
            <w:r w:rsidRPr="0072270B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/>
              </w:rPr>
              <w:t> </w:t>
            </w:r>
          </w:p>
        </w:tc>
      </w:tr>
    </w:tbl>
    <w:p w14:paraId="4913A303" w14:textId="77777777" w:rsidR="0072270B" w:rsidRPr="0072270B" w:rsidRDefault="0072270B" w:rsidP="0072270B">
      <w:pPr>
        <w:rPr>
          <w:rFonts w:ascii="Times New Roman" w:hAnsi="Times New Roman" w:cs="Times New Roman"/>
        </w:rPr>
      </w:pPr>
    </w:p>
    <w:p w14:paraId="7184C4C7" w14:textId="77777777" w:rsidR="0072270B" w:rsidRDefault="0072270B" w:rsidP="0072270B">
      <w:pPr>
        <w:rPr>
          <w:rFonts w:ascii="Times New Roman" w:hAnsi="Times New Roman" w:cs="Times New Roman"/>
        </w:rPr>
      </w:pPr>
    </w:p>
    <w:p w14:paraId="3661ACBF" w14:textId="77777777" w:rsidR="0072270B" w:rsidRDefault="0072270B" w:rsidP="0072270B">
      <w:pPr>
        <w:rPr>
          <w:rFonts w:ascii="Times New Roman" w:hAnsi="Times New Roman" w:cs="Times New Roman"/>
        </w:rPr>
      </w:pPr>
    </w:p>
    <w:p w14:paraId="411ED70C" w14:textId="0D7E03BA" w:rsidR="0072270B" w:rsidRPr="0072270B" w:rsidRDefault="0072270B" w:rsidP="0072270B">
      <w:pPr>
        <w:rPr>
          <w:rFonts w:ascii="Times New Roman" w:hAnsi="Times New Roman" w:cs="Times New Roman"/>
        </w:rPr>
        <w:sectPr w:rsidR="0072270B" w:rsidRPr="0072270B" w:rsidSect="0072270B">
          <w:pgSz w:w="15840" w:h="12240" w:orient="landscape"/>
          <w:pgMar w:top="720" w:right="720" w:bottom="720" w:left="720" w:header="708" w:footer="708" w:gutter="0"/>
          <w:cols w:space="708"/>
          <w:docGrid w:linePitch="360"/>
        </w:sectPr>
      </w:pPr>
    </w:p>
    <w:p w14:paraId="47D3B485" w14:textId="042659E5" w:rsidR="00721869" w:rsidRDefault="00B45EDC" w:rsidP="00721869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lastRenderedPageBreak/>
        <w:t>S-Figure 1.</w:t>
      </w:r>
      <w:r w:rsidR="00721869">
        <w:rPr>
          <w:rFonts w:ascii="Times New Roman" w:hAnsi="Times New Roman" w:cs="Times New Roman"/>
          <w:b/>
          <w:bCs/>
        </w:rPr>
        <w:t xml:space="preserve"> The quality of the included studies in the sub-group of level of consciousness</w:t>
      </w:r>
    </w:p>
    <w:p w14:paraId="3D07FCE7" w14:textId="77777777" w:rsidR="00721869" w:rsidRDefault="00721869" w:rsidP="00721869">
      <w:pPr>
        <w:tabs>
          <w:tab w:val="left" w:pos="6559"/>
        </w:tabs>
        <w:rPr>
          <w:rFonts w:ascii="Times New Roman" w:hAnsi="Times New Roman" w:cs="Times New Roman"/>
          <w:b/>
          <w:bCs/>
        </w:rPr>
      </w:pPr>
    </w:p>
    <w:p w14:paraId="1FC11C7F" w14:textId="391A3249" w:rsidR="00721869" w:rsidRDefault="00721869" w:rsidP="00721869">
      <w:pPr>
        <w:tabs>
          <w:tab w:val="left" w:pos="6559"/>
        </w:tabs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GCS</w:t>
      </w:r>
      <w:r>
        <w:rPr>
          <w:rFonts w:ascii="Times New Roman" w:hAnsi="Times New Roman" w:cs="Times New Roman" w:hint="eastAsia"/>
          <w:b/>
          <w:bCs/>
        </w:rPr>
        <w:t>≥</w:t>
      </w:r>
      <w:r>
        <w:rPr>
          <w:rFonts w:ascii="Times New Roman" w:hAnsi="Times New Roman" w:cs="Times New Roman"/>
          <w:b/>
          <w:bCs/>
        </w:rPr>
        <w:t>13 Only</w:t>
      </w:r>
    </w:p>
    <w:p w14:paraId="4E6F073B" w14:textId="77777777" w:rsidR="00721869" w:rsidRDefault="00721869" w:rsidP="00721869">
      <w:pPr>
        <w:tabs>
          <w:tab w:val="left" w:pos="6559"/>
        </w:tabs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Risk of bias</w:t>
      </w:r>
    </w:p>
    <w:p w14:paraId="14754D22" w14:textId="77777777" w:rsidR="00721869" w:rsidRDefault="00721869" w:rsidP="00721869">
      <w:pPr>
        <w:tabs>
          <w:tab w:val="left" w:pos="6559"/>
        </w:tabs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76E0158B" wp14:editId="0DA75C87">
            <wp:extent cx="4230168" cy="957894"/>
            <wp:effectExtent l="0" t="0" r="0" b="0"/>
            <wp:docPr id="16" name="Picture 16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ROB_GCS≥13.jpeg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4615"/>
                    <a:stretch/>
                  </pic:blipFill>
                  <pic:spPr bwMode="auto">
                    <a:xfrm>
                      <a:off x="0" y="0"/>
                      <a:ext cx="4254898" cy="96349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31CDE00" w14:textId="77777777" w:rsidR="00721869" w:rsidRDefault="00721869" w:rsidP="00721869">
      <w:pPr>
        <w:tabs>
          <w:tab w:val="left" w:pos="6559"/>
        </w:tabs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Applicability</w:t>
      </w:r>
    </w:p>
    <w:p w14:paraId="357D9F3C" w14:textId="77777777" w:rsidR="00721869" w:rsidRDefault="00721869" w:rsidP="00721869">
      <w:pPr>
        <w:tabs>
          <w:tab w:val="left" w:pos="6559"/>
        </w:tabs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6895513A" wp14:editId="435A0206">
            <wp:extent cx="4178893" cy="957036"/>
            <wp:effectExtent l="0" t="0" r="0" b="0"/>
            <wp:docPr id="15" name="Picture 15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GCS≥13_app.jpe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3758"/>
                    <a:stretch/>
                  </pic:blipFill>
                  <pic:spPr bwMode="auto">
                    <a:xfrm>
                      <a:off x="0" y="0"/>
                      <a:ext cx="4207834" cy="96366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D36B737" w14:textId="77777777" w:rsidR="00721869" w:rsidRDefault="00721869" w:rsidP="00721869">
      <w:pPr>
        <w:tabs>
          <w:tab w:val="left" w:pos="6559"/>
        </w:tabs>
        <w:rPr>
          <w:rFonts w:ascii="Times New Roman" w:hAnsi="Times New Roman" w:cs="Times New Roman"/>
          <w:b/>
          <w:bCs/>
        </w:rPr>
      </w:pPr>
    </w:p>
    <w:p w14:paraId="2F5296BE" w14:textId="4E535027" w:rsidR="00721869" w:rsidRDefault="00721869" w:rsidP="00721869">
      <w:pPr>
        <w:tabs>
          <w:tab w:val="left" w:pos="6559"/>
        </w:tabs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Including GCS</w:t>
      </w:r>
      <w:r>
        <w:rPr>
          <w:rFonts w:ascii="Times New Roman" w:hAnsi="Times New Roman" w:cs="Times New Roman" w:hint="eastAsia"/>
          <w:b/>
          <w:bCs/>
        </w:rPr>
        <w:t>≤</w:t>
      </w:r>
      <w:r>
        <w:rPr>
          <w:rFonts w:ascii="Times New Roman" w:hAnsi="Times New Roman" w:cs="Times New Roman"/>
          <w:b/>
          <w:bCs/>
        </w:rPr>
        <w:t>13</w:t>
      </w:r>
    </w:p>
    <w:p w14:paraId="0E6DB79D" w14:textId="77777777" w:rsidR="00721869" w:rsidRDefault="00721869" w:rsidP="00721869">
      <w:pPr>
        <w:tabs>
          <w:tab w:val="left" w:pos="6559"/>
        </w:tabs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Risk of Bias</w:t>
      </w:r>
    </w:p>
    <w:p w14:paraId="2229CB8B" w14:textId="77777777" w:rsidR="00721869" w:rsidRDefault="00721869" w:rsidP="00721869">
      <w:pPr>
        <w:tabs>
          <w:tab w:val="left" w:pos="6559"/>
        </w:tabs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6F0C85DB" wp14:editId="4E780F0E">
            <wp:extent cx="4093435" cy="942731"/>
            <wp:effectExtent l="0" t="0" r="0" b="0"/>
            <wp:docPr id="13" name="Picture 13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ROB_GCS≤13.jpe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3330"/>
                    <a:stretch/>
                  </pic:blipFill>
                  <pic:spPr bwMode="auto">
                    <a:xfrm>
                      <a:off x="0" y="0"/>
                      <a:ext cx="4128099" cy="9507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8724E3E" w14:textId="77777777" w:rsidR="00721869" w:rsidRDefault="00721869" w:rsidP="00721869">
      <w:pPr>
        <w:tabs>
          <w:tab w:val="left" w:pos="6559"/>
        </w:tabs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Applicability</w:t>
      </w:r>
    </w:p>
    <w:p w14:paraId="14306396" w14:textId="77777777" w:rsidR="00721869" w:rsidRDefault="00721869" w:rsidP="00721869">
      <w:pPr>
        <w:tabs>
          <w:tab w:val="left" w:pos="70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6EE66686" wp14:editId="17F805BD">
            <wp:extent cx="4093210" cy="942679"/>
            <wp:effectExtent l="0" t="0" r="0" b="0"/>
            <wp:docPr id="14" name="Picture 14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GCS≤13 App.jpe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3330"/>
                    <a:stretch/>
                  </pic:blipFill>
                  <pic:spPr bwMode="auto">
                    <a:xfrm>
                      <a:off x="0" y="0"/>
                      <a:ext cx="4128780" cy="95087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F693AC6" w14:textId="77777777" w:rsidR="00721869" w:rsidRDefault="00721869" w:rsidP="00721869">
      <w:pPr>
        <w:tabs>
          <w:tab w:val="left" w:pos="700"/>
        </w:tabs>
        <w:rPr>
          <w:rFonts w:ascii="Times New Roman" w:hAnsi="Times New Roman" w:cs="Times New Roman"/>
        </w:rPr>
      </w:pPr>
    </w:p>
    <w:p w14:paraId="23008A22" w14:textId="77777777" w:rsidR="00721869" w:rsidRDefault="00721869" w:rsidP="00721869">
      <w:pPr>
        <w:tabs>
          <w:tab w:val="left" w:pos="70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Green: Low risk of bias or low concern in applicability</w:t>
      </w:r>
    </w:p>
    <w:p w14:paraId="66C009C6" w14:textId="77777777" w:rsidR="00721869" w:rsidRDefault="00721869" w:rsidP="00721869">
      <w:pPr>
        <w:tabs>
          <w:tab w:val="left" w:pos="70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Red: High risk of bias or high concern in applicability</w:t>
      </w:r>
    </w:p>
    <w:p w14:paraId="7043DF72" w14:textId="77777777" w:rsidR="00721869" w:rsidRDefault="00721869" w:rsidP="00721869">
      <w:pPr>
        <w:tabs>
          <w:tab w:val="left" w:pos="700"/>
        </w:tabs>
        <w:rPr>
          <w:rFonts w:ascii="Times New Roman" w:hAnsi="Times New Roman" w:cs="Times New Roman"/>
        </w:rPr>
      </w:pPr>
    </w:p>
    <w:p w14:paraId="65A3612C" w14:textId="77777777" w:rsidR="00721869" w:rsidRDefault="00721869">
      <w:pPr>
        <w:rPr>
          <w:rFonts w:ascii="Times New Roman" w:hAnsi="Times New Roman" w:cs="Times New Roman"/>
          <w:b/>
          <w:bCs/>
        </w:rPr>
      </w:pPr>
    </w:p>
    <w:p w14:paraId="587A7CA5" w14:textId="77777777" w:rsidR="00721869" w:rsidRDefault="00721869">
      <w:pPr>
        <w:rPr>
          <w:rFonts w:ascii="Times New Roman" w:hAnsi="Times New Roman" w:cs="Times New Roman"/>
        </w:rPr>
      </w:pPr>
    </w:p>
    <w:p w14:paraId="744699BE" w14:textId="77777777" w:rsidR="00721869" w:rsidRDefault="00721869">
      <w:pPr>
        <w:rPr>
          <w:rFonts w:ascii="Times New Roman" w:hAnsi="Times New Roman" w:cs="Times New Roman"/>
        </w:rPr>
      </w:pPr>
    </w:p>
    <w:p w14:paraId="2E8046DC" w14:textId="77777777" w:rsidR="00721869" w:rsidRDefault="00721869">
      <w:pPr>
        <w:rPr>
          <w:rFonts w:ascii="Times New Roman" w:hAnsi="Times New Roman" w:cs="Times New Roman"/>
        </w:rPr>
      </w:pPr>
    </w:p>
    <w:p w14:paraId="34D8B471" w14:textId="77777777" w:rsidR="00721869" w:rsidRDefault="00721869">
      <w:pPr>
        <w:rPr>
          <w:rFonts w:ascii="Times New Roman" w:hAnsi="Times New Roman" w:cs="Times New Roman"/>
        </w:rPr>
      </w:pPr>
    </w:p>
    <w:p w14:paraId="23D48561" w14:textId="77777777" w:rsidR="00721869" w:rsidRDefault="00721869">
      <w:pPr>
        <w:rPr>
          <w:rFonts w:ascii="Times New Roman" w:hAnsi="Times New Roman" w:cs="Times New Roman"/>
        </w:rPr>
      </w:pPr>
    </w:p>
    <w:p w14:paraId="43896590" w14:textId="77777777" w:rsidR="00721869" w:rsidRDefault="00721869">
      <w:pPr>
        <w:rPr>
          <w:rFonts w:ascii="Times New Roman" w:hAnsi="Times New Roman" w:cs="Times New Roman"/>
        </w:rPr>
      </w:pPr>
    </w:p>
    <w:p w14:paraId="668793C0" w14:textId="77777777" w:rsidR="00721869" w:rsidRDefault="00721869">
      <w:pPr>
        <w:rPr>
          <w:rFonts w:ascii="Times New Roman" w:hAnsi="Times New Roman" w:cs="Times New Roman"/>
        </w:rPr>
      </w:pPr>
    </w:p>
    <w:p w14:paraId="6CB016B2" w14:textId="77777777" w:rsidR="00721869" w:rsidRDefault="00721869">
      <w:pPr>
        <w:rPr>
          <w:rFonts w:ascii="Times New Roman" w:hAnsi="Times New Roman" w:cs="Times New Roman"/>
        </w:rPr>
      </w:pPr>
    </w:p>
    <w:p w14:paraId="1BA1E3C7" w14:textId="77777777" w:rsidR="00721869" w:rsidRDefault="00721869">
      <w:pPr>
        <w:rPr>
          <w:rFonts w:ascii="Times New Roman" w:hAnsi="Times New Roman" w:cs="Times New Roman"/>
        </w:rPr>
      </w:pPr>
    </w:p>
    <w:p w14:paraId="60A1D9FB" w14:textId="77777777" w:rsidR="00721869" w:rsidRDefault="00721869">
      <w:pPr>
        <w:rPr>
          <w:rFonts w:ascii="Times New Roman" w:hAnsi="Times New Roman" w:cs="Times New Roman"/>
        </w:rPr>
        <w:sectPr w:rsidR="00721869"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14:paraId="578717D0" w14:textId="77777777" w:rsidR="00721869" w:rsidRDefault="00721869">
      <w:pPr>
        <w:rPr>
          <w:rFonts w:ascii="Times New Roman" w:hAnsi="Times New Roman" w:cs="Times New Roman"/>
          <w:b/>
          <w:bCs/>
        </w:rPr>
      </w:pPr>
      <w:r w:rsidRPr="00721869">
        <w:rPr>
          <w:rFonts w:ascii="Times New Roman" w:hAnsi="Times New Roman" w:cs="Times New Roman"/>
          <w:b/>
          <w:bCs/>
        </w:rPr>
        <w:lastRenderedPageBreak/>
        <w:t>S- Figure 2.</w:t>
      </w:r>
      <w:r>
        <w:rPr>
          <w:rFonts w:ascii="Times New Roman" w:hAnsi="Times New Roman" w:cs="Times New Roman"/>
          <w:b/>
          <w:bCs/>
        </w:rPr>
        <w:t xml:space="preserve"> </w:t>
      </w:r>
    </w:p>
    <w:p w14:paraId="7FD38533" w14:textId="2D6A0679" w:rsidR="00DC39DD" w:rsidRPr="00721869" w:rsidRDefault="00E27A0B">
      <w:pPr>
        <w:rPr>
          <w:rFonts w:ascii="Cambria" w:hAnsi="Cambria" w:cs="Times New Roman"/>
          <w:b/>
          <w:bCs/>
        </w:rPr>
      </w:pPr>
      <w:r w:rsidRPr="00721869">
        <w:rPr>
          <w:rFonts w:ascii="Times New Roman" w:hAnsi="Times New Roman" w:cs="Times New Roman"/>
          <w:b/>
          <w:bCs/>
        </w:rPr>
        <w:t>The results of sensitivity analysis</w:t>
      </w:r>
      <w:r w:rsidR="00B45EDC" w:rsidRPr="00721869">
        <w:rPr>
          <w:rFonts w:ascii="Times New Roman" w:hAnsi="Times New Roman" w:cs="Times New Roman"/>
          <w:b/>
          <w:bCs/>
        </w:rPr>
        <w:t xml:space="preserve"> excluding the studies using index test other than pre-defined in the review protocol</w:t>
      </w:r>
    </w:p>
    <w:p w14:paraId="01950A7F" w14:textId="41740DCF" w:rsidR="00E27A0B" w:rsidRDefault="00B45ED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54E57396" wp14:editId="0B69B949">
            <wp:extent cx="3602355" cy="3391877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ROC plot_PE.pdf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437" r="1593" b="19864"/>
                    <a:stretch/>
                  </pic:blipFill>
                  <pic:spPr bwMode="auto">
                    <a:xfrm>
                      <a:off x="0" y="0"/>
                      <a:ext cx="3612128" cy="340107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C42A288" w14:textId="769F5393" w:rsidR="00B45EDC" w:rsidRDefault="00B45ED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HSROC (Black): Sensitivity analysis only included studies using index test defined in review protocol</w:t>
      </w:r>
    </w:p>
    <w:p w14:paraId="41CAC894" w14:textId="173B704F" w:rsidR="00B45EDC" w:rsidRDefault="00B45EDC" w:rsidP="00B45ED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HSROC (Gray): Primary analysis included all studies </w:t>
      </w:r>
    </w:p>
    <w:p w14:paraId="5E504B1B" w14:textId="11C6CF37" w:rsidR="00B45EDC" w:rsidRDefault="00B45EDC" w:rsidP="00B45ED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○</w:t>
      </w:r>
      <w:r>
        <w:rPr>
          <w:rFonts w:ascii="Times New Roman" w:hAnsi="Times New Roman" w:cs="Times New Roman"/>
        </w:rPr>
        <w:t>:</w:t>
      </w:r>
      <w:r w:rsidRPr="00B45ED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Studies using index test defined in protocol</w:t>
      </w:r>
    </w:p>
    <w:p w14:paraId="52E54077" w14:textId="5A30968F" w:rsidR="00B45EDC" w:rsidRDefault="00B45EDC" w:rsidP="00B45EDC">
      <w:pPr>
        <w:rPr>
          <w:rFonts w:ascii="Times New Roman" w:hAnsi="Times New Roman" w:cs="Times New Roman"/>
        </w:rPr>
      </w:pPr>
      <w:r>
        <w:rPr>
          <w:rFonts w:ascii="Apple Color Emoji" w:hAnsi="Apple Color Emoji" w:cs="Apple Color Emoji" w:hint="eastAsia"/>
        </w:rPr>
        <w:t>×</w:t>
      </w:r>
      <w:r>
        <w:rPr>
          <w:rFonts w:ascii="Cambria" w:hAnsi="Cambria" w:cs="Apple Color Emoji"/>
        </w:rPr>
        <w:t xml:space="preserve">: </w:t>
      </w:r>
      <w:r>
        <w:rPr>
          <w:rFonts w:ascii="Times New Roman" w:hAnsi="Times New Roman" w:cs="Times New Roman"/>
        </w:rPr>
        <w:t>Studies using index test other than pre-defined in review protocol such as neurological examination or rectal examination</w:t>
      </w:r>
    </w:p>
    <w:p w14:paraId="4A2EA0D0" w14:textId="03213710" w:rsidR="00A50194" w:rsidRDefault="001C3F57" w:rsidP="00B45ED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DOR in sensitivity analysis: 55.6 [95%CI: 25.2-122.4]</w:t>
      </w:r>
    </w:p>
    <w:p w14:paraId="42412B4F" w14:textId="77777777" w:rsidR="00B45EDC" w:rsidRDefault="00B45EDC" w:rsidP="00B45EDC">
      <w:pPr>
        <w:rPr>
          <w:rFonts w:ascii="Cambria" w:hAnsi="Cambria" w:cs="Times New Roman"/>
        </w:rPr>
        <w:sectPr w:rsidR="00B45EDC"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14:paraId="343EEE1A" w14:textId="30747223" w:rsidR="00B45EDC" w:rsidRDefault="00B45EDC" w:rsidP="00B45EDC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lastRenderedPageBreak/>
        <w:t xml:space="preserve">S-Figure </w:t>
      </w:r>
      <w:r w:rsidR="00721869">
        <w:rPr>
          <w:rFonts w:ascii="Times New Roman" w:hAnsi="Times New Roman" w:cs="Times New Roman"/>
          <w:b/>
          <w:bCs/>
        </w:rPr>
        <w:t>3</w:t>
      </w:r>
      <w:r>
        <w:rPr>
          <w:rFonts w:ascii="Times New Roman" w:hAnsi="Times New Roman" w:cs="Times New Roman"/>
          <w:b/>
          <w:bCs/>
        </w:rPr>
        <w:t>.</w:t>
      </w:r>
    </w:p>
    <w:p w14:paraId="6D4128EB" w14:textId="64039EF7" w:rsidR="00B45EDC" w:rsidRPr="00721869" w:rsidRDefault="00B45EDC" w:rsidP="00B45EDC">
      <w:pPr>
        <w:rPr>
          <w:rFonts w:ascii="Times New Roman" w:hAnsi="Times New Roman" w:cs="Times New Roman"/>
          <w:b/>
          <w:bCs/>
        </w:rPr>
      </w:pPr>
      <w:r w:rsidRPr="00721869">
        <w:rPr>
          <w:rFonts w:ascii="Times New Roman" w:hAnsi="Times New Roman" w:cs="Times New Roman"/>
          <w:b/>
          <w:bCs/>
        </w:rPr>
        <w:t>The results of sensitivity analysis excluding the studies using reference standard as only x-ray or unclear</w:t>
      </w:r>
    </w:p>
    <w:p w14:paraId="79F65D91" w14:textId="7B707CD5" w:rsidR="00B45EDC" w:rsidRPr="00721869" w:rsidRDefault="00B45EDC" w:rsidP="00B45EDC">
      <w:pPr>
        <w:rPr>
          <w:rFonts w:ascii="Times New Roman" w:hAnsi="Times New Roman" w:cs="Times New Roman"/>
          <w:b/>
          <w:bCs/>
        </w:rPr>
      </w:pPr>
    </w:p>
    <w:p w14:paraId="2571ECA5" w14:textId="170476F5" w:rsidR="00B45EDC" w:rsidRDefault="00B45EDC" w:rsidP="00B45ED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2154628F" wp14:editId="687D60CF">
            <wp:extent cx="4264510" cy="3952568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ROC plot_ref_sub.pdf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199" r="408" b="19365"/>
                    <a:stretch/>
                  </pic:blipFill>
                  <pic:spPr bwMode="auto">
                    <a:xfrm>
                      <a:off x="0" y="0"/>
                      <a:ext cx="4273231" cy="396065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D1E6DB3" w14:textId="336325CC" w:rsidR="00B45EDC" w:rsidRDefault="00B45EDC" w:rsidP="00B45EDC">
      <w:pPr>
        <w:rPr>
          <w:rFonts w:ascii="Times New Roman" w:hAnsi="Times New Roman" w:cs="Times New Roman"/>
        </w:rPr>
      </w:pPr>
    </w:p>
    <w:p w14:paraId="2D7326CF" w14:textId="261768FB" w:rsidR="00191F41" w:rsidRDefault="00B45EDC" w:rsidP="00B45ED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HSROC (Black): Sensitivity analysis only included studies using </w:t>
      </w:r>
      <w:r w:rsidR="00191F41">
        <w:rPr>
          <w:rFonts w:ascii="Times New Roman" w:hAnsi="Times New Roman" w:cs="Times New Roman"/>
        </w:rPr>
        <w:t>reference standard as X-ray or CT</w:t>
      </w:r>
    </w:p>
    <w:p w14:paraId="6016F23A" w14:textId="44FCB331" w:rsidR="00B45EDC" w:rsidRDefault="00B45EDC" w:rsidP="00B45ED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HSROC (Gray): Primary analysis included all studies </w:t>
      </w:r>
    </w:p>
    <w:p w14:paraId="6B5778E1" w14:textId="6EA5F1FB" w:rsidR="00B45EDC" w:rsidRDefault="00B45EDC" w:rsidP="00B45ED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○</w:t>
      </w:r>
      <w:r>
        <w:rPr>
          <w:rFonts w:ascii="Times New Roman" w:hAnsi="Times New Roman" w:cs="Times New Roman"/>
        </w:rPr>
        <w:t>:</w:t>
      </w:r>
      <w:r w:rsidRPr="00B45ED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Studies using </w:t>
      </w:r>
      <w:r w:rsidR="00191F41">
        <w:rPr>
          <w:rFonts w:ascii="Times New Roman" w:hAnsi="Times New Roman" w:cs="Times New Roman"/>
        </w:rPr>
        <w:t>reference standard as X-ray or CT</w:t>
      </w:r>
    </w:p>
    <w:p w14:paraId="7DADDEAB" w14:textId="625E5D67" w:rsidR="00B45EDC" w:rsidRDefault="00B45EDC" w:rsidP="00B45EDC">
      <w:pPr>
        <w:rPr>
          <w:rFonts w:ascii="Times New Roman" w:hAnsi="Times New Roman" w:cs="Times New Roman"/>
        </w:rPr>
      </w:pPr>
      <w:r>
        <w:rPr>
          <w:rFonts w:ascii="Apple Color Emoji" w:hAnsi="Apple Color Emoji" w:cs="Apple Color Emoji" w:hint="eastAsia"/>
        </w:rPr>
        <w:t>×</w:t>
      </w:r>
      <w:r>
        <w:rPr>
          <w:rFonts w:ascii="Cambria" w:hAnsi="Cambria" w:cs="Apple Color Emoji"/>
        </w:rPr>
        <w:t xml:space="preserve">: </w:t>
      </w:r>
      <w:r>
        <w:rPr>
          <w:rFonts w:ascii="Times New Roman" w:hAnsi="Times New Roman" w:cs="Times New Roman"/>
        </w:rPr>
        <w:t xml:space="preserve">Studies using </w:t>
      </w:r>
      <w:r w:rsidR="00191F41">
        <w:rPr>
          <w:rFonts w:ascii="Times New Roman" w:hAnsi="Times New Roman" w:cs="Times New Roman"/>
        </w:rPr>
        <w:t>reference standard as X-ray only or unclear</w:t>
      </w:r>
    </w:p>
    <w:p w14:paraId="2C4A169D" w14:textId="56CE7B54" w:rsidR="001C3F57" w:rsidRDefault="001C3F57" w:rsidP="001C3F5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DOR in sensitivity analysis: 72.9 [95%CI: 27.5-193.0]</w:t>
      </w:r>
    </w:p>
    <w:p w14:paraId="622822D3" w14:textId="77777777" w:rsidR="00191F41" w:rsidRDefault="00191F41" w:rsidP="00B45EDC">
      <w:pPr>
        <w:rPr>
          <w:rFonts w:ascii="Cambria" w:hAnsi="Cambria" w:cs="Times New Roman"/>
        </w:rPr>
        <w:sectPr w:rsidR="00191F41"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14:paraId="38CCEC44" w14:textId="4B058DD0" w:rsidR="00191F41" w:rsidRDefault="00191F41" w:rsidP="00191F41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lastRenderedPageBreak/>
        <w:t>S-Figure 3.</w:t>
      </w:r>
    </w:p>
    <w:p w14:paraId="0B78A154" w14:textId="28D06DC8" w:rsidR="00191F41" w:rsidRPr="00721869" w:rsidRDefault="00191F41" w:rsidP="00B45EDC">
      <w:pPr>
        <w:rPr>
          <w:rFonts w:ascii="Times New Roman" w:hAnsi="Times New Roman" w:cs="Times New Roman"/>
          <w:b/>
          <w:bCs/>
        </w:rPr>
      </w:pPr>
      <w:r w:rsidRPr="00721869">
        <w:rPr>
          <w:rFonts w:ascii="Times New Roman" w:hAnsi="Times New Roman" w:cs="Times New Roman"/>
          <w:b/>
          <w:bCs/>
        </w:rPr>
        <w:t xml:space="preserve">The results of post-hoc sensitivity analysis only </w:t>
      </w:r>
      <w:r w:rsidR="00397EBC" w:rsidRPr="00721869">
        <w:rPr>
          <w:rFonts w:ascii="Times New Roman" w:hAnsi="Times New Roman" w:cs="Times New Roman"/>
          <w:b/>
          <w:bCs/>
        </w:rPr>
        <w:t>ex</w:t>
      </w:r>
      <w:r w:rsidRPr="00721869">
        <w:rPr>
          <w:rFonts w:ascii="Times New Roman" w:hAnsi="Times New Roman" w:cs="Times New Roman"/>
          <w:b/>
          <w:bCs/>
        </w:rPr>
        <w:t>cluding the studies evaluated as “</w:t>
      </w:r>
      <w:r w:rsidR="00397EBC" w:rsidRPr="00721869">
        <w:rPr>
          <w:rFonts w:ascii="Times New Roman" w:hAnsi="Times New Roman" w:cs="Times New Roman"/>
          <w:b/>
          <w:bCs/>
        </w:rPr>
        <w:t>High</w:t>
      </w:r>
      <w:r w:rsidRPr="00721869">
        <w:rPr>
          <w:rFonts w:ascii="Times New Roman" w:hAnsi="Times New Roman" w:cs="Times New Roman"/>
          <w:b/>
          <w:bCs/>
        </w:rPr>
        <w:t xml:space="preserve"> risk of bias”</w:t>
      </w:r>
      <w:r w:rsidR="00397EBC" w:rsidRPr="00721869">
        <w:rPr>
          <w:rFonts w:ascii="Times New Roman" w:hAnsi="Times New Roman" w:cs="Times New Roman"/>
          <w:b/>
          <w:bCs/>
        </w:rPr>
        <w:t xml:space="preserve"> at least in one domain</w:t>
      </w:r>
    </w:p>
    <w:p w14:paraId="1C8A1D47" w14:textId="77777777" w:rsidR="00B45EDC" w:rsidRPr="00E27A0B" w:rsidRDefault="00B45EDC" w:rsidP="00B45EDC">
      <w:pPr>
        <w:rPr>
          <w:rFonts w:ascii="Times New Roman" w:hAnsi="Times New Roman" w:cs="Times New Roman"/>
        </w:rPr>
      </w:pPr>
    </w:p>
    <w:p w14:paraId="518DA39E" w14:textId="4FDD535E" w:rsidR="00B45EDC" w:rsidRDefault="00191F4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33FA810E" wp14:editId="4D5603FF">
            <wp:extent cx="4625286" cy="4345858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ROC plot_ROB.pdf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577" r="1405" b="19737"/>
                    <a:stretch/>
                  </pic:blipFill>
                  <pic:spPr bwMode="auto">
                    <a:xfrm>
                      <a:off x="0" y="0"/>
                      <a:ext cx="4635559" cy="43555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8D422C0" w14:textId="7D460546" w:rsidR="00191F41" w:rsidRDefault="00191F41">
      <w:pPr>
        <w:rPr>
          <w:rFonts w:ascii="Times New Roman" w:hAnsi="Times New Roman" w:cs="Times New Roman"/>
        </w:rPr>
      </w:pPr>
    </w:p>
    <w:p w14:paraId="500346CC" w14:textId="7F818499" w:rsidR="00191F41" w:rsidRDefault="00191F41" w:rsidP="00191F4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HSROC (Black): Sensitivity analysis only included studies evaluated as “Low risk of bias”</w:t>
      </w:r>
    </w:p>
    <w:p w14:paraId="28BFD11C" w14:textId="77777777" w:rsidR="00191F41" w:rsidRDefault="00191F41" w:rsidP="00191F4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HSROC (Gray): Primary analysis included all studies </w:t>
      </w:r>
    </w:p>
    <w:p w14:paraId="61C5E035" w14:textId="4DED3F39" w:rsidR="00191F41" w:rsidRDefault="00191F41" w:rsidP="00191F4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○</w:t>
      </w:r>
      <w:r>
        <w:rPr>
          <w:rFonts w:ascii="Times New Roman" w:hAnsi="Times New Roman" w:cs="Times New Roman"/>
        </w:rPr>
        <w:t>:</w:t>
      </w:r>
      <w:r w:rsidRPr="00B45ED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Studies evaluated as “Low risk of bias”</w:t>
      </w:r>
    </w:p>
    <w:p w14:paraId="494D8FEA" w14:textId="1C3865F1" w:rsidR="00191F41" w:rsidRDefault="00191F41" w:rsidP="00191F41">
      <w:pPr>
        <w:rPr>
          <w:rFonts w:ascii="Times New Roman" w:hAnsi="Times New Roman" w:cs="Times New Roman"/>
        </w:rPr>
      </w:pPr>
      <w:r>
        <w:rPr>
          <w:rFonts w:ascii="Apple Color Emoji" w:hAnsi="Apple Color Emoji" w:cs="Apple Color Emoji" w:hint="eastAsia"/>
        </w:rPr>
        <w:t>×</w:t>
      </w:r>
      <w:r>
        <w:rPr>
          <w:rFonts w:ascii="Cambria" w:hAnsi="Cambria" w:cs="Apple Color Emoji"/>
        </w:rPr>
        <w:t xml:space="preserve">: </w:t>
      </w:r>
      <w:r>
        <w:rPr>
          <w:rFonts w:ascii="Times New Roman" w:hAnsi="Times New Roman" w:cs="Times New Roman"/>
        </w:rPr>
        <w:t>Studies evaluated as “High risk of bias” at least in one domain</w:t>
      </w:r>
    </w:p>
    <w:p w14:paraId="64488E71" w14:textId="18135743" w:rsidR="001C3F57" w:rsidRDefault="001C3F57" w:rsidP="001C3F5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DOR in sensitivity analysis: 187.0 [95%CI: 62.0-564.1]</w:t>
      </w:r>
    </w:p>
    <w:p w14:paraId="39076AE0" w14:textId="77777777" w:rsidR="001C3F57" w:rsidRDefault="001C3F57" w:rsidP="001C3F57">
      <w:pPr>
        <w:rPr>
          <w:rFonts w:ascii="Times New Roman" w:hAnsi="Times New Roman" w:cs="Times New Roman"/>
        </w:rPr>
      </w:pPr>
    </w:p>
    <w:p w14:paraId="3AAB9A3B" w14:textId="77777777" w:rsidR="001C3F57" w:rsidRDefault="001C3F57" w:rsidP="00191F41">
      <w:pPr>
        <w:rPr>
          <w:rFonts w:ascii="Times New Roman" w:hAnsi="Times New Roman" w:cs="Times New Roman"/>
        </w:rPr>
      </w:pPr>
    </w:p>
    <w:p w14:paraId="7F374491" w14:textId="3F96E50A" w:rsidR="00191F41" w:rsidRDefault="00191F41" w:rsidP="00191F41">
      <w:pPr>
        <w:rPr>
          <w:rFonts w:ascii="Times New Roman" w:hAnsi="Times New Roman" w:cs="Times New Roman"/>
        </w:rPr>
      </w:pPr>
    </w:p>
    <w:p w14:paraId="0245536E" w14:textId="77777777" w:rsidR="00191F41" w:rsidRPr="00E27A0B" w:rsidRDefault="00191F41">
      <w:pPr>
        <w:rPr>
          <w:rFonts w:ascii="Times New Roman" w:hAnsi="Times New Roman" w:cs="Times New Roman"/>
        </w:rPr>
      </w:pPr>
    </w:p>
    <w:sectPr w:rsidR="00191F41" w:rsidRPr="00E27A0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1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638E"/>
    <w:rsid w:val="0018392C"/>
    <w:rsid w:val="00191F41"/>
    <w:rsid w:val="001C3F57"/>
    <w:rsid w:val="002A41E4"/>
    <w:rsid w:val="00397EBC"/>
    <w:rsid w:val="00721869"/>
    <w:rsid w:val="0072270B"/>
    <w:rsid w:val="007A6791"/>
    <w:rsid w:val="0091767A"/>
    <w:rsid w:val="00A50194"/>
    <w:rsid w:val="00B45EDC"/>
    <w:rsid w:val="00CB6749"/>
    <w:rsid w:val="00DC39DD"/>
    <w:rsid w:val="00E27A0B"/>
    <w:rsid w:val="00EF7AFB"/>
    <w:rsid w:val="00F963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06219FE"/>
  <w15:chartTrackingRefBased/>
  <w15:docId w15:val="{68B893F3-9AC8-D74C-9B3E-C2A58348D8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9638E"/>
    <w:pPr>
      <w:widowControl w:val="0"/>
      <w:jc w:val="both"/>
    </w:pPr>
    <w:rPr>
      <w:kern w:val="2"/>
      <w:sz w:val="21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F7AF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72270B"/>
    <w:rPr>
      <w:rFonts w:ascii="Times New Roman" w:hAnsi="Times New Roman" w:cs="Times New Roman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72270B"/>
    <w:rPr>
      <w:rFonts w:ascii="Times New Roman" w:hAnsi="Times New Roman" w:cs="Times New Roman"/>
      <w:kern w:val="2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97322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80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885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99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52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emf"/><Relationship Id="rId4" Type="http://schemas.openxmlformats.org/officeDocument/2006/relationships/image" Target="media/image1.jpeg"/><Relationship Id="rId9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8</Pages>
  <Words>1529</Words>
  <Characters>8719</Characters>
  <Application>Microsoft Office Word</Application>
  <DocSecurity>0</DocSecurity>
  <Lines>72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岡田 遥平</dc:creator>
  <cp:keywords/>
  <dc:description/>
  <cp:lastModifiedBy>岡田 遥平</cp:lastModifiedBy>
  <cp:revision>7</cp:revision>
  <dcterms:created xsi:type="dcterms:W3CDTF">2020-06-11T02:39:00Z</dcterms:created>
  <dcterms:modified xsi:type="dcterms:W3CDTF">2020-06-27T06:15:00Z</dcterms:modified>
</cp:coreProperties>
</file>