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00F4" w:rsidRPr="001E3C42" w:rsidRDefault="003500F4" w:rsidP="003500F4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Additional information</w:t>
      </w:r>
    </w:p>
    <w:p w:rsidR="003500F4" w:rsidRPr="001E3C42" w:rsidRDefault="003500F4" w:rsidP="003500F4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Supplementary f</w:t>
      </w:r>
      <w:r w:rsidRPr="001E3C42">
        <w:rPr>
          <w:rFonts w:ascii="Times New Roman" w:hAnsi="Times New Roman" w:cs="Times New Roman"/>
          <w:b/>
          <w:sz w:val="24"/>
          <w:szCs w:val="24"/>
          <w:lang w:val="en-US"/>
        </w:rPr>
        <w:t xml:space="preserve">igure 1. Data quality checking. </w:t>
      </w:r>
      <w:r w:rsidRPr="001E3C42">
        <w:rPr>
          <w:rFonts w:ascii="Times New Roman" w:hAnsi="Times New Roman" w:cs="Times New Roman"/>
          <w:sz w:val="24"/>
          <w:szCs w:val="24"/>
          <w:lang w:val="en-US"/>
        </w:rPr>
        <w:t>(A) Average read quality of the NGS data. The average read Q-score is plotted on the x-axis and the number of reads on the y-axis. A Q-score above 30 is considered high q</w:t>
      </w:r>
      <w:bookmarkStart w:id="0" w:name="_GoBack"/>
      <w:bookmarkEnd w:id="0"/>
      <w:r w:rsidRPr="001E3C42">
        <w:rPr>
          <w:rFonts w:ascii="Times New Roman" w:hAnsi="Times New Roman" w:cs="Times New Roman"/>
          <w:sz w:val="24"/>
          <w:szCs w:val="24"/>
          <w:lang w:val="en-US"/>
        </w:rPr>
        <w:t>uality data. (B) Base quality of the NGS data. The position in the read is plotted on the x-axis and the Q-score is plotted on the y-axis. The red line is the median Q-score and the dark blue is the mean value Q-score. A Q-score above 30 (&gt;99.9% correct) is considered high quality data. (C) Read length distribution and adaptor trimming. miRNAs will appear as a peak around 18-23 nucleotides. (D) Radar plot showing relative spike-in signal for the samples. A range of spike-ins was added to the samples prior to RNA isolation. We observed an excellent correlation of counts corresponding to the spike-ins between the samples.</w:t>
      </w:r>
    </w:p>
    <w:p w:rsidR="003500F4" w:rsidRPr="001E3C42" w:rsidRDefault="003500F4" w:rsidP="003500F4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Supplementary f</w:t>
      </w:r>
      <w:r w:rsidRPr="001E3C42">
        <w:rPr>
          <w:rFonts w:ascii="Times New Roman" w:hAnsi="Times New Roman" w:cs="Times New Roman"/>
          <w:b/>
          <w:sz w:val="24"/>
          <w:szCs w:val="24"/>
          <w:lang w:val="en-US"/>
        </w:rPr>
        <w:t>igure 2. Summary of the mapping results for the samples</w:t>
      </w:r>
      <w:r w:rsidRPr="001E3C42">
        <w:rPr>
          <w:rFonts w:ascii="Times New Roman" w:hAnsi="Times New Roman" w:cs="Times New Roman"/>
          <w:sz w:val="24"/>
          <w:szCs w:val="24"/>
          <w:lang w:val="en-US"/>
        </w:rPr>
        <w:t xml:space="preserve">. (A) Total number of reads for each sample sequenced. (B) Read length distribution for each class of RNAs. The peak around 18-23 nucleotides (red) corresponds to miRNAs. </w:t>
      </w:r>
    </w:p>
    <w:p w:rsidR="003500F4" w:rsidRPr="00957B62" w:rsidRDefault="003500F4" w:rsidP="003500F4">
      <w:pPr>
        <w:spacing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Supplementary figure 3. RNA-sequencing validation. </w:t>
      </w:r>
      <w:r w:rsidRPr="00957B6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Relative gene expression was performed according to the comparative </w:t>
      </w:r>
      <w:proofErr w:type="spellStart"/>
      <w:r w:rsidRPr="00957B62">
        <w:rPr>
          <w:rFonts w:ascii="Times New Roman" w:hAnsi="Times New Roman" w:cs="Times New Roman"/>
          <w:bCs/>
          <w:sz w:val="24"/>
          <w:szCs w:val="24"/>
          <w:lang w:val="en-US"/>
        </w:rPr>
        <w:t>ddCt</w:t>
      </w:r>
      <w:proofErr w:type="spellEnd"/>
      <w:r w:rsidRPr="00957B6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(</w:t>
      </w:r>
      <w:proofErr w:type="spellStart"/>
      <w:r w:rsidRPr="00957B62">
        <w:rPr>
          <w:rFonts w:ascii="Times New Roman" w:hAnsi="Times New Roman" w:cs="Times New Roman"/>
          <w:bCs/>
          <w:sz w:val="24"/>
          <w:szCs w:val="24"/>
          <w:lang w:val="en-US"/>
        </w:rPr>
        <w:t>ΔΔCt</w:t>
      </w:r>
      <w:proofErr w:type="spellEnd"/>
      <w:r w:rsidRPr="00957B6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) method using </w:t>
      </w:r>
      <w:r w:rsidRPr="002E21EB">
        <w:rPr>
          <w:rFonts w:ascii="Times New Roman" w:hAnsi="Times New Roman" w:cs="Times New Roman"/>
          <w:sz w:val="24"/>
          <w:szCs w:val="24"/>
          <w:lang w:val="en-US"/>
        </w:rPr>
        <w:t>negative metastatic samples as reference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2E21E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2E21EB">
        <w:rPr>
          <w:rFonts w:ascii="Times New Roman" w:hAnsi="Times New Roman" w:cs="Times New Roman"/>
          <w:sz w:val="24"/>
          <w:szCs w:val="24"/>
          <w:lang w:val="en-US"/>
        </w:rPr>
        <w:t xml:space="preserve">he </w:t>
      </w:r>
      <w:proofErr w:type="spellStart"/>
      <w:r w:rsidRPr="002E21EB">
        <w:rPr>
          <w:rFonts w:ascii="Times New Roman" w:hAnsi="Times New Roman" w:cs="Times New Roman"/>
          <w:sz w:val="24"/>
          <w:szCs w:val="24"/>
          <w:lang w:val="en-US"/>
        </w:rPr>
        <w:t>geNorm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E21EB">
        <w:rPr>
          <w:rFonts w:ascii="Times New Roman" w:hAnsi="Times New Roman" w:cs="Times New Roman"/>
          <w:sz w:val="24"/>
          <w:szCs w:val="24"/>
          <w:lang w:val="en-US"/>
        </w:rPr>
        <w:t xml:space="preserve">or the </w:t>
      </w:r>
      <w:proofErr w:type="spellStart"/>
      <w:r w:rsidRPr="002E21EB">
        <w:rPr>
          <w:rFonts w:ascii="Times New Roman" w:hAnsi="Times New Roman" w:cs="Times New Roman"/>
          <w:sz w:val="24"/>
          <w:szCs w:val="24"/>
          <w:lang w:val="en-US"/>
        </w:rPr>
        <w:t>Normfinder</w:t>
      </w:r>
      <w:proofErr w:type="spellEnd"/>
      <w:r w:rsidRPr="002E21EB">
        <w:rPr>
          <w:rFonts w:ascii="Times New Roman" w:hAnsi="Times New Roman" w:cs="Times New Roman"/>
          <w:sz w:val="24"/>
          <w:szCs w:val="24"/>
          <w:lang w:val="en-US"/>
        </w:rPr>
        <w:t xml:space="preserve"> algorithm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were used </w:t>
      </w:r>
      <w:r w:rsidRPr="002E21EB">
        <w:rPr>
          <w:rFonts w:ascii="Times New Roman" w:hAnsi="Times New Roman" w:cs="Times New Roman"/>
          <w:sz w:val="24"/>
          <w:szCs w:val="24"/>
          <w:lang w:val="en-US"/>
        </w:rPr>
        <w:t>to select the best combination of two reference genes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2E21EB">
        <w:rPr>
          <w:rFonts w:ascii="Times New Roman" w:hAnsi="Times New Roman" w:cs="Times New Roman"/>
          <w:sz w:val="24"/>
          <w:szCs w:val="24"/>
          <w:lang w:val="en-US"/>
        </w:rPr>
        <w:t xml:space="preserve">Data from multiples plates were normalized using UniSp3 spike-in as </w:t>
      </w:r>
      <w:proofErr w:type="spellStart"/>
      <w:r w:rsidRPr="002E21EB">
        <w:rPr>
          <w:rFonts w:ascii="Times New Roman" w:hAnsi="Times New Roman" w:cs="Times New Roman"/>
          <w:sz w:val="24"/>
          <w:szCs w:val="24"/>
          <w:lang w:val="en-US"/>
        </w:rPr>
        <w:t>interplate</w:t>
      </w:r>
      <w:proofErr w:type="spellEnd"/>
      <w:r w:rsidRPr="002E21EB">
        <w:rPr>
          <w:rFonts w:ascii="Times New Roman" w:hAnsi="Times New Roman" w:cs="Times New Roman"/>
          <w:sz w:val="24"/>
          <w:szCs w:val="24"/>
          <w:lang w:val="en-US"/>
        </w:rPr>
        <w:t xml:space="preserve"> calibrators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2E21E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977A93">
        <w:rPr>
          <w:rFonts w:ascii="Times New Roman" w:hAnsi="Times New Roman" w:cs="Times New Roman"/>
          <w:sz w:val="24"/>
          <w:szCs w:val="24"/>
          <w:lang w:val="en-US"/>
        </w:rPr>
        <w:t xml:space="preserve">ach microRNA was assayed </w:t>
      </w:r>
      <w:r>
        <w:rPr>
          <w:rFonts w:ascii="Times New Roman" w:hAnsi="Times New Roman" w:cs="Times New Roman"/>
          <w:sz w:val="24"/>
          <w:szCs w:val="24"/>
          <w:lang w:val="en-US"/>
        </w:rPr>
        <w:t>twice</w:t>
      </w:r>
      <w:r w:rsidRPr="00977A93">
        <w:rPr>
          <w:rFonts w:ascii="Times New Roman" w:hAnsi="Times New Roman" w:cs="Times New Roman"/>
          <w:sz w:val="24"/>
          <w:szCs w:val="24"/>
          <w:lang w:val="en-US"/>
        </w:rPr>
        <w:t xml:space="preserve"> by qPCR on the Serum/plasma Focus microRNA PCR panel</w:t>
      </w:r>
      <w:r>
        <w:rPr>
          <w:rFonts w:ascii="Times New Roman" w:hAnsi="Times New Roman" w:cs="Times New Roman"/>
          <w:sz w:val="24"/>
          <w:szCs w:val="24"/>
          <w:lang w:val="en-US"/>
        </w:rPr>
        <w:t>. (A) Data shows the comparison between patients with negative and positive SLNs. (B) Patients with positive SLNs were divided according to the presence or absence of further axillary lymph nodes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aLNs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). Statistical analysis was performed</w:t>
      </w:r>
      <w:r w:rsidRPr="00957B6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using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unpaired Student’s t-test. All comparisons shown are statistically significant (p &lt; 0.05).</w:t>
      </w:r>
      <w:r w:rsidRPr="00957B6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</w:p>
    <w:p w:rsidR="003500F4" w:rsidRPr="001E3C42" w:rsidRDefault="003500F4" w:rsidP="003500F4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Supplementary t</w:t>
      </w:r>
      <w:r w:rsidRPr="001E3C42">
        <w:rPr>
          <w:rFonts w:ascii="Times New Roman" w:hAnsi="Times New Roman" w:cs="Times New Roman"/>
          <w:b/>
          <w:sz w:val="24"/>
          <w:szCs w:val="24"/>
          <w:lang w:val="en-US"/>
        </w:rPr>
        <w:t xml:space="preserve">able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Pr="001E3C42">
        <w:rPr>
          <w:rFonts w:ascii="Times New Roman" w:hAnsi="Times New Roman" w:cs="Times New Roman"/>
          <w:b/>
          <w:sz w:val="24"/>
          <w:szCs w:val="24"/>
          <w:lang w:val="en-US"/>
        </w:rPr>
        <w:t>. Mapping and yield results of the sequencing data</w:t>
      </w:r>
      <w:r w:rsidRPr="001E3C42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1E3C4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1E3C42">
        <w:rPr>
          <w:rFonts w:ascii="Times New Roman" w:hAnsi="Times New Roman" w:cs="Times New Roman"/>
          <w:sz w:val="24"/>
          <w:szCs w:val="24"/>
          <w:lang w:val="en-US"/>
        </w:rPr>
        <w:t>Reads</w:t>
      </w:r>
      <w:r w:rsidRPr="001E3C4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1E3C42">
        <w:rPr>
          <w:rFonts w:ascii="Times New Roman" w:hAnsi="Times New Roman" w:cs="Times New Roman"/>
          <w:sz w:val="24"/>
          <w:szCs w:val="24"/>
          <w:lang w:val="en-US"/>
        </w:rPr>
        <w:t xml:space="preserve">are classified into the following classes: miRNA, maps to mirBase_20; small RNA, maps to sRNA database </w:t>
      </w:r>
      <w:r w:rsidRPr="001E3C42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compiled by </w:t>
      </w:r>
      <w:proofErr w:type="spellStart"/>
      <w:r w:rsidRPr="001E3C42">
        <w:rPr>
          <w:rFonts w:ascii="Times New Roman" w:hAnsi="Times New Roman" w:cs="Times New Roman"/>
          <w:sz w:val="24"/>
          <w:szCs w:val="24"/>
          <w:lang w:val="en-US"/>
        </w:rPr>
        <w:t>Exiqon</w:t>
      </w:r>
      <w:proofErr w:type="spellEnd"/>
      <w:r w:rsidRPr="001E3C42">
        <w:rPr>
          <w:rFonts w:ascii="Times New Roman" w:hAnsi="Times New Roman" w:cs="Times New Roman"/>
          <w:sz w:val="24"/>
          <w:szCs w:val="24"/>
          <w:lang w:val="en-US"/>
        </w:rPr>
        <w:t xml:space="preserve">; Predicted miRNA, predicted miRNAs using a prediction software; Genome, reads aligning to the reference genome, but not to miRNAs or </w:t>
      </w:r>
      <w:proofErr w:type="spellStart"/>
      <w:r w:rsidRPr="001E3C42">
        <w:rPr>
          <w:rFonts w:ascii="Times New Roman" w:hAnsi="Times New Roman" w:cs="Times New Roman"/>
          <w:sz w:val="24"/>
          <w:szCs w:val="24"/>
          <w:lang w:val="en-US"/>
        </w:rPr>
        <w:t>sRNAs</w:t>
      </w:r>
      <w:proofErr w:type="spellEnd"/>
      <w:r w:rsidRPr="001E3C42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proofErr w:type="spellStart"/>
      <w:r w:rsidRPr="001E3C42">
        <w:rPr>
          <w:rFonts w:ascii="Times New Roman" w:hAnsi="Times New Roman" w:cs="Times New Roman"/>
          <w:sz w:val="24"/>
          <w:szCs w:val="24"/>
          <w:lang w:val="en-US"/>
        </w:rPr>
        <w:t>Outmapped</w:t>
      </w:r>
      <w:proofErr w:type="spellEnd"/>
      <w:r w:rsidRPr="001E3C42">
        <w:rPr>
          <w:rFonts w:ascii="Times New Roman" w:hAnsi="Times New Roman" w:cs="Times New Roman"/>
          <w:sz w:val="24"/>
          <w:szCs w:val="24"/>
          <w:lang w:val="en-US"/>
        </w:rPr>
        <w:t xml:space="preserve">, maps corresponding to poly A and poly </w:t>
      </w:r>
      <w:proofErr w:type="spellStart"/>
      <w:r w:rsidRPr="001E3C42">
        <w:rPr>
          <w:rFonts w:ascii="Times New Roman" w:hAnsi="Times New Roman" w:cs="Times New Roman"/>
          <w:sz w:val="24"/>
          <w:szCs w:val="24"/>
          <w:lang w:val="en-US"/>
        </w:rPr>
        <w:t>homopolymers</w:t>
      </w:r>
      <w:proofErr w:type="spellEnd"/>
      <w:r w:rsidRPr="001E3C42">
        <w:rPr>
          <w:rFonts w:ascii="Times New Roman" w:hAnsi="Times New Roman" w:cs="Times New Roman"/>
          <w:sz w:val="24"/>
          <w:szCs w:val="24"/>
          <w:lang w:val="en-US"/>
        </w:rPr>
        <w:t xml:space="preserve"> as well as abundant </w:t>
      </w:r>
      <w:proofErr w:type="spellStart"/>
      <w:r w:rsidRPr="001E3C42">
        <w:rPr>
          <w:rFonts w:ascii="Times New Roman" w:hAnsi="Times New Roman" w:cs="Times New Roman"/>
          <w:sz w:val="24"/>
          <w:szCs w:val="24"/>
          <w:lang w:val="en-US"/>
        </w:rPr>
        <w:t>rRNA</w:t>
      </w:r>
      <w:proofErr w:type="spellEnd"/>
      <w:r w:rsidRPr="001E3C42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proofErr w:type="spellStart"/>
      <w:r w:rsidRPr="001E3C42">
        <w:rPr>
          <w:rFonts w:ascii="Times New Roman" w:hAnsi="Times New Roman" w:cs="Times New Roman"/>
          <w:sz w:val="24"/>
          <w:szCs w:val="24"/>
          <w:lang w:val="en-US"/>
        </w:rPr>
        <w:t>mtRNA</w:t>
      </w:r>
      <w:proofErr w:type="spellEnd"/>
      <w:r w:rsidRPr="001E3C42">
        <w:rPr>
          <w:rFonts w:ascii="Times New Roman" w:hAnsi="Times New Roman" w:cs="Times New Roman"/>
          <w:sz w:val="24"/>
          <w:szCs w:val="24"/>
          <w:lang w:val="en-US"/>
        </w:rPr>
        <w:t xml:space="preserve">; Unmapped, reads not aligning to reference genome. </w:t>
      </w:r>
      <w:r>
        <w:rPr>
          <w:rFonts w:ascii="Times New Roman" w:hAnsi="Times New Roman" w:cs="Times New Roman"/>
          <w:sz w:val="24"/>
          <w:szCs w:val="24"/>
          <w:lang w:val="en-US"/>
        </w:rPr>
        <w:t>Median values for each type of reads are shown.</w:t>
      </w:r>
    </w:p>
    <w:p w:rsidR="003500F4" w:rsidRDefault="003500F4" w:rsidP="003500F4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Supplementary table 2</w:t>
      </w:r>
      <w:r w:rsidRPr="001E3C42">
        <w:rPr>
          <w:rFonts w:ascii="Times New Roman" w:hAnsi="Times New Roman" w:cs="Times New Roman"/>
          <w:b/>
          <w:sz w:val="24"/>
          <w:szCs w:val="24"/>
          <w:lang w:val="en-US"/>
        </w:rPr>
        <w:t>. Predicted miRNA results of the sequencing data</w:t>
      </w:r>
      <w:r>
        <w:rPr>
          <w:rFonts w:ascii="Times New Roman" w:hAnsi="Times New Roman" w:cs="Times New Roman"/>
          <w:sz w:val="24"/>
          <w:szCs w:val="24"/>
          <w:lang w:val="en-US"/>
        </w:rPr>
        <w:t>. P</w:t>
      </w:r>
      <w:r w:rsidRPr="001E3C42">
        <w:rPr>
          <w:rFonts w:ascii="Times New Roman" w:hAnsi="Times New Roman" w:cs="Times New Roman"/>
          <w:sz w:val="24"/>
          <w:szCs w:val="24"/>
          <w:lang w:val="en-US"/>
        </w:rPr>
        <w:t xml:space="preserve">redicted miRNAs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for each sample </w:t>
      </w:r>
      <w:r w:rsidRPr="001E3C42">
        <w:rPr>
          <w:rFonts w:ascii="Times New Roman" w:hAnsi="Times New Roman" w:cs="Times New Roman"/>
          <w:sz w:val="24"/>
          <w:szCs w:val="24"/>
          <w:lang w:val="en-US"/>
        </w:rPr>
        <w:t xml:space="preserve">sorted by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total </w:t>
      </w:r>
      <w:r w:rsidRPr="001E3C42">
        <w:rPr>
          <w:rFonts w:ascii="Times New Roman" w:hAnsi="Times New Roman" w:cs="Times New Roman"/>
          <w:sz w:val="24"/>
          <w:szCs w:val="24"/>
          <w:lang w:val="en-US"/>
        </w:rPr>
        <w:t>read count. The sequences reported do not match any known miRNA in the miRBase_20. The location is formatted as "chromosome: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E3C42">
        <w:rPr>
          <w:rFonts w:ascii="Times New Roman" w:hAnsi="Times New Roman" w:cs="Times New Roman"/>
          <w:sz w:val="24"/>
          <w:szCs w:val="24"/>
          <w:lang w:val="en-US"/>
        </w:rPr>
        <w:t>start-stop (strand)". Count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1E3C42">
        <w:rPr>
          <w:rFonts w:ascii="Times New Roman" w:hAnsi="Times New Roman" w:cs="Times New Roman"/>
          <w:sz w:val="24"/>
          <w:szCs w:val="24"/>
          <w:lang w:val="en-US"/>
        </w:rPr>
        <w:t xml:space="preserve"> describes the number of reads which fall onto the location of the predicted miRNA (sum of all samples). Note that the name and numbering assigned here are project-specific and cannot be compared with the nomenclature found in the </w:t>
      </w:r>
      <w:proofErr w:type="spellStart"/>
      <w:r w:rsidRPr="001E3C42">
        <w:rPr>
          <w:rFonts w:ascii="Times New Roman" w:hAnsi="Times New Roman" w:cs="Times New Roman"/>
          <w:sz w:val="24"/>
          <w:szCs w:val="24"/>
          <w:lang w:val="en-US"/>
        </w:rPr>
        <w:t>miRBase</w:t>
      </w:r>
      <w:proofErr w:type="spellEnd"/>
      <w:r w:rsidRPr="001E3C42">
        <w:rPr>
          <w:rFonts w:ascii="Times New Roman" w:hAnsi="Times New Roman" w:cs="Times New Roman"/>
          <w:sz w:val="24"/>
          <w:szCs w:val="24"/>
          <w:lang w:val="en-US"/>
        </w:rPr>
        <w:t xml:space="preserve"> or other databases.</w:t>
      </w:r>
    </w:p>
    <w:p w:rsidR="003500F4" w:rsidRPr="002459CC" w:rsidRDefault="003500F4" w:rsidP="003500F4">
      <w:pPr>
        <w:spacing w:line="480" w:lineRule="auto"/>
        <w:rPr>
          <w:rFonts w:ascii="Times New Roman" w:hAnsi="Times New Roman" w:cs="Times New Roman"/>
          <w:b/>
          <w:noProof/>
          <w:sz w:val="24"/>
          <w:szCs w:val="24"/>
          <w:lang w:val="en-US" w:bidi="th-TH"/>
        </w:rPr>
      </w:pPr>
      <w:r w:rsidRPr="0055596C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table 3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Contributing miRNAs to GO terms for the categories biological process (BP), molecular function (MF) and cellular compartment (CC). </w:t>
      </w:r>
    </w:p>
    <w:p w:rsidR="007E5CD9" w:rsidRDefault="007E5CD9"/>
    <w:sectPr w:rsidR="007E5CD9" w:rsidSect="00BC3EE7">
      <w:headerReference w:type="default" r:id="rId4"/>
      <w:footerReference w:type="default" r:id="rId5"/>
      <w:pgSz w:w="11906" w:h="16838"/>
      <w:pgMar w:top="1418" w:right="1134" w:bottom="1134" w:left="1134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20"/>
        <w:szCs w:val="20"/>
      </w:rPr>
      <w:id w:val="14091094"/>
      <w:docPartObj>
        <w:docPartGallery w:val="Page Numbers (Bottom of Page)"/>
        <w:docPartUnique/>
      </w:docPartObj>
    </w:sdtPr>
    <w:sdtEndPr/>
    <w:sdtContent>
      <w:sdt>
        <w:sdtPr>
          <w:rPr>
            <w:sz w:val="20"/>
            <w:szCs w:val="20"/>
          </w:rPr>
          <w:id w:val="565050523"/>
          <w:docPartObj>
            <w:docPartGallery w:val="Page Numbers (Top of Page)"/>
            <w:docPartUnique/>
          </w:docPartObj>
        </w:sdtPr>
        <w:sdtEndPr/>
        <w:sdtContent>
          <w:p w:rsidR="00AB24EB" w:rsidRPr="00FC2D6C" w:rsidRDefault="003500F4" w:rsidP="003359B5">
            <w:pPr>
              <w:pStyle w:val="Footer"/>
              <w:tabs>
                <w:tab w:val="left" w:pos="7980"/>
                <w:tab w:val="right" w:pos="9638"/>
              </w:tabs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 w:rsidRPr="00FC2D6C">
              <w:rPr>
                <w:sz w:val="20"/>
                <w:szCs w:val="20"/>
              </w:rPr>
              <w:t xml:space="preserve">Page </w:t>
            </w:r>
            <w:r w:rsidRPr="00FC2D6C">
              <w:rPr>
                <w:sz w:val="20"/>
                <w:szCs w:val="20"/>
              </w:rPr>
              <w:fldChar w:fldCharType="begin"/>
            </w:r>
            <w:r w:rsidRPr="00FC2D6C">
              <w:rPr>
                <w:sz w:val="20"/>
                <w:szCs w:val="20"/>
              </w:rPr>
              <w:instrText xml:space="preserve"> PAGE </w:instrText>
            </w:r>
            <w:r w:rsidRPr="00FC2D6C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</w:t>
            </w:r>
            <w:r w:rsidRPr="00FC2D6C">
              <w:rPr>
                <w:sz w:val="20"/>
                <w:szCs w:val="20"/>
              </w:rPr>
              <w:fldChar w:fldCharType="end"/>
            </w:r>
            <w:r w:rsidRPr="00FC2D6C">
              <w:rPr>
                <w:sz w:val="20"/>
                <w:szCs w:val="20"/>
              </w:rPr>
              <w:t xml:space="preserve"> of </w:t>
            </w:r>
            <w:r w:rsidRPr="00FC2D6C">
              <w:rPr>
                <w:sz w:val="20"/>
                <w:szCs w:val="20"/>
              </w:rPr>
              <w:fldChar w:fldCharType="begin"/>
            </w:r>
            <w:r w:rsidRPr="00FC2D6C">
              <w:rPr>
                <w:sz w:val="20"/>
                <w:szCs w:val="20"/>
              </w:rPr>
              <w:instrText xml:space="preserve"> NUMPAGES  </w:instrText>
            </w:r>
            <w:r w:rsidRPr="00FC2D6C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2</w:t>
            </w:r>
            <w:r w:rsidRPr="00FC2D6C">
              <w:rPr>
                <w:sz w:val="20"/>
                <w:szCs w:val="20"/>
              </w:rPr>
              <w:fldChar w:fldCharType="end"/>
            </w:r>
          </w:p>
        </w:sdtContent>
      </w:sdt>
    </w:sdtContent>
  </w:sdt>
  <w:p w:rsidR="00AB24EB" w:rsidRDefault="003500F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24EB" w:rsidRDefault="003500F4" w:rsidP="00FC2D6C">
    <w:pPr>
      <w:pStyle w:val="Header"/>
      <w:spacing w:before="1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00F4"/>
    <w:rsid w:val="003500F4"/>
    <w:rsid w:val="007E5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5F2FB2-1A7C-4CB2-B481-BA502B830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00F4"/>
    <w:pPr>
      <w:spacing w:after="200" w:line="276" w:lineRule="auto"/>
    </w:pPr>
    <w:rPr>
      <w:lang w:val="ca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500F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00F4"/>
    <w:rPr>
      <w:lang w:val="ca-ES"/>
    </w:rPr>
  </w:style>
  <w:style w:type="paragraph" w:styleId="Footer">
    <w:name w:val="footer"/>
    <w:basedOn w:val="Normal"/>
    <w:link w:val="FooterChar"/>
    <w:uiPriority w:val="99"/>
    <w:unhideWhenUsed/>
    <w:rsid w:val="003500F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00F4"/>
    <w:rPr>
      <w:lang w:val="ca-ES"/>
    </w:rPr>
  </w:style>
  <w:style w:type="character" w:styleId="LineNumber">
    <w:name w:val="line number"/>
    <w:basedOn w:val="DefaultParagraphFont"/>
    <w:uiPriority w:val="99"/>
    <w:semiHidden/>
    <w:unhideWhenUsed/>
    <w:rsid w:val="003500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468</Words>
  <Characters>2670</Characters>
  <Application>Microsoft Office Word</Application>
  <DocSecurity>0</DocSecurity>
  <Lines>22</Lines>
  <Paragraphs>6</Paragraphs>
  <ScaleCrop>false</ScaleCrop>
  <Company>Springer Nature</Company>
  <LinksUpToDate>false</LinksUpToDate>
  <CharactersWithSpaces>3132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2020-08-21T15:11:00Z</dcterms:created>
  <dcterms:modified xsi:type="dcterms:W3CDTF">2020-08-21T15:12:00Z</dcterms:modified>
</cp:coreProperties>
</file>