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85157" w14:textId="77777777"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Supplementary Methods</w:t>
      </w:r>
    </w:p>
    <w:p w14:paraId="1DE52909" w14:textId="77777777"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GB"/>
        </w:rPr>
      </w:pPr>
      <w:r w:rsidRPr="00DD05C9">
        <w:rPr>
          <w:rFonts w:ascii="Arial" w:eastAsia="Calibri" w:hAnsi="Arial" w:cs="Arial"/>
          <w:b/>
          <w:sz w:val="24"/>
          <w:szCs w:val="24"/>
          <w:shd w:val="clear" w:color="auto" w:fill="FFFFFF"/>
          <w:lang w:val="en-GB"/>
        </w:rPr>
        <w:t>Echocardiography</w:t>
      </w:r>
    </w:p>
    <w:p w14:paraId="7B64069C" w14:textId="60034EF3" w:rsidR="00DD05C9" w:rsidRPr="00DD05C9" w:rsidRDefault="00DD05C9" w:rsidP="00DD05C9">
      <w:pPr>
        <w:spacing w:line="480" w:lineRule="auto"/>
        <w:contextualSpacing/>
        <w:jc w:val="both"/>
        <w:rPr>
          <w:rFonts w:ascii="Arial" w:eastAsia="Calibri" w:hAnsi="Arial" w:cs="Arial"/>
          <w:b/>
          <w:color w:val="FF0000"/>
          <w:sz w:val="24"/>
          <w:szCs w:val="24"/>
          <w:shd w:val="clear" w:color="auto" w:fill="FFFFFF"/>
          <w:lang w:val="en-GB"/>
        </w:rPr>
      </w:pPr>
      <w:r w:rsidRPr="00DD05C9">
        <w:rPr>
          <w:rFonts w:ascii="Arial" w:eastAsia="Calibri" w:hAnsi="Arial" w:cs="Arial"/>
          <w:sz w:val="24"/>
          <w:szCs w:val="24"/>
          <w:shd w:val="clear" w:color="auto" w:fill="FFFFFF"/>
          <w:lang w:val="en-GB"/>
        </w:rPr>
        <w:t xml:space="preserve">Animals </w:t>
      </w:r>
      <w:r w:rsidRPr="00A7785D">
        <w:rPr>
          <w:rFonts w:ascii="Arial" w:eastAsia="Calibri" w:hAnsi="Arial" w:cs="Arial"/>
          <w:color w:val="000000" w:themeColor="text1"/>
          <w:sz w:val="24"/>
          <w:szCs w:val="24"/>
          <w:shd w:val="clear" w:color="auto" w:fill="FFFFFF"/>
          <w:lang w:val="en-GB"/>
        </w:rPr>
        <w:t>were anaesthetized by inhalation of sevoflurane (8% for induction and 2-3% for maintenance) and surveyed for any painful reflexes (e.g. toe pinch reflex). After skin shaved and depilated, rats were placed in left-lateral decubitus on a heating pad, the ECG monitored (lead II) and their temperatures controlled at 38ºC. Echocardiography was described as previously</w:t>
      </w:r>
      <w:r w:rsidRPr="00A7785D">
        <w:rPr>
          <w:rFonts w:ascii="Arial" w:eastAsia="Calibri" w:hAnsi="Arial" w:cs="Arial"/>
          <w:color w:val="000000" w:themeColor="text1"/>
          <w:sz w:val="24"/>
          <w:szCs w:val="24"/>
          <w:shd w:val="clear" w:color="auto" w:fill="FFFFFF"/>
          <w:lang w:val="en-GB"/>
        </w:rPr>
        <w:fldChar w:fldCharType="begin" w:fldLock="1"/>
      </w:r>
      <w:r w:rsidRPr="00A7785D">
        <w:rPr>
          <w:rFonts w:ascii="Arial" w:eastAsia="Calibri" w:hAnsi="Arial" w:cs="Arial"/>
          <w:color w:val="000000" w:themeColor="text1"/>
          <w:sz w:val="24"/>
          <w:szCs w:val="24"/>
          <w:shd w:val="clear" w:color="auto" w:fill="FFFFFF"/>
          <w:lang w:val="en-GB"/>
        </w:rPr>
        <w:instrText>ADDIN CSL_CITATION {"citationItems":[{"id":"ITEM-1","itemData":{"DOI":"10.1161/CIRCHEARTFAILURE.113.000539","ISBN":"1941-3297 (Electronic)\\n1941-3289 (Linking)","ISSN":"19413297","PMID":"24014826","abstract":"BACKGROUND: Obesity and diabetes mellitus are important metabolic risk factors and frequent comorbidities in heart failure with preserved ejection fraction. They contribute to myocardial diastolic dysfunction (DD) through collagen deposition or titin modification. The relative importance for myocardial DD of collagen deposition and titin modification was investigated in obese, diabetic ZSF1 rats after heart failure with preserved ejection fraction development at 20 weeks.\\n\\nMETHODS AND RESULTS: Four groups of rats (Wistar-Kyoto, n=11; lean ZSF1, n=11; obese ZSF1, n=11, and obese ZSF1 with high-fat diet, n=11) were followed up for 20 weeks with repeat metabolic, renal, and echocardiographic evaluations and hemodynamically assessed at euthanization. Myocardial collagen, collagen cross-linking, titin isoforms, and phosphorylation were also determined. Resting tension (Fpassive)-sarcomere length relations were obtained in small muscle strips before and after KCl-KI treatment, which unanchors titin and allows contributions of titin and extracellular matrix to Fpassive to be discerned. At 20 weeks, the lean ZSF1 group was hypertensive, whereas both obese ZSF1 groups were hypertensive and diabetic. Only the obese ZSF1 groups had developed heart failure with preserved ejection fraction, which was evident from increased lung weight, preserved left ventricular ejection fraction, and left ventricular DD. The underlying myocardial DD was obvious from high muscle strip stiffness, which was largely (±80%) attributable to titin hypophosphorylation. The latter occurred specifically at the S3991 site of the elastic N2Bus segment and at the S12884 site of the PEVK segment.\\n\\nCONCLUSIONS: Obese ZSF1 rats developed heart failure with preserved ejection fraction during a 20-week time span. Titin hypophosphorylation importantly contributed to the underlying myocardial DD.","author":[{"dropping-particle":"","family":"Hamdani","given":"Nazha","non-dropping-particle":"","parse-names":false,"suffix":""},{"dropping-particle":"","family":"Franssen","given":"Constantijn","non-dropping-particle":"","parse-names":false,"suffix":""},{"dropping-particle":"","family":"Louren??o","given":"Andre","non-dropping-particle":"","parse-names":false,"suffix":""},{"dropping-particle":"","family":"Falca o-Pires","given":"In??s","non-dropping-particle":"","parse-names":false,"suffix":""},{"dropping-particle":"","family":"Fontoura","given":"Dulce","non-dropping-particle":"","parse-names":false,"suffix":""},{"dropping-particle":"","family":"Leite","given":"Sara","non-dropping-particle":"","parse-names":false,"suffix":""},{"dropping-particle":"","family":"Plettig","given":"Luisa","non-dropping-particle":"","parse-names":false,"suffix":""},{"dropping-particle":"","family":"Lopez","given":"Begona","non-dropping-particle":"","parse-names":false,"suffix":""},{"dropping-particle":"","family":"Ottenheijm","given":"Coen A.","non-dropping-particle":"","parse-names":false,"suffix":""},{"dropping-particle":"","family":"Becher","given":"Peter Moritz","non-dropping-particle":"","parse-names":false,"suffix":""},{"dropping-particle":"","family":"Gonzalez","given":"Arantxa","non-dropping-particle":"","parse-names":false,"suffix":""},{"dropping-particle":"","family":"Tscho pe","given":"Carsten","non-dropping-particle":"","parse-names":false,"suffix":""},{"dropping-particle":"","family":"Diez","given":"Javier","non-dropping-particle":"","parse-names":false,"suffix":""},{"dropping-particle":"","family":"Linke","given":"Wolfgang A.","non-dropping-particle":"","parse-names":false,"suffix":""},{"dropping-particle":"","family":"Leite-Moreira","given":"Adelino F.","non-dropping-particle":"","parse-names":false,"suffix":""},{"dropping-particle":"","family":"Paulus","given":"Walter J.","non-dropping-particle":"","parse-names":false,"suffix":""}],"container-title":"Circulation: Heart Failure","id":"ITEM-1","issue":"6","issued":{"date-parts":[["2013"]]},"page":"1239-1249","title":"Myocardial titin hypophosphorylation importantly contributes to heart failure with preserved ejection fraction in a rat metabolic risk model","type":"article-journal","volume":"6"},"uris":["http://www.mendeley.com/documents/?uuid=9719a6b6-76cd-492f-8972-96b1fd0337f8"]}],"mendeley":{"formattedCitation":"&lt;sup&gt;1&lt;/sup&gt;","plainTextFormattedCitation":"1","previouslyFormattedCitation":"&lt;sup&gt;1&lt;/sup&gt;"},"properties":{"noteIndex":0},"schema":"https://github.com/citation-style-language/schema/raw/master/csl-citation.json"}</w:instrText>
      </w:r>
      <w:r w:rsidRPr="00A7785D">
        <w:rPr>
          <w:rFonts w:ascii="Arial" w:eastAsia="Calibri" w:hAnsi="Arial" w:cs="Arial"/>
          <w:color w:val="000000" w:themeColor="text1"/>
          <w:sz w:val="24"/>
          <w:szCs w:val="24"/>
          <w:shd w:val="clear" w:color="auto" w:fill="FFFFFF"/>
          <w:lang w:val="en-GB"/>
        </w:rPr>
        <w:fldChar w:fldCharType="separate"/>
      </w:r>
      <w:r w:rsidRPr="00A7785D">
        <w:rPr>
          <w:rFonts w:ascii="Arial" w:eastAsia="Calibri" w:hAnsi="Arial" w:cs="Arial"/>
          <w:noProof/>
          <w:color w:val="000000" w:themeColor="text1"/>
          <w:sz w:val="24"/>
          <w:szCs w:val="24"/>
          <w:shd w:val="clear" w:color="auto" w:fill="FFFFFF"/>
          <w:vertAlign w:val="superscript"/>
          <w:lang w:val="en-GB"/>
        </w:rPr>
        <w:t>1</w:t>
      </w:r>
      <w:r w:rsidRPr="00A7785D">
        <w:rPr>
          <w:rFonts w:ascii="Arial" w:eastAsia="Calibri" w:hAnsi="Arial" w:cs="Arial"/>
          <w:color w:val="000000" w:themeColor="text1"/>
          <w:sz w:val="24"/>
          <w:szCs w:val="24"/>
          <w:shd w:val="clear" w:color="auto" w:fill="FFFFFF"/>
          <w:lang w:val="en-GB"/>
        </w:rPr>
        <w:fldChar w:fldCharType="end"/>
      </w:r>
      <w:r w:rsidRPr="00A7785D">
        <w:rPr>
          <w:rFonts w:ascii="Arial" w:eastAsia="Calibri" w:hAnsi="Arial" w:cs="Arial"/>
          <w:color w:val="000000" w:themeColor="text1"/>
          <w:sz w:val="24"/>
          <w:szCs w:val="24"/>
          <w:shd w:val="clear" w:color="auto" w:fill="FFFFFF"/>
          <w:lang w:val="en-GB"/>
        </w:rPr>
        <w:t>. Briefly, a pre</w:t>
      </w:r>
      <w:r w:rsidR="00A7785D">
        <w:rPr>
          <w:rFonts w:ascii="Arial" w:eastAsia="Calibri" w:hAnsi="Arial" w:cs="Arial"/>
          <w:color w:val="000000" w:themeColor="text1"/>
          <w:sz w:val="24"/>
          <w:szCs w:val="24"/>
          <w:shd w:val="clear" w:color="auto" w:fill="FFFFFF"/>
          <w:lang w:val="en-GB"/>
        </w:rPr>
        <w:t>-</w:t>
      </w:r>
      <w:r w:rsidRPr="00A7785D">
        <w:rPr>
          <w:rFonts w:ascii="Arial" w:eastAsia="Calibri" w:hAnsi="Arial" w:cs="Arial"/>
          <w:color w:val="000000" w:themeColor="text1"/>
          <w:sz w:val="24"/>
          <w:szCs w:val="24"/>
          <w:shd w:val="clear" w:color="auto" w:fill="FFFFFF"/>
          <w:lang w:val="en-GB"/>
        </w:rPr>
        <w:t xml:space="preserve">warmed echocardiography gel was applied and a linear 15 MHz probe (Sequoia 15L8W) was positioned on the thorax to access diastolic </w:t>
      </w:r>
      <w:r w:rsidR="00A7785D" w:rsidRPr="00A7785D">
        <w:rPr>
          <w:rFonts w:ascii="Arial" w:eastAsia="Calibri" w:hAnsi="Arial" w:cs="Arial"/>
          <w:color w:val="000000" w:themeColor="text1"/>
          <w:sz w:val="24"/>
          <w:szCs w:val="24"/>
          <w:shd w:val="clear" w:color="auto" w:fill="FFFFFF"/>
          <w:lang w:val="en-GB"/>
        </w:rPr>
        <w:t>dysfunction</w:t>
      </w:r>
      <w:r w:rsidRPr="00A7785D">
        <w:rPr>
          <w:rFonts w:ascii="Arial" w:eastAsia="Calibri" w:hAnsi="Arial" w:cs="Arial"/>
          <w:color w:val="000000" w:themeColor="text1"/>
          <w:sz w:val="24"/>
          <w:szCs w:val="24"/>
          <w:shd w:val="clear" w:color="auto" w:fill="FFFFFF"/>
          <w:lang w:val="en-GB"/>
        </w:rPr>
        <w:t xml:space="preserve"> and measure LV filling pressure, peak velocity of early (E) and late (A) mitral inflow signals, as well as the peak velocity or early diastolic lateral mitral annular motion (ratio of E over E’). Systolic </w:t>
      </w:r>
      <w:r w:rsidRPr="00DD05C9">
        <w:rPr>
          <w:rFonts w:ascii="Arial" w:eastAsia="Calibri" w:hAnsi="Arial" w:cs="Arial"/>
          <w:sz w:val="24"/>
          <w:szCs w:val="24"/>
          <w:shd w:val="clear" w:color="auto" w:fill="FFFFFF"/>
          <w:lang w:val="en-GB"/>
        </w:rPr>
        <w:t xml:space="preserve">and diastolic wall thickness and cavity dimensions were quantified. </w:t>
      </w:r>
    </w:p>
    <w:p w14:paraId="475E8A0B" w14:textId="77777777"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GB"/>
        </w:rPr>
      </w:pPr>
      <w:r w:rsidRPr="00DD05C9">
        <w:rPr>
          <w:rFonts w:ascii="Arial" w:eastAsia="Calibri" w:hAnsi="Arial" w:cs="Arial"/>
          <w:b/>
          <w:sz w:val="24"/>
          <w:szCs w:val="24"/>
          <w:shd w:val="clear" w:color="auto" w:fill="FFFFFF"/>
          <w:lang w:val="en-GB"/>
        </w:rPr>
        <w:t>Treadmill assessment</w:t>
      </w:r>
    </w:p>
    <w:p w14:paraId="10E29181" w14:textId="3CE2547A" w:rsidR="00DD05C9" w:rsidRPr="00DD05C9" w:rsidRDefault="00DD05C9" w:rsidP="00DD05C9">
      <w:pPr>
        <w:spacing w:line="48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Exercise endurance and tolerance, including maximum aerobic capacity, were evaluated using a treadmill chamber coupled to a gas analyser (LE8700C and LE405, Panlab Harvard Apparatus). Initially, rats were familiarized to the treadmill, which consisted of 3 minutes running on a 10° incline at a speed of 15 cm/s. Performance test started at a speed of 30 cm/s, with increments of 5 cm/s. Exercise continued until exhaustion, defined by the inability to continue the test with permanent contact with the shock grid. Cardiopulmonary fitness was measured considering the maximum O</w:t>
      </w:r>
      <w:r w:rsidRPr="00DD05C9">
        <w:rPr>
          <w:rFonts w:ascii="Arial" w:eastAsia="Calibri" w:hAnsi="Arial" w:cs="Arial"/>
          <w:sz w:val="24"/>
          <w:szCs w:val="24"/>
          <w:shd w:val="clear" w:color="auto" w:fill="FFFFFF"/>
          <w:vertAlign w:val="subscript"/>
          <w:lang w:val="en-GB"/>
        </w:rPr>
        <w:t>2</w:t>
      </w:r>
      <w:r w:rsidRPr="00DD05C9">
        <w:rPr>
          <w:rFonts w:ascii="Arial" w:eastAsia="Calibri" w:hAnsi="Arial" w:cs="Arial"/>
          <w:sz w:val="24"/>
          <w:szCs w:val="24"/>
          <w:shd w:val="clear" w:color="auto" w:fill="FFFFFF"/>
          <w:lang w:val="en-GB"/>
        </w:rPr>
        <w:t xml:space="preserve"> uptake (VO</w:t>
      </w:r>
      <w:r w:rsidRPr="00DD05C9">
        <w:rPr>
          <w:rFonts w:ascii="Arial" w:eastAsia="Calibri" w:hAnsi="Arial" w:cs="Arial"/>
          <w:sz w:val="24"/>
          <w:szCs w:val="24"/>
          <w:shd w:val="clear" w:color="auto" w:fill="FFFFFF"/>
          <w:vertAlign w:val="subscript"/>
          <w:lang w:val="en-GB"/>
        </w:rPr>
        <w:t>2max</w:t>
      </w:r>
      <w:r w:rsidRPr="00DD05C9">
        <w:rPr>
          <w:rFonts w:ascii="Arial" w:eastAsia="Calibri" w:hAnsi="Arial" w:cs="Arial"/>
          <w:sz w:val="24"/>
          <w:szCs w:val="24"/>
          <w:shd w:val="clear" w:color="auto" w:fill="FFFFFF"/>
          <w:lang w:val="en-GB"/>
        </w:rPr>
        <w:t>), which indicates the maximal aerobic capacity (prior to exhaustion). The respiratory exchange ratio (RER), calculated by the ratio of VCO</w:t>
      </w:r>
      <w:r w:rsidRPr="00DD05C9">
        <w:rPr>
          <w:rFonts w:ascii="Arial" w:eastAsia="Calibri" w:hAnsi="Arial" w:cs="Arial"/>
          <w:sz w:val="24"/>
          <w:szCs w:val="24"/>
          <w:shd w:val="clear" w:color="auto" w:fill="FFFFFF"/>
          <w:vertAlign w:val="subscript"/>
          <w:lang w:val="en-GB"/>
        </w:rPr>
        <w:t xml:space="preserve">2 </w:t>
      </w:r>
      <w:r w:rsidRPr="00DD05C9">
        <w:rPr>
          <w:rFonts w:ascii="Arial" w:eastAsia="Calibri" w:hAnsi="Arial" w:cs="Arial"/>
          <w:sz w:val="24"/>
          <w:szCs w:val="24"/>
          <w:shd w:val="clear" w:color="auto" w:fill="FFFFFF"/>
          <w:lang w:val="en-GB"/>
        </w:rPr>
        <w:t>produced to VO</w:t>
      </w:r>
      <w:r w:rsidRPr="00DD05C9">
        <w:rPr>
          <w:rFonts w:ascii="Arial" w:eastAsia="Calibri" w:hAnsi="Arial" w:cs="Arial"/>
          <w:sz w:val="24"/>
          <w:szCs w:val="24"/>
          <w:shd w:val="clear" w:color="auto" w:fill="FFFFFF"/>
          <w:vertAlign w:val="subscript"/>
          <w:lang w:val="en-GB"/>
        </w:rPr>
        <w:t>2</w:t>
      </w:r>
      <w:r w:rsidRPr="00DD05C9">
        <w:rPr>
          <w:rFonts w:ascii="Arial" w:eastAsia="Calibri" w:hAnsi="Arial" w:cs="Arial"/>
          <w:sz w:val="24"/>
          <w:szCs w:val="24"/>
          <w:shd w:val="clear" w:color="auto" w:fill="FFFFFF"/>
          <w:lang w:val="en-GB"/>
        </w:rPr>
        <w:t xml:space="preserve"> uptake, was used as an indicator of fatigue and allowed to estimate the contribution of anaerobic metabolism. </w:t>
      </w:r>
    </w:p>
    <w:p w14:paraId="5EF4BC9B" w14:textId="77777777"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lastRenderedPageBreak/>
        <w:t>Metabolism and renal function assessment</w:t>
      </w:r>
    </w:p>
    <w:p w14:paraId="6DF46FBB"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Plasma samples from ZSF1 rats were sent to Cedivet laboratory for the analysis of glucose, cholesterol, triglycerides, creatinine and urea.</w:t>
      </w:r>
    </w:p>
    <w:p w14:paraId="556F4893" w14:textId="77777777"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Organ Collection and Processing</w:t>
      </w:r>
    </w:p>
    <w:p w14:paraId="2940221F"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The animals were dissected to collect spleen (Sp), thymus, inguinal and popliteal lymph nodes (LN), femur, and heart. Sp, thymus and LN were crushed on a 100 μm strainer for single cell isolation. Bone marrow was recovered by flushing the bone epiphyses of the femur with a 20G needle mounted in a syringe filled with PBS. The cell suspension was filtered (100 µm strainer) and centrifuged 300g (10 min, 4°C). Heart was cut in half and transferred to a GentleMACS C tube with 600 U/mL of collagenase II and 60 U/mL of DNase I in HBSS. The tissue was dissociated following manufacturer instructions of the GentleMACS dissociator (Miltenyi Biotec). The cellular suspension was filtered (70 µm strainer) and washed with HBSS supplemented with 10% FBS at 300g (10 min, 4°C). Erythrocytes were removed from cell suspensions as described in PBMCs.</w:t>
      </w:r>
    </w:p>
    <w:p w14:paraId="1C69B643" w14:textId="77777777"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GB"/>
        </w:rPr>
      </w:pPr>
      <w:r w:rsidRPr="00DD05C9">
        <w:rPr>
          <w:rFonts w:ascii="Arial" w:eastAsia="Calibri" w:hAnsi="Arial" w:cs="Arial"/>
          <w:b/>
          <w:sz w:val="24"/>
          <w:szCs w:val="24"/>
          <w:shd w:val="clear" w:color="auto" w:fill="FFFFFF"/>
          <w:lang w:val="en-GB"/>
        </w:rPr>
        <w:t xml:space="preserve">Clonogenic Assay </w:t>
      </w:r>
    </w:p>
    <w:p w14:paraId="1E81E842"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To retrospectively assess the capacity of hematopoietic cells to give rise to progeny a granulocyte-macrophage colony forming unit (CFU-GM) assay was performed with bone marrow cells (BMC) derived from Ln and Ob rats with 23 to 25 weeks of life. For that BMC were isolated as described above and plated in semi-solid ready-to-use, methylcellulose growth medium (MethoCult, 03774; Stem Cell Technologies) accordingly to manufacturer instructions. After 12 days, the colonies were observed and scored using an inverted bright field microscope.</w:t>
      </w:r>
    </w:p>
    <w:p w14:paraId="78B7DD20" w14:textId="77777777"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GB"/>
        </w:rPr>
      </w:pPr>
      <w:r w:rsidRPr="00DD05C9">
        <w:rPr>
          <w:rFonts w:ascii="Arial" w:eastAsia="Calibri" w:hAnsi="Arial" w:cs="Arial"/>
          <w:b/>
          <w:sz w:val="24"/>
          <w:szCs w:val="24"/>
          <w:shd w:val="clear" w:color="auto" w:fill="FFFFFF"/>
          <w:lang w:val="en-GB"/>
        </w:rPr>
        <w:t>Cardiomyocyte cross-sectional area</w:t>
      </w:r>
    </w:p>
    <w:p w14:paraId="40AB1AD2" w14:textId="513A62B3" w:rsidR="00DD05C9" w:rsidRPr="00DD05C9" w:rsidRDefault="00DD05C9" w:rsidP="00DD05C9">
      <w:pPr>
        <w:spacing w:line="48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lastRenderedPageBreak/>
        <w:t>Myocardial tissue sections were immunolabelled with Troponin-T and membranes stained with wheat germ agglutinin (WGA). To evaluate CMs hypertrophy, cross-sectional area was assessed only in transversally cut CMs with intact cell membrane and centrally located nuclei. Analysis was performed in a blinded manner using ImageJ software.</w:t>
      </w:r>
    </w:p>
    <w:p w14:paraId="7F30D06A" w14:textId="77777777" w:rsidR="00DD05C9" w:rsidRPr="00DD05C9" w:rsidRDefault="00DD05C9" w:rsidP="00DD05C9">
      <w:pPr>
        <w:spacing w:line="480" w:lineRule="auto"/>
        <w:contextualSpacing/>
        <w:jc w:val="both"/>
        <w:rPr>
          <w:rFonts w:ascii="Arial" w:eastAsia="Calibri" w:hAnsi="Arial" w:cs="Arial"/>
          <w:b/>
          <w:sz w:val="24"/>
          <w:szCs w:val="24"/>
          <w:shd w:val="clear" w:color="auto" w:fill="FFFFFF"/>
          <w:lang w:val="en-GB"/>
        </w:rPr>
      </w:pPr>
      <w:r w:rsidRPr="00DD05C9">
        <w:rPr>
          <w:rFonts w:ascii="Arial" w:eastAsia="Calibri" w:hAnsi="Arial" w:cs="Arial"/>
          <w:b/>
          <w:sz w:val="24"/>
          <w:szCs w:val="24"/>
          <w:shd w:val="clear" w:color="auto" w:fill="FFFFFF"/>
          <w:lang w:val="en-GB"/>
        </w:rPr>
        <w:t>RNA In Situ Hybridization (RNA-ISH)</w:t>
      </w:r>
    </w:p>
    <w:p w14:paraId="0EB86274" w14:textId="47E94A9D" w:rsidR="00DD05C9" w:rsidRPr="00DD05C9" w:rsidRDefault="00DD05C9" w:rsidP="00DD05C9">
      <w:pPr>
        <w:spacing w:line="48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 xml:space="preserve">RNA-ISH in aortic rings was performed with RNAScope® Multiplex Fluorescent V2 Assay (Advanced Cell Diagnostics, ACD), with minor modifications to the manufacturer’s recommended protocol. Briefly, paraffin sections (4 µm) were baked in ACD HybEZ™ II Hybridization System (CAT. NO. 240200ACD-2, SERIAL 2017 33072) for 60 min at 60 °C, followed by xylene and then 100 % ethanol. When dry, sections were incubated with RNAscope Hydrogen Peroxidase solution (Ref. 322335) for 10 min and washed with distilled water. Afterwards, sections were immersed in RNAscope 1X Target Retrieval Reagent (Ref. 322001) and heated at 100 ºC for 15 min for target retrieval. Sections were washed and emerged in 100 % ethanol to dry, and then incubated with RNAscope Protease Plus (Ref. 322331) for 30 min at 40ºC. Then, samples were incubated with target probe for p21 (Rn-Cdkn1a, Ref. 42851) for 2h at 40 °C, washed with RNAscope 1X Wash Buffer (WB; Ref. 320058) and subjected to the RNAscope Multiplex Fluorescent Detection Reagents (Ref. 323110): AMP1 (30min at 40ºC), followed by AMP2 (30 min at 40ºC) and then AMP3 (15 min at 40ºC), with two washes with WB between incubations. C1 probe was used and therefore, sections were incubated with HRP-C1 for 15 min at 40ºC followed by Opal Dye 570 (Ref. FP1488001KT diluted at 1:1500 in RNAscope Multiplex TSA buffer, Ref. 322809) incubation for 30 min at 40ºC. After being washed with WB, sections </w:t>
      </w:r>
      <w:r w:rsidRPr="00DD05C9">
        <w:rPr>
          <w:rFonts w:ascii="Arial" w:eastAsia="Calibri" w:hAnsi="Arial" w:cs="Arial"/>
          <w:sz w:val="24"/>
          <w:szCs w:val="24"/>
          <w:shd w:val="clear" w:color="auto" w:fill="FFFFFF"/>
          <w:lang w:val="en-GB"/>
        </w:rPr>
        <w:lastRenderedPageBreak/>
        <w:t xml:space="preserve">were incubated with RNAscope Multiplex FL v2 HRP blocker for 15 min at 40ºC and washed again with WB. Finally, sections were counterstained with DAPI (2 µg/mL) and mounted with VECTASHIELD® mounting media (VECTOR). Images were acquired using Carl Zeiss Laser scanning confocal microscope (LSM 710), with 40x objective. Between 3 to 5 aortic rings were analysed </w:t>
      </w:r>
      <w:r w:rsidRPr="00DD05C9">
        <w:rPr>
          <w:rFonts w:ascii="Arial" w:eastAsia="Calibri" w:hAnsi="Arial" w:cs="Arial"/>
          <w:i/>
          <w:iCs/>
          <w:sz w:val="24"/>
          <w:szCs w:val="24"/>
          <w:shd w:val="clear" w:color="auto" w:fill="FFFFFF"/>
          <w:lang w:val="en-GB"/>
        </w:rPr>
        <w:t>per</w:t>
      </w:r>
      <w:r w:rsidRPr="00DD05C9">
        <w:rPr>
          <w:rFonts w:ascii="Arial" w:eastAsia="Calibri" w:hAnsi="Arial" w:cs="Arial"/>
          <w:sz w:val="24"/>
          <w:szCs w:val="24"/>
          <w:shd w:val="clear" w:color="auto" w:fill="FFFFFF"/>
          <w:lang w:val="en-GB"/>
        </w:rPr>
        <w:t xml:space="preserve"> animal. Quantification was performed in QuPath software and the percentage of positive cells was assessed based on the number of cells with ≥ 1 dot/cell. </w:t>
      </w:r>
    </w:p>
    <w:p w14:paraId="3B76F93E" w14:textId="77777777" w:rsidR="00DD05C9" w:rsidRPr="00A7785D" w:rsidRDefault="00DD05C9" w:rsidP="00DD05C9">
      <w:pPr>
        <w:spacing w:line="480" w:lineRule="auto"/>
        <w:contextualSpacing/>
        <w:jc w:val="both"/>
        <w:rPr>
          <w:rFonts w:ascii="Arial" w:eastAsia="Calibri" w:hAnsi="Arial" w:cs="Arial"/>
          <w:b/>
          <w:sz w:val="24"/>
          <w:szCs w:val="24"/>
          <w:shd w:val="clear" w:color="auto" w:fill="FFFFFF"/>
          <w:lang w:val="en-GB"/>
        </w:rPr>
      </w:pPr>
      <w:r w:rsidRPr="00A7785D">
        <w:rPr>
          <w:rFonts w:ascii="Arial" w:eastAsia="Calibri" w:hAnsi="Arial" w:cs="Arial"/>
          <w:b/>
          <w:sz w:val="24"/>
          <w:szCs w:val="24"/>
          <w:shd w:val="clear" w:color="auto" w:fill="FFFFFF"/>
          <w:lang w:val="en-GB"/>
        </w:rPr>
        <w:t>Imaging</w:t>
      </w:r>
    </w:p>
    <w:p w14:paraId="5E4480EF" w14:textId="77777777" w:rsidR="00DD05C9" w:rsidRPr="00DD05C9" w:rsidRDefault="00DD05C9" w:rsidP="00DD05C9">
      <w:pPr>
        <w:spacing w:line="480" w:lineRule="auto"/>
        <w:contextualSpacing/>
        <w:jc w:val="both"/>
        <w:rPr>
          <w:rFonts w:ascii="Arial" w:eastAsia="Calibri" w:hAnsi="Arial" w:cs="Arial"/>
          <w:color w:val="000000"/>
          <w:sz w:val="24"/>
          <w:szCs w:val="24"/>
          <w:shd w:val="clear" w:color="auto" w:fill="FFFFFF"/>
          <w:lang w:val="en-US"/>
        </w:rPr>
      </w:pPr>
      <w:r w:rsidRPr="00DD05C9">
        <w:rPr>
          <w:rFonts w:ascii="Arial" w:eastAsia="Calibri" w:hAnsi="Arial" w:cs="Arial"/>
          <w:sz w:val="24"/>
          <w:szCs w:val="24"/>
          <w:shd w:val="clear" w:color="auto" w:fill="FFFFFF"/>
          <w:lang w:val="en-GB"/>
        </w:rPr>
        <w:t xml:space="preserve">Myocardium histological specimens were visualized under a Carl Zeiss Laser scanning confocal microscope (LSM 710), using </w:t>
      </w:r>
      <w:r w:rsidRPr="00DD05C9">
        <w:rPr>
          <w:rFonts w:ascii="Arial" w:eastAsia="Calibri" w:hAnsi="Arial" w:cs="Arial"/>
          <w:sz w:val="24"/>
          <w:szCs w:val="24"/>
          <w:shd w:val="clear" w:color="auto" w:fill="FFFFFF"/>
          <w:lang w:val="en-US"/>
        </w:rPr>
        <w:t xml:space="preserve">Plan Apochromat (PL APO) objectives: 20x magnification objective, with a numerical aperture (N.A.) of 0.80; 40x DIC M27 oil objective, with N.A. of 1.40; 100x oil objective, with N.A. of 1.46. Aortic rings images were acquired </w:t>
      </w:r>
      <w:r w:rsidRPr="00DD05C9">
        <w:rPr>
          <w:rFonts w:ascii="Arial" w:eastAsia="Calibri" w:hAnsi="Arial" w:cs="Arial"/>
          <w:sz w:val="24"/>
          <w:szCs w:val="24"/>
          <w:shd w:val="clear" w:color="auto" w:fill="FFFFFF"/>
          <w:lang w:val="en-GB"/>
        </w:rPr>
        <w:t>under Zeiss Axio Scan.Z1 slide scanner, using a PL APO</w:t>
      </w:r>
      <w:r w:rsidRPr="00DD05C9">
        <w:rPr>
          <w:rFonts w:ascii="Arial" w:eastAsia="Calibri" w:hAnsi="Arial" w:cs="Arial"/>
          <w:sz w:val="24"/>
          <w:szCs w:val="24"/>
          <w:shd w:val="clear" w:color="auto" w:fill="FFFFFF"/>
          <w:lang w:val="en-US"/>
        </w:rPr>
        <w:t xml:space="preserve"> objective with 20x magnification and N.A. of 0.8. I</w:t>
      </w:r>
      <w:r w:rsidRPr="00DD05C9">
        <w:rPr>
          <w:rFonts w:ascii="Arial" w:eastAsia="Calibri" w:hAnsi="Arial" w:cs="Arial"/>
          <w:color w:val="000000"/>
          <w:sz w:val="24"/>
          <w:szCs w:val="24"/>
          <w:shd w:val="clear" w:color="auto" w:fill="FFFFFF"/>
          <w:lang w:val="en-US"/>
        </w:rPr>
        <w:t>solectin B4 in hearts was imaged under a Leica SP5 laser scanning confocal microscope, using</w:t>
      </w:r>
      <w:r w:rsidRPr="00DD05C9">
        <w:rPr>
          <w:rFonts w:ascii="Arial" w:eastAsia="Calibri" w:hAnsi="Arial" w:cs="Arial"/>
          <w:sz w:val="24"/>
          <w:szCs w:val="24"/>
          <w:shd w:val="clear" w:color="auto" w:fill="FFFFFF"/>
          <w:lang w:val="en-GB"/>
        </w:rPr>
        <w:t xml:space="preserve"> a PL APO</w:t>
      </w:r>
      <w:r w:rsidRPr="00DD05C9">
        <w:rPr>
          <w:rFonts w:ascii="Arial" w:eastAsia="Calibri" w:hAnsi="Arial" w:cs="Arial"/>
          <w:sz w:val="24"/>
          <w:szCs w:val="24"/>
          <w:shd w:val="clear" w:color="auto" w:fill="FFFFFF"/>
          <w:lang w:val="en-US"/>
        </w:rPr>
        <w:t xml:space="preserve"> oil objective</w:t>
      </w:r>
      <w:r w:rsidRPr="00DD05C9">
        <w:rPr>
          <w:rFonts w:ascii="Arial" w:eastAsia="Calibri" w:hAnsi="Arial" w:cs="Arial"/>
          <w:color w:val="000000"/>
          <w:sz w:val="24"/>
          <w:szCs w:val="24"/>
          <w:shd w:val="clear" w:color="auto" w:fill="FFFFFF"/>
          <w:lang w:val="en-US"/>
        </w:rPr>
        <w:t xml:space="preserve"> with 40x magnification, with N.A. of 1.10. CD68 and pH2AX images were obtained using Leica DMI6000 FFW, using </w:t>
      </w:r>
      <w:r w:rsidRPr="00DD05C9">
        <w:rPr>
          <w:rFonts w:ascii="Arial" w:eastAsia="Calibri" w:hAnsi="Arial" w:cs="Arial"/>
          <w:sz w:val="24"/>
          <w:szCs w:val="24"/>
          <w:shd w:val="clear" w:color="auto" w:fill="FFFFFF"/>
          <w:lang w:val="en-GB"/>
        </w:rPr>
        <w:t>PL APO glycerol</w:t>
      </w:r>
      <w:r w:rsidRPr="00DD05C9">
        <w:rPr>
          <w:rFonts w:ascii="Arial" w:eastAsia="Calibri" w:hAnsi="Arial" w:cs="Arial"/>
          <w:sz w:val="24"/>
          <w:szCs w:val="24"/>
          <w:shd w:val="clear" w:color="auto" w:fill="FFFFFF"/>
          <w:lang w:val="en-US"/>
        </w:rPr>
        <w:t xml:space="preserve"> objective with 63x magnification and N.A. of 1.30</w:t>
      </w:r>
      <w:r w:rsidRPr="00DD05C9">
        <w:rPr>
          <w:rFonts w:ascii="Arial" w:eastAsia="Calibri" w:hAnsi="Arial" w:cs="Arial"/>
          <w:color w:val="000000"/>
          <w:sz w:val="24"/>
          <w:szCs w:val="24"/>
          <w:shd w:val="clear" w:color="auto" w:fill="FFFFFF"/>
          <w:lang w:val="en-US"/>
        </w:rPr>
        <w:t>. After acquisition, images were processed and quantified with the assistance of Image J (FIJI), IMARIS and QuPath software’s.</w:t>
      </w:r>
    </w:p>
    <w:p w14:paraId="149D232C" w14:textId="77777777" w:rsidR="003A61D7" w:rsidRDefault="003A61D7" w:rsidP="00DD05C9">
      <w:pPr>
        <w:spacing w:line="480" w:lineRule="auto"/>
        <w:contextualSpacing/>
        <w:jc w:val="both"/>
        <w:outlineLvl w:val="1"/>
        <w:rPr>
          <w:rFonts w:ascii="Arial" w:eastAsia="Calibri" w:hAnsi="Arial" w:cs="Arial"/>
          <w:b/>
          <w:sz w:val="24"/>
          <w:szCs w:val="24"/>
          <w:shd w:val="clear" w:color="auto" w:fill="FFFFFF"/>
          <w:lang w:val="en-US"/>
        </w:rPr>
      </w:pPr>
    </w:p>
    <w:p w14:paraId="1F0CA870" w14:textId="77777777" w:rsidR="003A61D7" w:rsidRDefault="003A61D7" w:rsidP="00DD05C9">
      <w:pPr>
        <w:spacing w:line="480" w:lineRule="auto"/>
        <w:contextualSpacing/>
        <w:jc w:val="both"/>
        <w:outlineLvl w:val="1"/>
        <w:rPr>
          <w:rFonts w:ascii="Arial" w:eastAsia="Calibri" w:hAnsi="Arial" w:cs="Arial"/>
          <w:b/>
          <w:sz w:val="24"/>
          <w:szCs w:val="24"/>
          <w:shd w:val="clear" w:color="auto" w:fill="FFFFFF"/>
          <w:lang w:val="en-US"/>
        </w:rPr>
      </w:pPr>
    </w:p>
    <w:p w14:paraId="65E41408" w14:textId="77777777" w:rsidR="003A61D7" w:rsidRDefault="003A61D7" w:rsidP="00DD05C9">
      <w:pPr>
        <w:spacing w:line="480" w:lineRule="auto"/>
        <w:contextualSpacing/>
        <w:jc w:val="both"/>
        <w:outlineLvl w:val="1"/>
        <w:rPr>
          <w:rFonts w:ascii="Arial" w:eastAsia="Calibri" w:hAnsi="Arial" w:cs="Arial"/>
          <w:b/>
          <w:sz w:val="24"/>
          <w:szCs w:val="24"/>
          <w:shd w:val="clear" w:color="auto" w:fill="FFFFFF"/>
          <w:lang w:val="en-US"/>
        </w:rPr>
      </w:pPr>
    </w:p>
    <w:p w14:paraId="57251B8E" w14:textId="77777777" w:rsidR="003A61D7" w:rsidRDefault="003A61D7" w:rsidP="00DD05C9">
      <w:pPr>
        <w:spacing w:line="480" w:lineRule="auto"/>
        <w:contextualSpacing/>
        <w:jc w:val="both"/>
        <w:outlineLvl w:val="1"/>
        <w:rPr>
          <w:rFonts w:ascii="Arial" w:eastAsia="Calibri" w:hAnsi="Arial" w:cs="Arial"/>
          <w:b/>
          <w:sz w:val="24"/>
          <w:szCs w:val="24"/>
          <w:shd w:val="clear" w:color="auto" w:fill="FFFFFF"/>
          <w:lang w:val="en-US"/>
        </w:rPr>
      </w:pPr>
    </w:p>
    <w:p w14:paraId="7C88E221" w14:textId="77777777" w:rsidR="003A61D7" w:rsidRDefault="003A61D7" w:rsidP="00DD05C9">
      <w:pPr>
        <w:spacing w:line="480" w:lineRule="auto"/>
        <w:contextualSpacing/>
        <w:jc w:val="both"/>
        <w:outlineLvl w:val="1"/>
        <w:rPr>
          <w:rFonts w:ascii="Arial" w:eastAsia="Calibri" w:hAnsi="Arial" w:cs="Arial"/>
          <w:b/>
          <w:sz w:val="24"/>
          <w:szCs w:val="24"/>
          <w:shd w:val="clear" w:color="auto" w:fill="FFFFFF"/>
          <w:lang w:val="en-US"/>
        </w:rPr>
      </w:pPr>
    </w:p>
    <w:p w14:paraId="4EA2C789" w14:textId="459EEA22" w:rsidR="00DD05C9" w:rsidRPr="00DD05C9" w:rsidRDefault="00DD05C9" w:rsidP="00DD05C9">
      <w:pPr>
        <w:spacing w:line="480" w:lineRule="auto"/>
        <w:contextualSpacing/>
        <w:jc w:val="both"/>
        <w:outlineLvl w:val="1"/>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lastRenderedPageBreak/>
        <w:t>Supplementary Tables</w:t>
      </w:r>
    </w:p>
    <w:p w14:paraId="55CDC050"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b/>
          <w:sz w:val="24"/>
          <w:szCs w:val="24"/>
          <w:shd w:val="clear" w:color="auto" w:fill="FFFFFF"/>
          <w:lang w:val="en-US"/>
        </w:rPr>
        <w:t>Supplementary Table 1:</w:t>
      </w:r>
      <w:r w:rsidRPr="00DD05C9">
        <w:rPr>
          <w:rFonts w:ascii="Arial" w:eastAsia="Calibri" w:hAnsi="Arial" w:cs="Arial"/>
          <w:sz w:val="24"/>
          <w:szCs w:val="24"/>
          <w:shd w:val="clear" w:color="auto" w:fill="FFFFFF"/>
          <w:lang w:val="en-US"/>
        </w:rPr>
        <w:t xml:space="preserve"> List of antibodies used in flow cytometry and specifications of working dilution.</w:t>
      </w:r>
    </w:p>
    <w:tbl>
      <w:tblPr>
        <w:tblStyle w:val="TableGrid1"/>
        <w:tblW w:w="7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3"/>
        <w:gridCol w:w="1241"/>
        <w:gridCol w:w="2917"/>
      </w:tblGrid>
      <w:tr w:rsidR="00DD05C9" w:rsidRPr="00DD05C9" w14:paraId="3E6E401A" w14:textId="77777777" w:rsidTr="003A61D7">
        <w:trPr>
          <w:trHeight w:val="274"/>
        </w:trPr>
        <w:tc>
          <w:tcPr>
            <w:tcW w:w="3763" w:type="dxa"/>
            <w:tcBorders>
              <w:top w:val="single" w:sz="4" w:space="0" w:color="auto"/>
              <w:bottom w:val="single" w:sz="4" w:space="0" w:color="auto"/>
            </w:tcBorders>
            <w:shd w:val="clear" w:color="auto" w:fill="auto"/>
            <w:hideMark/>
          </w:tcPr>
          <w:p w14:paraId="5157AC55" w14:textId="77777777" w:rsidR="00DD05C9" w:rsidRPr="00DD05C9" w:rsidRDefault="00DD05C9" w:rsidP="00DD05C9">
            <w:pPr>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Antibody</w:t>
            </w:r>
          </w:p>
        </w:tc>
        <w:tc>
          <w:tcPr>
            <w:tcW w:w="1241" w:type="dxa"/>
            <w:tcBorders>
              <w:top w:val="single" w:sz="4" w:space="0" w:color="auto"/>
              <w:bottom w:val="single" w:sz="4" w:space="0" w:color="auto"/>
            </w:tcBorders>
            <w:shd w:val="clear" w:color="auto" w:fill="auto"/>
            <w:hideMark/>
          </w:tcPr>
          <w:p w14:paraId="2B7B089B" w14:textId="77777777" w:rsidR="00DD05C9" w:rsidRPr="00DD05C9" w:rsidRDefault="00DD05C9" w:rsidP="00DD05C9">
            <w:pPr>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Dilution</w:t>
            </w:r>
          </w:p>
        </w:tc>
        <w:tc>
          <w:tcPr>
            <w:tcW w:w="2917" w:type="dxa"/>
            <w:tcBorders>
              <w:top w:val="single" w:sz="4" w:space="0" w:color="auto"/>
              <w:bottom w:val="single" w:sz="4" w:space="0" w:color="auto"/>
            </w:tcBorders>
            <w:shd w:val="clear" w:color="auto" w:fill="auto"/>
            <w:hideMark/>
          </w:tcPr>
          <w:p w14:paraId="2A05DFFA" w14:textId="77777777" w:rsidR="00DD05C9" w:rsidRPr="00DD05C9" w:rsidRDefault="00DD05C9" w:rsidP="00DD05C9">
            <w:pPr>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Reference</w:t>
            </w:r>
          </w:p>
        </w:tc>
      </w:tr>
      <w:tr w:rsidR="00DD05C9" w:rsidRPr="00DD05C9" w14:paraId="5BB4075C" w14:textId="77777777" w:rsidTr="003A61D7">
        <w:trPr>
          <w:trHeight w:val="274"/>
        </w:trPr>
        <w:tc>
          <w:tcPr>
            <w:tcW w:w="3763" w:type="dxa"/>
            <w:tcBorders>
              <w:top w:val="single" w:sz="4" w:space="0" w:color="auto"/>
            </w:tcBorders>
            <w:hideMark/>
          </w:tcPr>
          <w:p w14:paraId="269E0DD3"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TCR-PERCP (mouse IgG2a)</w:t>
            </w:r>
          </w:p>
        </w:tc>
        <w:tc>
          <w:tcPr>
            <w:tcW w:w="1241" w:type="dxa"/>
            <w:tcBorders>
              <w:top w:val="single" w:sz="4" w:space="0" w:color="auto"/>
            </w:tcBorders>
            <w:hideMark/>
          </w:tcPr>
          <w:p w14:paraId="18850C1B"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tcBorders>
              <w:top w:val="single" w:sz="4" w:space="0" w:color="auto"/>
            </w:tcBorders>
          </w:tcPr>
          <w:p w14:paraId="432E20FB"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557019</w:t>
            </w:r>
          </w:p>
        </w:tc>
      </w:tr>
      <w:tr w:rsidR="00DD05C9" w:rsidRPr="00DD05C9" w14:paraId="7E0EB079" w14:textId="77777777" w:rsidTr="003A61D7">
        <w:trPr>
          <w:trHeight w:val="274"/>
        </w:trPr>
        <w:tc>
          <w:tcPr>
            <w:tcW w:w="3763" w:type="dxa"/>
            <w:hideMark/>
          </w:tcPr>
          <w:p w14:paraId="248B4DE2"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CD4-APC (mouse IgG2a)</w:t>
            </w:r>
          </w:p>
        </w:tc>
        <w:tc>
          <w:tcPr>
            <w:tcW w:w="1241" w:type="dxa"/>
            <w:hideMark/>
          </w:tcPr>
          <w:p w14:paraId="0F379B71"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1:200</w:t>
            </w:r>
          </w:p>
        </w:tc>
        <w:tc>
          <w:tcPr>
            <w:tcW w:w="2917" w:type="dxa"/>
          </w:tcPr>
          <w:p w14:paraId="6352E456"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550057</w:t>
            </w:r>
          </w:p>
        </w:tc>
      </w:tr>
      <w:tr w:rsidR="00DD05C9" w:rsidRPr="00DD05C9" w14:paraId="533F1D57" w14:textId="77777777" w:rsidTr="003A61D7">
        <w:trPr>
          <w:trHeight w:val="287"/>
        </w:trPr>
        <w:tc>
          <w:tcPr>
            <w:tcW w:w="3763" w:type="dxa"/>
            <w:hideMark/>
          </w:tcPr>
          <w:p w14:paraId="14950E1E"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CD8a-V450 (mouse IgG1)</w:t>
            </w:r>
          </w:p>
        </w:tc>
        <w:tc>
          <w:tcPr>
            <w:tcW w:w="1241" w:type="dxa"/>
            <w:hideMark/>
          </w:tcPr>
          <w:p w14:paraId="354B47A0"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tcPr>
          <w:p w14:paraId="24079DD8"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561614</w:t>
            </w:r>
          </w:p>
        </w:tc>
      </w:tr>
      <w:tr w:rsidR="00DD05C9" w:rsidRPr="00DD05C9" w14:paraId="560B9813" w14:textId="77777777" w:rsidTr="003A61D7">
        <w:trPr>
          <w:trHeight w:val="274"/>
        </w:trPr>
        <w:tc>
          <w:tcPr>
            <w:tcW w:w="3763" w:type="dxa"/>
            <w:hideMark/>
          </w:tcPr>
          <w:p w14:paraId="37558373"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CD45R-PE (mouse IgG2b)</w:t>
            </w:r>
          </w:p>
        </w:tc>
        <w:tc>
          <w:tcPr>
            <w:tcW w:w="1241" w:type="dxa"/>
            <w:hideMark/>
          </w:tcPr>
          <w:p w14:paraId="66A09B61"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1:50</w:t>
            </w:r>
          </w:p>
        </w:tc>
        <w:tc>
          <w:tcPr>
            <w:tcW w:w="2917" w:type="dxa"/>
          </w:tcPr>
          <w:p w14:paraId="3A75D8D1"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554881</w:t>
            </w:r>
          </w:p>
        </w:tc>
      </w:tr>
      <w:tr w:rsidR="00DD05C9" w:rsidRPr="00DD05C9" w14:paraId="3F35A027" w14:textId="77777777" w:rsidTr="003A61D7">
        <w:trPr>
          <w:trHeight w:val="287"/>
        </w:trPr>
        <w:tc>
          <w:tcPr>
            <w:tcW w:w="3763" w:type="dxa"/>
            <w:hideMark/>
          </w:tcPr>
          <w:p w14:paraId="15D5FC0D"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CD161a-FITC (mouse IgG1)</w:t>
            </w:r>
          </w:p>
        </w:tc>
        <w:tc>
          <w:tcPr>
            <w:tcW w:w="1241" w:type="dxa"/>
            <w:hideMark/>
          </w:tcPr>
          <w:p w14:paraId="4D334ED2"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1:125</w:t>
            </w:r>
          </w:p>
        </w:tc>
        <w:tc>
          <w:tcPr>
            <w:tcW w:w="2917" w:type="dxa"/>
          </w:tcPr>
          <w:p w14:paraId="4463AECC"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555008</w:t>
            </w:r>
          </w:p>
        </w:tc>
      </w:tr>
      <w:tr w:rsidR="00DD05C9" w:rsidRPr="00DD05C9" w14:paraId="30121A3B" w14:textId="77777777" w:rsidTr="003A61D7">
        <w:trPr>
          <w:trHeight w:val="274"/>
        </w:trPr>
        <w:tc>
          <w:tcPr>
            <w:tcW w:w="3763" w:type="dxa"/>
            <w:hideMark/>
          </w:tcPr>
          <w:p w14:paraId="074DBC0F"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CD11bc-PECY7 (mouse IgG2a)</w:t>
            </w:r>
          </w:p>
        </w:tc>
        <w:tc>
          <w:tcPr>
            <w:tcW w:w="1241" w:type="dxa"/>
            <w:hideMark/>
          </w:tcPr>
          <w:p w14:paraId="4C342E4A"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tcPr>
          <w:p w14:paraId="08E0B87C"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562222</w:t>
            </w:r>
          </w:p>
        </w:tc>
      </w:tr>
      <w:tr w:rsidR="00DD05C9" w:rsidRPr="00DD05C9" w14:paraId="61301B19" w14:textId="77777777" w:rsidTr="003A61D7">
        <w:trPr>
          <w:trHeight w:val="274"/>
        </w:trPr>
        <w:tc>
          <w:tcPr>
            <w:tcW w:w="3763" w:type="dxa"/>
            <w:hideMark/>
          </w:tcPr>
          <w:p w14:paraId="41851137"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CD40-FITC (mouse IgM)</w:t>
            </w:r>
          </w:p>
        </w:tc>
        <w:tc>
          <w:tcPr>
            <w:tcW w:w="1241" w:type="dxa"/>
            <w:hideMark/>
          </w:tcPr>
          <w:p w14:paraId="28F24545"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1:50</w:t>
            </w:r>
          </w:p>
        </w:tc>
        <w:tc>
          <w:tcPr>
            <w:tcW w:w="2917" w:type="dxa"/>
          </w:tcPr>
          <w:p w14:paraId="71583D2F"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553723</w:t>
            </w:r>
          </w:p>
        </w:tc>
      </w:tr>
      <w:tr w:rsidR="00DD05C9" w:rsidRPr="00DD05C9" w14:paraId="024931E3" w14:textId="77777777" w:rsidTr="003A61D7">
        <w:trPr>
          <w:trHeight w:val="287"/>
        </w:trPr>
        <w:tc>
          <w:tcPr>
            <w:tcW w:w="3763" w:type="dxa"/>
          </w:tcPr>
          <w:p w14:paraId="0D8C84FF"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 xml:space="preserve">CD32 </w:t>
            </w:r>
          </w:p>
        </w:tc>
        <w:tc>
          <w:tcPr>
            <w:tcW w:w="1241" w:type="dxa"/>
          </w:tcPr>
          <w:p w14:paraId="62D6E83A"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1:50</w:t>
            </w:r>
          </w:p>
        </w:tc>
        <w:tc>
          <w:tcPr>
            <w:tcW w:w="2917" w:type="dxa"/>
          </w:tcPr>
          <w:p w14:paraId="6997DEBF"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550271</w:t>
            </w:r>
          </w:p>
        </w:tc>
      </w:tr>
      <w:tr w:rsidR="00DD05C9" w:rsidRPr="00DD05C9" w14:paraId="53BB163A" w14:textId="77777777" w:rsidTr="003A61D7">
        <w:trPr>
          <w:trHeight w:val="274"/>
        </w:trPr>
        <w:tc>
          <w:tcPr>
            <w:tcW w:w="3763" w:type="dxa"/>
            <w:hideMark/>
          </w:tcPr>
          <w:p w14:paraId="4D0B858A"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CD45-V450 (mouse IgG1)</w:t>
            </w:r>
          </w:p>
        </w:tc>
        <w:tc>
          <w:tcPr>
            <w:tcW w:w="1241" w:type="dxa"/>
            <w:hideMark/>
          </w:tcPr>
          <w:p w14:paraId="4E0EE231"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1:200</w:t>
            </w:r>
          </w:p>
        </w:tc>
        <w:tc>
          <w:tcPr>
            <w:tcW w:w="2917" w:type="dxa"/>
          </w:tcPr>
          <w:p w14:paraId="2C08413A"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BDBiosciences, 561587</w:t>
            </w:r>
          </w:p>
        </w:tc>
      </w:tr>
      <w:tr w:rsidR="00DD05C9" w:rsidRPr="00DD05C9" w14:paraId="768817D6" w14:textId="77777777" w:rsidTr="003A61D7">
        <w:trPr>
          <w:trHeight w:val="562"/>
        </w:trPr>
        <w:tc>
          <w:tcPr>
            <w:tcW w:w="3763" w:type="dxa"/>
            <w:hideMark/>
          </w:tcPr>
          <w:p w14:paraId="4B5085D6"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CD45-FITC (mouse IgG1)</w:t>
            </w:r>
          </w:p>
        </w:tc>
        <w:tc>
          <w:tcPr>
            <w:tcW w:w="1241" w:type="dxa"/>
            <w:hideMark/>
          </w:tcPr>
          <w:p w14:paraId="6B2B499E"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1:200</w:t>
            </w:r>
          </w:p>
        </w:tc>
        <w:tc>
          <w:tcPr>
            <w:tcW w:w="2917" w:type="dxa"/>
            <w:hideMark/>
          </w:tcPr>
          <w:p w14:paraId="76B41B4C"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eBioscience, 11-0461-82</w:t>
            </w:r>
          </w:p>
        </w:tc>
      </w:tr>
      <w:tr w:rsidR="00DD05C9" w:rsidRPr="00DD05C9" w14:paraId="135B57C5" w14:textId="77777777" w:rsidTr="003A61D7">
        <w:trPr>
          <w:trHeight w:val="548"/>
        </w:trPr>
        <w:tc>
          <w:tcPr>
            <w:tcW w:w="3763" w:type="dxa"/>
            <w:hideMark/>
          </w:tcPr>
          <w:p w14:paraId="5E0755DD"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CD31-PECY7 (mouse IgG1)</w:t>
            </w:r>
          </w:p>
        </w:tc>
        <w:tc>
          <w:tcPr>
            <w:tcW w:w="1241" w:type="dxa"/>
            <w:hideMark/>
          </w:tcPr>
          <w:p w14:paraId="5A75F97E"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1:200</w:t>
            </w:r>
          </w:p>
        </w:tc>
        <w:tc>
          <w:tcPr>
            <w:tcW w:w="2917" w:type="dxa"/>
            <w:hideMark/>
          </w:tcPr>
          <w:p w14:paraId="7AF13A6D"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eBioscience, 25-0310-82</w:t>
            </w:r>
          </w:p>
        </w:tc>
      </w:tr>
      <w:tr w:rsidR="00DD05C9" w:rsidRPr="00DD05C9" w14:paraId="45AFCF4C" w14:textId="77777777" w:rsidTr="003A61D7">
        <w:trPr>
          <w:trHeight w:val="274"/>
        </w:trPr>
        <w:tc>
          <w:tcPr>
            <w:tcW w:w="3763" w:type="dxa"/>
            <w:hideMark/>
          </w:tcPr>
          <w:p w14:paraId="3242D0E5"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CD140α-APC (rat IgG2a)</w:t>
            </w:r>
          </w:p>
        </w:tc>
        <w:tc>
          <w:tcPr>
            <w:tcW w:w="1241" w:type="dxa"/>
            <w:hideMark/>
          </w:tcPr>
          <w:p w14:paraId="4854C119"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hideMark/>
          </w:tcPr>
          <w:p w14:paraId="7680C91A"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Biolegend, 135908</w:t>
            </w:r>
          </w:p>
        </w:tc>
      </w:tr>
      <w:tr w:rsidR="00DD05C9" w:rsidRPr="00DD05C9" w14:paraId="176138F3" w14:textId="77777777" w:rsidTr="003A61D7">
        <w:trPr>
          <w:trHeight w:val="287"/>
        </w:trPr>
        <w:tc>
          <w:tcPr>
            <w:tcW w:w="3763" w:type="dxa"/>
            <w:hideMark/>
          </w:tcPr>
          <w:p w14:paraId="04B08356"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CD106-PE (mouse IgG1)</w:t>
            </w:r>
          </w:p>
        </w:tc>
        <w:tc>
          <w:tcPr>
            <w:tcW w:w="1241" w:type="dxa"/>
            <w:hideMark/>
          </w:tcPr>
          <w:p w14:paraId="02AB1CDD"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hideMark/>
          </w:tcPr>
          <w:p w14:paraId="797EFA9C"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 559229</w:t>
            </w:r>
          </w:p>
        </w:tc>
      </w:tr>
      <w:tr w:rsidR="00DD05C9" w:rsidRPr="00DD05C9" w14:paraId="2EDB9AEA" w14:textId="77777777" w:rsidTr="003A61D7">
        <w:trPr>
          <w:trHeight w:val="274"/>
        </w:trPr>
        <w:tc>
          <w:tcPr>
            <w:tcW w:w="3763" w:type="dxa"/>
            <w:hideMark/>
          </w:tcPr>
          <w:p w14:paraId="07D279A7"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CD54-PE (mouse IgG1)</w:t>
            </w:r>
          </w:p>
        </w:tc>
        <w:tc>
          <w:tcPr>
            <w:tcW w:w="1241" w:type="dxa"/>
            <w:hideMark/>
          </w:tcPr>
          <w:p w14:paraId="3091B810"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hideMark/>
          </w:tcPr>
          <w:p w14:paraId="614F00B9"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Biolegend, 202405</w:t>
            </w:r>
          </w:p>
        </w:tc>
      </w:tr>
      <w:tr w:rsidR="00DD05C9" w:rsidRPr="00DD05C9" w14:paraId="7939853C" w14:textId="77777777" w:rsidTr="003A61D7">
        <w:trPr>
          <w:trHeight w:val="274"/>
        </w:trPr>
        <w:tc>
          <w:tcPr>
            <w:tcW w:w="3763" w:type="dxa"/>
            <w:hideMark/>
          </w:tcPr>
          <w:p w14:paraId="39D2D774"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CD54-Pac Blue Mouse / IgG1, k</w:t>
            </w:r>
          </w:p>
        </w:tc>
        <w:tc>
          <w:tcPr>
            <w:tcW w:w="1241" w:type="dxa"/>
            <w:hideMark/>
          </w:tcPr>
          <w:p w14:paraId="68A04BD0"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hideMark/>
          </w:tcPr>
          <w:p w14:paraId="6889601F"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Biolegend, 322716</w:t>
            </w:r>
          </w:p>
        </w:tc>
      </w:tr>
      <w:tr w:rsidR="00DD05C9" w:rsidRPr="00DD05C9" w14:paraId="29C109A3" w14:textId="77777777" w:rsidTr="003A61D7">
        <w:trPr>
          <w:trHeight w:val="562"/>
        </w:trPr>
        <w:tc>
          <w:tcPr>
            <w:tcW w:w="3763" w:type="dxa"/>
            <w:hideMark/>
          </w:tcPr>
          <w:p w14:paraId="2EB9584B"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CD102- FITC Mouse / IgG2a K</w:t>
            </w:r>
          </w:p>
        </w:tc>
        <w:tc>
          <w:tcPr>
            <w:tcW w:w="1241" w:type="dxa"/>
            <w:hideMark/>
          </w:tcPr>
          <w:p w14:paraId="177CF4B7"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hideMark/>
          </w:tcPr>
          <w:p w14:paraId="2FC4BE30"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eBioscience, 11-1029-42</w:t>
            </w:r>
          </w:p>
        </w:tc>
      </w:tr>
      <w:tr w:rsidR="00DD05C9" w:rsidRPr="00DD05C9" w14:paraId="35340AF9" w14:textId="77777777" w:rsidTr="003A61D7">
        <w:trPr>
          <w:trHeight w:val="562"/>
        </w:trPr>
        <w:tc>
          <w:tcPr>
            <w:tcW w:w="3763" w:type="dxa"/>
            <w:hideMark/>
          </w:tcPr>
          <w:p w14:paraId="6D9B6FA7"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CD106- PE-CY7 Mouse / IgG1, k</w:t>
            </w:r>
          </w:p>
        </w:tc>
        <w:tc>
          <w:tcPr>
            <w:tcW w:w="1241" w:type="dxa"/>
            <w:hideMark/>
          </w:tcPr>
          <w:p w14:paraId="7F1757C5"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hideMark/>
          </w:tcPr>
          <w:p w14:paraId="3D8F1561"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eBioscience, 25-1069-42</w:t>
            </w:r>
          </w:p>
        </w:tc>
      </w:tr>
      <w:tr w:rsidR="00DD05C9" w:rsidRPr="00DD05C9" w14:paraId="4BBD14F9" w14:textId="77777777" w:rsidTr="003A61D7">
        <w:trPr>
          <w:trHeight w:val="548"/>
        </w:trPr>
        <w:tc>
          <w:tcPr>
            <w:tcW w:w="3763" w:type="dxa"/>
            <w:hideMark/>
          </w:tcPr>
          <w:p w14:paraId="2895B90B"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CD62P-APC (Mouse / IgG1, k)</w:t>
            </w:r>
          </w:p>
        </w:tc>
        <w:tc>
          <w:tcPr>
            <w:tcW w:w="1241" w:type="dxa"/>
            <w:hideMark/>
          </w:tcPr>
          <w:p w14:paraId="12E89285"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hideMark/>
          </w:tcPr>
          <w:p w14:paraId="7F49C2A4"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eBioscience, 17-0626-82</w:t>
            </w:r>
          </w:p>
        </w:tc>
      </w:tr>
      <w:tr w:rsidR="00DD05C9" w:rsidRPr="00DD05C9" w14:paraId="62D51AAE" w14:textId="77777777" w:rsidTr="003A61D7">
        <w:trPr>
          <w:trHeight w:val="291"/>
        </w:trPr>
        <w:tc>
          <w:tcPr>
            <w:tcW w:w="3763" w:type="dxa"/>
            <w:tcBorders>
              <w:bottom w:val="single" w:sz="4" w:space="0" w:color="auto"/>
            </w:tcBorders>
            <w:hideMark/>
          </w:tcPr>
          <w:p w14:paraId="2FDA76FD"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CD105-BV510 (Mouse / IgG1, k)</w:t>
            </w:r>
          </w:p>
        </w:tc>
        <w:tc>
          <w:tcPr>
            <w:tcW w:w="1241" w:type="dxa"/>
            <w:tcBorders>
              <w:bottom w:val="single" w:sz="4" w:space="0" w:color="auto"/>
            </w:tcBorders>
          </w:tcPr>
          <w:p w14:paraId="6B139C47"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2917" w:type="dxa"/>
            <w:tcBorders>
              <w:bottom w:val="single" w:sz="4" w:space="0" w:color="auto"/>
            </w:tcBorders>
            <w:hideMark/>
          </w:tcPr>
          <w:p w14:paraId="6A5F3DDC"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BDBioscience, 563264</w:t>
            </w:r>
          </w:p>
        </w:tc>
      </w:tr>
    </w:tbl>
    <w:p w14:paraId="246D656C" w14:textId="77777777" w:rsidR="00DD05C9" w:rsidRPr="00DD05C9" w:rsidRDefault="00DD05C9" w:rsidP="00DD05C9">
      <w:pPr>
        <w:spacing w:line="480" w:lineRule="auto"/>
        <w:contextualSpacing/>
        <w:jc w:val="both"/>
        <w:rPr>
          <w:rFonts w:ascii="Arial" w:eastAsia="Calibri" w:hAnsi="Arial" w:cs="Arial"/>
          <w:sz w:val="24"/>
          <w:szCs w:val="24"/>
          <w:highlight w:val="yellow"/>
          <w:shd w:val="clear" w:color="auto" w:fill="FFFFFF"/>
          <w:lang w:val="en-US"/>
        </w:rPr>
      </w:pPr>
    </w:p>
    <w:p w14:paraId="13D89C68"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b/>
          <w:bCs/>
          <w:sz w:val="24"/>
          <w:szCs w:val="24"/>
          <w:shd w:val="clear" w:color="auto" w:fill="FFFFFF"/>
          <w:lang w:val="en-US"/>
        </w:rPr>
        <w:t>Supplementary Table 2:</w:t>
      </w:r>
      <w:r w:rsidRPr="00DD05C9">
        <w:rPr>
          <w:rFonts w:ascii="Arial" w:eastAsia="Calibri" w:hAnsi="Arial" w:cs="Arial"/>
          <w:sz w:val="24"/>
          <w:szCs w:val="24"/>
          <w:shd w:val="clear" w:color="auto" w:fill="FFFFFF"/>
          <w:lang w:val="en-US"/>
        </w:rPr>
        <w:t xml:space="preserve"> Primer sequences used in qRT-PCR for rat genes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046"/>
      </w:tblGrid>
      <w:tr w:rsidR="00DD05C9" w:rsidRPr="00A42E78" w14:paraId="3264A5C0" w14:textId="77777777" w:rsidTr="007070DE">
        <w:trPr>
          <w:trHeight w:val="293"/>
        </w:trPr>
        <w:tc>
          <w:tcPr>
            <w:tcW w:w="1548" w:type="dxa"/>
            <w:tcBorders>
              <w:top w:val="single" w:sz="4" w:space="0" w:color="auto"/>
              <w:bottom w:val="single" w:sz="4" w:space="0" w:color="auto"/>
            </w:tcBorders>
            <w:shd w:val="clear" w:color="auto" w:fill="auto"/>
          </w:tcPr>
          <w:p w14:paraId="77F4EFC9" w14:textId="77777777" w:rsidR="00DD05C9" w:rsidRPr="00DD05C9" w:rsidRDefault="00DD05C9" w:rsidP="00DD05C9">
            <w:pPr>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Gene</w:t>
            </w:r>
          </w:p>
        </w:tc>
        <w:tc>
          <w:tcPr>
            <w:tcW w:w="6046" w:type="dxa"/>
            <w:tcBorders>
              <w:top w:val="single" w:sz="4" w:space="0" w:color="auto"/>
              <w:bottom w:val="single" w:sz="4" w:space="0" w:color="auto"/>
            </w:tcBorders>
            <w:shd w:val="clear" w:color="auto" w:fill="auto"/>
          </w:tcPr>
          <w:p w14:paraId="0A9FE018" w14:textId="77777777" w:rsidR="00DD05C9" w:rsidRPr="00DD05C9" w:rsidRDefault="00DD05C9" w:rsidP="00DD05C9">
            <w:pPr>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Primer Sequence (5’ to 3’)</w:t>
            </w:r>
          </w:p>
        </w:tc>
      </w:tr>
      <w:tr w:rsidR="00DD05C9" w:rsidRPr="00DD05C9" w14:paraId="5B04A7C8" w14:textId="77777777" w:rsidTr="007070DE">
        <w:trPr>
          <w:trHeight w:val="486"/>
        </w:trPr>
        <w:tc>
          <w:tcPr>
            <w:tcW w:w="1548" w:type="dxa"/>
            <w:tcBorders>
              <w:top w:val="single" w:sz="4" w:space="0" w:color="auto"/>
            </w:tcBorders>
            <w:shd w:val="clear" w:color="auto" w:fill="auto"/>
            <w:hideMark/>
          </w:tcPr>
          <w:p w14:paraId="5A3796F5"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GAPDH</w:t>
            </w:r>
          </w:p>
        </w:tc>
        <w:tc>
          <w:tcPr>
            <w:tcW w:w="6046" w:type="dxa"/>
            <w:tcBorders>
              <w:top w:val="single" w:sz="4" w:space="0" w:color="auto"/>
            </w:tcBorders>
            <w:shd w:val="clear" w:color="auto" w:fill="auto"/>
            <w:hideMark/>
          </w:tcPr>
          <w:p w14:paraId="21A71789"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CCTCAAGATCATCAGCAAT</w:t>
            </w:r>
          </w:p>
          <w:p w14:paraId="223EB724"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CCATCCACAGTCTTCTGGGT</w:t>
            </w:r>
          </w:p>
        </w:tc>
      </w:tr>
      <w:tr w:rsidR="00DD05C9" w:rsidRPr="00DD05C9" w14:paraId="4CD20D42" w14:textId="77777777" w:rsidTr="007070DE">
        <w:trPr>
          <w:trHeight w:val="472"/>
        </w:trPr>
        <w:tc>
          <w:tcPr>
            <w:tcW w:w="1548" w:type="dxa"/>
            <w:shd w:val="clear" w:color="auto" w:fill="auto"/>
            <w:hideMark/>
          </w:tcPr>
          <w:p w14:paraId="5CA59D57"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IL6</w:t>
            </w:r>
          </w:p>
        </w:tc>
        <w:tc>
          <w:tcPr>
            <w:tcW w:w="6046" w:type="dxa"/>
            <w:shd w:val="clear" w:color="auto" w:fill="auto"/>
            <w:hideMark/>
          </w:tcPr>
          <w:p w14:paraId="5891EBD8"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CATATGTTCTCAGGGAGATCTTGGA</w:t>
            </w:r>
          </w:p>
          <w:p w14:paraId="7111A41E"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CAGTGCATCATCGCTGTTCA</w:t>
            </w:r>
          </w:p>
        </w:tc>
      </w:tr>
      <w:tr w:rsidR="00DD05C9" w:rsidRPr="00DD05C9" w14:paraId="3C100E59" w14:textId="77777777" w:rsidTr="007070DE">
        <w:trPr>
          <w:trHeight w:val="472"/>
        </w:trPr>
        <w:tc>
          <w:tcPr>
            <w:tcW w:w="1548" w:type="dxa"/>
            <w:shd w:val="clear" w:color="auto" w:fill="auto"/>
            <w:hideMark/>
          </w:tcPr>
          <w:p w14:paraId="31536848"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IL10</w:t>
            </w:r>
          </w:p>
        </w:tc>
        <w:tc>
          <w:tcPr>
            <w:tcW w:w="6046" w:type="dxa"/>
            <w:shd w:val="clear" w:color="auto" w:fill="auto"/>
            <w:hideMark/>
          </w:tcPr>
          <w:p w14:paraId="67D45AAF"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TGCCTTCAGTCAAGTGAAGAC</w:t>
            </w:r>
          </w:p>
          <w:p w14:paraId="58A7E52F"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AAACTCATTCATGGCCTTGTA</w:t>
            </w:r>
          </w:p>
        </w:tc>
      </w:tr>
      <w:tr w:rsidR="00DD05C9" w:rsidRPr="00DD05C9" w14:paraId="27126078" w14:textId="77777777" w:rsidTr="007070DE">
        <w:trPr>
          <w:trHeight w:val="486"/>
        </w:trPr>
        <w:tc>
          <w:tcPr>
            <w:tcW w:w="1548" w:type="dxa"/>
            <w:shd w:val="clear" w:color="auto" w:fill="auto"/>
            <w:hideMark/>
          </w:tcPr>
          <w:p w14:paraId="4F0330BE"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IL1β</w:t>
            </w:r>
          </w:p>
        </w:tc>
        <w:tc>
          <w:tcPr>
            <w:tcW w:w="6046" w:type="dxa"/>
            <w:shd w:val="clear" w:color="auto" w:fill="auto"/>
            <w:hideMark/>
          </w:tcPr>
          <w:p w14:paraId="4871BCA5"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CACCTTCTTTTCCTTCATCTTTG</w:t>
            </w:r>
          </w:p>
          <w:p w14:paraId="4E5ED4B1"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GTCGTTGCTTGTCTCTCCTTGTA </w:t>
            </w:r>
          </w:p>
        </w:tc>
      </w:tr>
      <w:tr w:rsidR="00DD05C9" w:rsidRPr="00DD05C9" w14:paraId="0FD5F65F" w14:textId="77777777" w:rsidTr="007070DE">
        <w:trPr>
          <w:trHeight w:val="228"/>
        </w:trPr>
        <w:tc>
          <w:tcPr>
            <w:tcW w:w="1548" w:type="dxa"/>
            <w:shd w:val="clear" w:color="auto" w:fill="auto"/>
            <w:hideMark/>
          </w:tcPr>
          <w:p w14:paraId="070BB117"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TGF-β</w:t>
            </w:r>
          </w:p>
        </w:tc>
        <w:tc>
          <w:tcPr>
            <w:tcW w:w="6046" w:type="dxa"/>
            <w:shd w:val="clear" w:color="auto" w:fill="auto"/>
          </w:tcPr>
          <w:p w14:paraId="1324B784" w14:textId="63BBA7B7" w:rsidR="00AF4E87" w:rsidRPr="00AF4E87" w:rsidRDefault="00AF4E87" w:rsidP="003A61D7">
            <w:pPr>
              <w:rPr>
                <w:rFonts w:ascii="Arial" w:eastAsia="Calibri" w:hAnsi="Arial" w:cs="Arial"/>
                <w:sz w:val="24"/>
                <w:szCs w:val="24"/>
                <w:shd w:val="clear" w:color="auto" w:fill="FFFFFF"/>
                <w:lang w:val="en-US"/>
              </w:rPr>
            </w:pPr>
            <w:r w:rsidRPr="00AF4E87">
              <w:rPr>
                <w:rFonts w:ascii="Arial" w:eastAsia="Calibri" w:hAnsi="Arial" w:cs="Arial"/>
                <w:sz w:val="24"/>
                <w:szCs w:val="24"/>
                <w:shd w:val="clear" w:color="auto" w:fill="FFFFFF"/>
                <w:lang w:val="en-US"/>
              </w:rPr>
              <w:t>FW:</w:t>
            </w:r>
            <w:r w:rsidR="003A61D7">
              <w:rPr>
                <w:rFonts w:ascii="Arial" w:eastAsia="Calibri" w:hAnsi="Arial" w:cs="Arial"/>
                <w:sz w:val="24"/>
                <w:szCs w:val="24"/>
                <w:shd w:val="clear" w:color="auto" w:fill="FFFFFF"/>
                <w:lang w:val="en-US"/>
              </w:rPr>
              <w:t xml:space="preserve"> </w:t>
            </w:r>
            <w:r w:rsidRPr="00AF4E87">
              <w:rPr>
                <w:rFonts w:ascii="Arial" w:eastAsia="Calibri" w:hAnsi="Arial" w:cs="Arial"/>
                <w:sz w:val="24"/>
                <w:szCs w:val="24"/>
                <w:shd w:val="clear" w:color="auto" w:fill="FFFFFF"/>
                <w:lang w:val="en-US"/>
              </w:rPr>
              <w:t>GGACCGCAACAACGCAATCTATGA</w:t>
            </w:r>
          </w:p>
          <w:p w14:paraId="66957C7F" w14:textId="311E14E9" w:rsidR="00DD05C9" w:rsidRPr="00DD05C9" w:rsidRDefault="00AF4E87" w:rsidP="003A61D7">
            <w:pPr>
              <w:rPr>
                <w:rFonts w:ascii="Arial" w:eastAsia="Calibri" w:hAnsi="Arial" w:cs="Arial"/>
                <w:sz w:val="24"/>
                <w:szCs w:val="24"/>
                <w:shd w:val="clear" w:color="auto" w:fill="FFFFFF"/>
                <w:lang w:val="en-US"/>
              </w:rPr>
            </w:pPr>
            <w:r w:rsidRPr="00AF4E87">
              <w:rPr>
                <w:rFonts w:ascii="Arial" w:eastAsia="Calibri" w:hAnsi="Arial" w:cs="Arial"/>
                <w:sz w:val="24"/>
                <w:szCs w:val="24"/>
                <w:shd w:val="clear" w:color="auto" w:fill="FFFFFF"/>
                <w:lang w:val="en-US"/>
              </w:rPr>
              <w:t>RV:</w:t>
            </w:r>
            <w:r w:rsidR="003A61D7">
              <w:rPr>
                <w:rFonts w:ascii="Arial" w:eastAsia="Calibri" w:hAnsi="Arial" w:cs="Arial"/>
                <w:sz w:val="24"/>
                <w:szCs w:val="24"/>
                <w:shd w:val="clear" w:color="auto" w:fill="FFFFFF"/>
                <w:lang w:val="en-US"/>
              </w:rPr>
              <w:t xml:space="preserve"> </w:t>
            </w:r>
            <w:r w:rsidRPr="00AF4E87">
              <w:rPr>
                <w:rFonts w:ascii="Arial" w:eastAsia="Calibri" w:hAnsi="Arial" w:cs="Arial"/>
                <w:sz w:val="24"/>
                <w:szCs w:val="24"/>
                <w:shd w:val="clear" w:color="auto" w:fill="FFFFFF"/>
                <w:lang w:val="en-US"/>
              </w:rPr>
              <w:t>AGCAATGGGGGTTCTGGCACTG</w:t>
            </w:r>
          </w:p>
        </w:tc>
      </w:tr>
      <w:tr w:rsidR="00DD05C9" w:rsidRPr="00DD05C9" w14:paraId="33596721" w14:textId="77777777" w:rsidTr="007070DE">
        <w:trPr>
          <w:trHeight w:val="486"/>
        </w:trPr>
        <w:tc>
          <w:tcPr>
            <w:tcW w:w="1548" w:type="dxa"/>
            <w:shd w:val="clear" w:color="auto" w:fill="auto"/>
            <w:hideMark/>
          </w:tcPr>
          <w:p w14:paraId="1E595303"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TNF-α</w:t>
            </w:r>
          </w:p>
        </w:tc>
        <w:tc>
          <w:tcPr>
            <w:tcW w:w="6046" w:type="dxa"/>
            <w:shd w:val="clear" w:color="auto" w:fill="auto"/>
            <w:hideMark/>
          </w:tcPr>
          <w:p w14:paraId="63D24BEA"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CCCAGACCCTCACACTCAGAT</w:t>
            </w:r>
          </w:p>
          <w:p w14:paraId="15B74832"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TTGTCCCTTGAAGAGAACCTG</w:t>
            </w:r>
          </w:p>
        </w:tc>
      </w:tr>
      <w:tr w:rsidR="00DD05C9" w:rsidRPr="00DD05C9" w14:paraId="0EEEE803" w14:textId="77777777" w:rsidTr="007070DE">
        <w:trPr>
          <w:trHeight w:val="515"/>
        </w:trPr>
        <w:tc>
          <w:tcPr>
            <w:tcW w:w="1548" w:type="dxa"/>
            <w:shd w:val="clear" w:color="auto" w:fill="auto"/>
            <w:hideMark/>
          </w:tcPr>
          <w:p w14:paraId="07D622FA" w14:textId="77777777" w:rsidR="00DD05C9" w:rsidRPr="00A42E78" w:rsidRDefault="00DD05C9" w:rsidP="00DD05C9">
            <w:pPr>
              <w:contextualSpacing/>
              <w:jc w:val="both"/>
              <w:rPr>
                <w:rFonts w:ascii="Arial" w:eastAsia="Calibri" w:hAnsi="Arial" w:cs="Arial"/>
                <w:i/>
                <w:iCs/>
                <w:sz w:val="24"/>
                <w:szCs w:val="24"/>
                <w:shd w:val="clear" w:color="auto" w:fill="FFFFFF"/>
                <w:lang w:val="en-GB"/>
              </w:rPr>
            </w:pPr>
            <w:r w:rsidRPr="00A42E78">
              <w:rPr>
                <w:rFonts w:ascii="Arial" w:eastAsia="Calibri" w:hAnsi="Arial" w:cs="Arial"/>
                <w:i/>
                <w:iCs/>
                <w:sz w:val="24"/>
                <w:szCs w:val="24"/>
                <w:shd w:val="clear" w:color="auto" w:fill="FFFFFF"/>
                <w:lang w:val="en-US"/>
              </w:rPr>
              <w:t xml:space="preserve">Cdkn1a </w:t>
            </w:r>
            <w:r w:rsidRPr="00BD7170">
              <w:rPr>
                <w:rFonts w:ascii="Arial" w:eastAsia="Calibri" w:hAnsi="Arial" w:cs="Arial"/>
                <w:sz w:val="24"/>
                <w:szCs w:val="24"/>
                <w:shd w:val="clear" w:color="auto" w:fill="FFFFFF"/>
                <w:lang w:val="en-US"/>
              </w:rPr>
              <w:t>(p21)</w:t>
            </w:r>
          </w:p>
        </w:tc>
        <w:tc>
          <w:tcPr>
            <w:tcW w:w="6046" w:type="dxa"/>
            <w:shd w:val="clear" w:color="auto" w:fill="auto"/>
            <w:hideMark/>
          </w:tcPr>
          <w:p w14:paraId="3D0876F6"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CAGTGCCCGAGTTAAGGGG</w:t>
            </w:r>
          </w:p>
          <w:p w14:paraId="08C8804E"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CGAACAGACGACGGCATACT</w:t>
            </w:r>
          </w:p>
        </w:tc>
      </w:tr>
      <w:tr w:rsidR="00DD05C9" w:rsidRPr="00DD05C9" w14:paraId="4436F80B" w14:textId="77777777" w:rsidTr="007070DE">
        <w:trPr>
          <w:trHeight w:val="472"/>
        </w:trPr>
        <w:tc>
          <w:tcPr>
            <w:tcW w:w="1548" w:type="dxa"/>
            <w:shd w:val="clear" w:color="auto" w:fill="auto"/>
            <w:hideMark/>
          </w:tcPr>
          <w:p w14:paraId="7E476CFD"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A42E78">
              <w:rPr>
                <w:rFonts w:ascii="Arial" w:eastAsia="Calibri" w:hAnsi="Arial" w:cs="Arial"/>
                <w:i/>
                <w:iCs/>
                <w:sz w:val="24"/>
                <w:szCs w:val="24"/>
                <w:shd w:val="clear" w:color="auto" w:fill="FFFFFF"/>
                <w:lang w:val="en-US"/>
              </w:rPr>
              <w:lastRenderedPageBreak/>
              <w:t>Tp53</w:t>
            </w:r>
            <w:r w:rsidRPr="00DD05C9">
              <w:rPr>
                <w:rFonts w:ascii="Arial" w:eastAsia="Calibri" w:hAnsi="Arial" w:cs="Arial"/>
                <w:sz w:val="24"/>
                <w:szCs w:val="24"/>
                <w:shd w:val="clear" w:color="auto" w:fill="FFFFFF"/>
                <w:lang w:val="en-US"/>
              </w:rPr>
              <w:t xml:space="preserve"> (p53)</w:t>
            </w:r>
          </w:p>
        </w:tc>
        <w:tc>
          <w:tcPr>
            <w:tcW w:w="6046" w:type="dxa"/>
            <w:shd w:val="clear" w:color="auto" w:fill="auto"/>
            <w:hideMark/>
          </w:tcPr>
          <w:p w14:paraId="152D2511"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CGTGAGCGCTTCGAGATGTTC</w:t>
            </w:r>
          </w:p>
          <w:p w14:paraId="7FF3BA17"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TTTATGGCGGGACGTAGACTGG</w:t>
            </w:r>
          </w:p>
        </w:tc>
      </w:tr>
      <w:tr w:rsidR="00DD05C9" w:rsidRPr="00DD05C9" w14:paraId="628811D2" w14:textId="77777777" w:rsidTr="007070DE">
        <w:trPr>
          <w:trHeight w:val="486"/>
        </w:trPr>
        <w:tc>
          <w:tcPr>
            <w:tcW w:w="1548" w:type="dxa"/>
            <w:shd w:val="clear" w:color="auto" w:fill="auto"/>
            <w:hideMark/>
          </w:tcPr>
          <w:p w14:paraId="0BD6A939"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Nos2</w:t>
            </w:r>
          </w:p>
        </w:tc>
        <w:tc>
          <w:tcPr>
            <w:tcW w:w="6046" w:type="dxa"/>
            <w:shd w:val="clear" w:color="auto" w:fill="auto"/>
            <w:hideMark/>
          </w:tcPr>
          <w:p w14:paraId="4526A069"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FW: ACGGAAGAGACGCACAGGCAGAG</w:t>
            </w:r>
          </w:p>
          <w:p w14:paraId="75E4B887" w14:textId="77777777" w:rsidR="00DD05C9" w:rsidRPr="00DD05C9" w:rsidRDefault="00DD05C9" w:rsidP="003A61D7">
            <w:pPr>
              <w:contextualSpacing/>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RV: CAGGAAGGCAGCAGGCACACG</w:t>
            </w:r>
          </w:p>
        </w:tc>
      </w:tr>
      <w:tr w:rsidR="00DD05C9" w:rsidRPr="00DD05C9" w14:paraId="2421DFFB" w14:textId="77777777" w:rsidTr="007070DE">
        <w:trPr>
          <w:trHeight w:val="228"/>
        </w:trPr>
        <w:tc>
          <w:tcPr>
            <w:tcW w:w="1548" w:type="dxa"/>
            <w:shd w:val="clear" w:color="auto" w:fill="auto"/>
          </w:tcPr>
          <w:p w14:paraId="19208C05"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COL1A1</w:t>
            </w:r>
          </w:p>
        </w:tc>
        <w:tc>
          <w:tcPr>
            <w:tcW w:w="6046" w:type="dxa"/>
            <w:shd w:val="clear" w:color="auto" w:fill="auto"/>
          </w:tcPr>
          <w:p w14:paraId="4D3A4414" w14:textId="4F5290B3" w:rsidR="00AF4E87" w:rsidRPr="00AF4E87" w:rsidRDefault="00AF4E87" w:rsidP="003A61D7">
            <w:pPr>
              <w:contextualSpacing/>
              <w:rPr>
                <w:rFonts w:ascii="Arial" w:eastAsia="Calibri" w:hAnsi="Arial" w:cs="Arial"/>
                <w:sz w:val="24"/>
                <w:szCs w:val="24"/>
                <w:shd w:val="clear" w:color="auto" w:fill="FFFFFF"/>
                <w:lang w:val="en-US"/>
              </w:rPr>
            </w:pPr>
            <w:r w:rsidRPr="00AF4E87">
              <w:rPr>
                <w:rFonts w:ascii="Arial" w:eastAsia="Calibri" w:hAnsi="Arial" w:cs="Arial"/>
                <w:sz w:val="24"/>
                <w:szCs w:val="24"/>
                <w:shd w:val="clear" w:color="auto" w:fill="FFFFFF"/>
                <w:lang w:val="en-US"/>
              </w:rPr>
              <w:t>FW: AGCTCAGGGGCGAAGGCAACAGTC</w:t>
            </w:r>
          </w:p>
          <w:p w14:paraId="10A8506B" w14:textId="07F1E444" w:rsidR="00DD05C9" w:rsidRPr="00AF4E87" w:rsidRDefault="00AF4E87" w:rsidP="003A61D7">
            <w:pPr>
              <w:contextualSpacing/>
              <w:rPr>
                <w:rFonts w:ascii="Arial" w:eastAsia="Calibri" w:hAnsi="Arial" w:cs="Arial"/>
                <w:sz w:val="24"/>
                <w:szCs w:val="24"/>
                <w:shd w:val="clear" w:color="auto" w:fill="FFFFFF"/>
                <w:lang w:val="en-US"/>
              </w:rPr>
            </w:pPr>
            <w:r w:rsidRPr="00AF4E87">
              <w:rPr>
                <w:rFonts w:ascii="Arial" w:eastAsia="Calibri" w:hAnsi="Arial" w:cs="Arial"/>
                <w:sz w:val="24"/>
                <w:szCs w:val="24"/>
                <w:shd w:val="clear" w:color="auto" w:fill="FFFFFF"/>
                <w:lang w:val="en-US"/>
              </w:rPr>
              <w:t>RV: GATGATGGGCAGGCGGGAGGTCTT</w:t>
            </w:r>
          </w:p>
        </w:tc>
      </w:tr>
      <w:tr w:rsidR="00DD05C9" w:rsidRPr="00AF4E87" w14:paraId="6BF0D676" w14:textId="77777777" w:rsidTr="007070DE">
        <w:trPr>
          <w:trHeight w:val="243"/>
        </w:trPr>
        <w:tc>
          <w:tcPr>
            <w:tcW w:w="1548" w:type="dxa"/>
            <w:shd w:val="clear" w:color="auto" w:fill="auto"/>
          </w:tcPr>
          <w:p w14:paraId="10773EAA" w14:textId="77777777" w:rsidR="00DD05C9" w:rsidRPr="00A42E78" w:rsidRDefault="00DD05C9"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COL1A3</w:t>
            </w:r>
          </w:p>
          <w:p w14:paraId="5B4CD35D" w14:textId="77777777" w:rsidR="00AF4E87" w:rsidRPr="00A42E78" w:rsidRDefault="00AF4E87" w:rsidP="00DD05C9">
            <w:pPr>
              <w:contextualSpacing/>
              <w:jc w:val="both"/>
              <w:rPr>
                <w:rFonts w:ascii="Arial" w:eastAsia="Calibri" w:hAnsi="Arial" w:cs="Arial"/>
                <w:i/>
                <w:iCs/>
                <w:sz w:val="24"/>
                <w:szCs w:val="24"/>
                <w:shd w:val="clear" w:color="auto" w:fill="FFFFFF"/>
                <w:lang w:val="en-US"/>
              </w:rPr>
            </w:pPr>
          </w:p>
          <w:p w14:paraId="429A621F" w14:textId="2D55805C" w:rsidR="00AF4E87" w:rsidRPr="00A42E78" w:rsidRDefault="00AF4E87" w:rsidP="00DD05C9">
            <w:pPr>
              <w:contextualSpacing/>
              <w:jc w:val="both"/>
              <w:rPr>
                <w:rFonts w:ascii="Arial" w:eastAsia="Calibri" w:hAnsi="Arial" w:cs="Arial"/>
                <w:i/>
                <w:iCs/>
                <w:sz w:val="24"/>
                <w:szCs w:val="24"/>
                <w:shd w:val="clear" w:color="auto" w:fill="FFFFFF"/>
                <w:lang w:val="en-US"/>
              </w:rPr>
            </w:pPr>
            <w:r w:rsidRPr="00A42E78">
              <w:rPr>
                <w:rFonts w:ascii="Arial" w:eastAsia="Calibri" w:hAnsi="Arial" w:cs="Arial"/>
                <w:i/>
                <w:iCs/>
                <w:sz w:val="24"/>
                <w:szCs w:val="24"/>
                <w:shd w:val="clear" w:color="auto" w:fill="FFFFFF"/>
                <w:lang w:val="en-US"/>
              </w:rPr>
              <w:t>ACT2</w:t>
            </w:r>
          </w:p>
        </w:tc>
        <w:tc>
          <w:tcPr>
            <w:tcW w:w="6046" w:type="dxa"/>
            <w:shd w:val="clear" w:color="auto" w:fill="auto"/>
          </w:tcPr>
          <w:p w14:paraId="1E4275F9" w14:textId="76B48F7F" w:rsidR="00AF4E87" w:rsidRPr="00AF4E87" w:rsidRDefault="00AF4E87" w:rsidP="003A61D7">
            <w:pPr>
              <w:contextualSpacing/>
              <w:rPr>
                <w:rFonts w:ascii="Arial" w:eastAsia="Calibri" w:hAnsi="Arial" w:cs="Arial"/>
                <w:sz w:val="24"/>
                <w:szCs w:val="24"/>
                <w:shd w:val="clear" w:color="auto" w:fill="FFFFFF"/>
                <w:lang w:val="en-US"/>
              </w:rPr>
            </w:pPr>
            <w:r w:rsidRPr="00AF4E87">
              <w:rPr>
                <w:rFonts w:ascii="Arial" w:eastAsia="Calibri" w:hAnsi="Arial" w:cs="Arial"/>
                <w:sz w:val="24"/>
                <w:szCs w:val="24"/>
                <w:shd w:val="clear" w:color="auto" w:fill="FFFFFF"/>
                <w:lang w:val="en-US"/>
              </w:rPr>
              <w:t>FW: CCCGGGTATGAAAGGACACAGA</w:t>
            </w:r>
          </w:p>
          <w:p w14:paraId="1FF400EF" w14:textId="6ED49DFF" w:rsidR="00AF4E87" w:rsidRPr="00AF4E87" w:rsidRDefault="00AF4E87" w:rsidP="003A61D7">
            <w:pPr>
              <w:contextualSpacing/>
              <w:rPr>
                <w:rFonts w:ascii="Arial" w:eastAsia="Calibri" w:hAnsi="Arial" w:cs="Arial"/>
                <w:sz w:val="24"/>
                <w:szCs w:val="24"/>
                <w:shd w:val="clear" w:color="auto" w:fill="FFFFFF"/>
                <w:lang w:val="en-US"/>
              </w:rPr>
            </w:pPr>
            <w:r w:rsidRPr="00AF4E87">
              <w:rPr>
                <w:rFonts w:ascii="Arial" w:eastAsia="Calibri" w:hAnsi="Arial" w:cs="Arial"/>
                <w:sz w:val="24"/>
                <w:szCs w:val="24"/>
                <w:shd w:val="clear" w:color="auto" w:fill="FFFFFF"/>
                <w:lang w:val="en-US"/>
              </w:rPr>
              <w:t>RV: AGACCGTTTTCACCCTTCAATC</w:t>
            </w:r>
          </w:p>
          <w:p w14:paraId="733F5339" w14:textId="73B763F0" w:rsidR="00AF4E87" w:rsidRPr="00AF4E87" w:rsidRDefault="00AF4E87" w:rsidP="003A61D7">
            <w:pPr>
              <w:contextualSpacing/>
              <w:rPr>
                <w:rFonts w:ascii="Arial" w:eastAsia="Calibri" w:hAnsi="Arial" w:cs="Arial"/>
                <w:sz w:val="24"/>
                <w:szCs w:val="24"/>
                <w:shd w:val="clear" w:color="auto" w:fill="FFFFFF"/>
                <w:lang w:val="en-US"/>
              </w:rPr>
            </w:pPr>
            <w:r>
              <w:rPr>
                <w:rFonts w:ascii="Arial" w:eastAsia="Calibri" w:hAnsi="Arial" w:cs="Arial"/>
                <w:sz w:val="24"/>
                <w:szCs w:val="24"/>
                <w:shd w:val="clear" w:color="auto" w:fill="FFFFFF"/>
                <w:lang w:val="en-US"/>
              </w:rPr>
              <w:t xml:space="preserve">FW: </w:t>
            </w:r>
            <w:r w:rsidRPr="00AF4E87">
              <w:rPr>
                <w:rFonts w:ascii="Arial" w:eastAsia="Calibri" w:hAnsi="Arial" w:cs="Arial"/>
                <w:sz w:val="24"/>
                <w:szCs w:val="24"/>
                <w:shd w:val="clear" w:color="auto" w:fill="FFFFFF"/>
                <w:lang w:val="en-US"/>
              </w:rPr>
              <w:t>GTGTGGGAGGAGGCATCAAA</w:t>
            </w:r>
          </w:p>
          <w:p w14:paraId="37B3131B" w14:textId="74477098" w:rsidR="00DD05C9" w:rsidRPr="00AF4E87" w:rsidRDefault="00AF4E87" w:rsidP="003A61D7">
            <w:pPr>
              <w:contextualSpacing/>
              <w:rPr>
                <w:rFonts w:ascii="Arial" w:eastAsia="Calibri" w:hAnsi="Arial" w:cs="Arial"/>
                <w:sz w:val="24"/>
                <w:szCs w:val="24"/>
                <w:shd w:val="clear" w:color="auto" w:fill="FFFFFF"/>
                <w:lang w:val="en-US"/>
              </w:rPr>
            </w:pPr>
            <w:r>
              <w:rPr>
                <w:rFonts w:ascii="Arial" w:eastAsia="Calibri" w:hAnsi="Arial" w:cs="Arial"/>
                <w:sz w:val="24"/>
                <w:szCs w:val="24"/>
                <w:shd w:val="clear" w:color="auto" w:fill="FFFFFF"/>
                <w:lang w:val="en-US"/>
              </w:rPr>
              <w:t xml:space="preserve">RV: </w:t>
            </w:r>
            <w:r w:rsidRPr="00AF4E87">
              <w:rPr>
                <w:rFonts w:ascii="Arial" w:eastAsia="Calibri" w:hAnsi="Arial" w:cs="Arial"/>
                <w:sz w:val="24"/>
                <w:szCs w:val="24"/>
                <w:shd w:val="clear" w:color="auto" w:fill="FFFFFF"/>
                <w:lang w:val="en-US"/>
              </w:rPr>
              <w:t>GGGGCATCTACACCAACTCG</w:t>
            </w:r>
          </w:p>
        </w:tc>
      </w:tr>
      <w:tr w:rsidR="00DD05C9" w:rsidRPr="00DD05C9" w14:paraId="36A4D547" w14:textId="77777777" w:rsidTr="007070DE">
        <w:trPr>
          <w:trHeight w:val="228"/>
        </w:trPr>
        <w:tc>
          <w:tcPr>
            <w:tcW w:w="1548" w:type="dxa"/>
            <w:tcBorders>
              <w:bottom w:val="single" w:sz="4" w:space="0" w:color="auto"/>
            </w:tcBorders>
            <w:shd w:val="clear" w:color="auto" w:fill="auto"/>
          </w:tcPr>
          <w:p w14:paraId="11605D0A" w14:textId="0DD13DAE" w:rsidR="00DD05C9" w:rsidRPr="00AF4E87" w:rsidRDefault="00DD05C9" w:rsidP="00DD05C9">
            <w:pPr>
              <w:contextualSpacing/>
              <w:jc w:val="both"/>
              <w:rPr>
                <w:rFonts w:ascii="Arial" w:eastAsia="Calibri" w:hAnsi="Arial" w:cs="Arial"/>
                <w:sz w:val="24"/>
                <w:szCs w:val="24"/>
                <w:shd w:val="clear" w:color="auto" w:fill="FFFFFF"/>
                <w:lang w:val="en-US"/>
              </w:rPr>
            </w:pPr>
          </w:p>
        </w:tc>
        <w:tc>
          <w:tcPr>
            <w:tcW w:w="6046" w:type="dxa"/>
            <w:tcBorders>
              <w:bottom w:val="single" w:sz="4" w:space="0" w:color="auto"/>
            </w:tcBorders>
            <w:shd w:val="clear" w:color="auto" w:fill="auto"/>
          </w:tcPr>
          <w:p w14:paraId="38DDF8F6" w14:textId="77777777" w:rsidR="00DD05C9" w:rsidRPr="00AF4E87" w:rsidRDefault="00DD05C9" w:rsidP="00DD05C9">
            <w:pPr>
              <w:contextualSpacing/>
              <w:jc w:val="both"/>
              <w:rPr>
                <w:rFonts w:ascii="Arial" w:eastAsia="Calibri" w:hAnsi="Arial" w:cs="Arial"/>
                <w:sz w:val="24"/>
                <w:szCs w:val="24"/>
                <w:shd w:val="clear" w:color="auto" w:fill="FFFFFF"/>
                <w:lang w:val="en-US"/>
              </w:rPr>
            </w:pPr>
          </w:p>
        </w:tc>
      </w:tr>
    </w:tbl>
    <w:p w14:paraId="6C96CB73" w14:textId="77777777" w:rsidR="00DD05C9" w:rsidRPr="00DD05C9" w:rsidRDefault="00DD05C9" w:rsidP="00DD05C9">
      <w:pPr>
        <w:spacing w:line="480" w:lineRule="auto"/>
        <w:contextualSpacing/>
        <w:jc w:val="both"/>
        <w:rPr>
          <w:rFonts w:ascii="Arial" w:eastAsia="Calibri" w:hAnsi="Arial" w:cs="Arial"/>
          <w:b/>
          <w:bCs/>
          <w:sz w:val="24"/>
          <w:szCs w:val="24"/>
          <w:shd w:val="clear" w:color="auto" w:fill="FFFFFF"/>
          <w:lang w:val="en-US"/>
        </w:rPr>
      </w:pPr>
    </w:p>
    <w:p w14:paraId="7007DFA1"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b/>
          <w:bCs/>
          <w:sz w:val="24"/>
          <w:szCs w:val="24"/>
          <w:shd w:val="clear" w:color="auto" w:fill="FFFFFF"/>
          <w:lang w:val="en-US"/>
        </w:rPr>
        <w:t>Supplementary Table 3:</w:t>
      </w:r>
      <w:r w:rsidRPr="00DD05C9">
        <w:rPr>
          <w:rFonts w:ascii="Arial" w:eastAsia="Calibri" w:hAnsi="Arial" w:cs="Arial"/>
          <w:sz w:val="24"/>
          <w:szCs w:val="24"/>
          <w:shd w:val="clear" w:color="auto" w:fill="FFFFFF"/>
          <w:lang w:val="en-US"/>
        </w:rPr>
        <w:t xml:space="preserve"> List of primary and secondary antibodies used in immunofluorescence and Western Blot and specification of working dilution.</w:t>
      </w:r>
    </w:p>
    <w:tbl>
      <w:tblPr>
        <w:tblW w:w="0" w:type="auto"/>
        <w:tblLook w:val="04A0" w:firstRow="1" w:lastRow="0" w:firstColumn="1" w:lastColumn="0" w:noHBand="0" w:noVBand="1"/>
      </w:tblPr>
      <w:tblGrid>
        <w:gridCol w:w="3036"/>
        <w:gridCol w:w="1168"/>
        <w:gridCol w:w="3633"/>
      </w:tblGrid>
      <w:tr w:rsidR="00DD05C9" w:rsidRPr="00DD05C9" w14:paraId="33420B1A" w14:textId="77777777" w:rsidTr="00DD05C9">
        <w:trPr>
          <w:trHeight w:val="261"/>
        </w:trPr>
        <w:tc>
          <w:tcPr>
            <w:tcW w:w="3036" w:type="dxa"/>
            <w:tcBorders>
              <w:top w:val="single" w:sz="4" w:space="0" w:color="auto"/>
              <w:bottom w:val="single" w:sz="4" w:space="0" w:color="auto"/>
            </w:tcBorders>
            <w:shd w:val="clear" w:color="auto" w:fill="auto"/>
            <w:hideMark/>
          </w:tcPr>
          <w:p w14:paraId="791B1035" w14:textId="77777777" w:rsidR="00DD05C9" w:rsidRPr="00DD05C9" w:rsidRDefault="00DD05C9" w:rsidP="00DD05C9">
            <w:pPr>
              <w:spacing w:after="0" w:line="240" w:lineRule="auto"/>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Antibody</w:t>
            </w:r>
          </w:p>
        </w:tc>
        <w:tc>
          <w:tcPr>
            <w:tcW w:w="1168" w:type="dxa"/>
            <w:tcBorders>
              <w:top w:val="single" w:sz="4" w:space="0" w:color="auto"/>
              <w:bottom w:val="single" w:sz="4" w:space="0" w:color="auto"/>
            </w:tcBorders>
            <w:shd w:val="clear" w:color="auto" w:fill="auto"/>
            <w:hideMark/>
          </w:tcPr>
          <w:p w14:paraId="1E49B0AD" w14:textId="77777777" w:rsidR="00DD05C9" w:rsidRPr="00DD05C9" w:rsidRDefault="00DD05C9" w:rsidP="00DD05C9">
            <w:pPr>
              <w:spacing w:after="0" w:line="240" w:lineRule="auto"/>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Dilution</w:t>
            </w:r>
          </w:p>
        </w:tc>
        <w:tc>
          <w:tcPr>
            <w:tcW w:w="3633" w:type="dxa"/>
            <w:tcBorders>
              <w:top w:val="single" w:sz="4" w:space="0" w:color="auto"/>
              <w:bottom w:val="single" w:sz="4" w:space="0" w:color="auto"/>
            </w:tcBorders>
            <w:shd w:val="clear" w:color="auto" w:fill="auto"/>
            <w:hideMark/>
          </w:tcPr>
          <w:p w14:paraId="0C0B9439" w14:textId="77777777" w:rsidR="00DD05C9" w:rsidRPr="00DD05C9" w:rsidRDefault="00DD05C9" w:rsidP="00DD05C9">
            <w:pPr>
              <w:spacing w:after="0" w:line="240" w:lineRule="auto"/>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Reference</w:t>
            </w:r>
          </w:p>
        </w:tc>
      </w:tr>
      <w:tr w:rsidR="00DD05C9" w:rsidRPr="00DD05C9" w14:paraId="623D1CFA" w14:textId="77777777" w:rsidTr="00DD05C9">
        <w:trPr>
          <w:trHeight w:val="245"/>
        </w:trPr>
        <w:tc>
          <w:tcPr>
            <w:tcW w:w="3036" w:type="dxa"/>
            <w:tcBorders>
              <w:top w:val="single" w:sz="4" w:space="0" w:color="auto"/>
            </w:tcBorders>
            <w:shd w:val="clear" w:color="auto" w:fill="auto"/>
          </w:tcPr>
          <w:p w14:paraId="07B0A75C" w14:textId="77777777" w:rsidR="00DD05C9" w:rsidRPr="00DD05C9" w:rsidRDefault="00DD05C9" w:rsidP="00DD05C9">
            <w:pPr>
              <w:spacing w:after="0" w:line="240" w:lineRule="auto"/>
              <w:contextualSpacing/>
              <w:jc w:val="both"/>
              <w:rPr>
                <w:rFonts w:ascii="Arial" w:eastAsia="Calibri" w:hAnsi="Arial" w:cs="Arial"/>
                <w:i/>
                <w:sz w:val="24"/>
                <w:szCs w:val="24"/>
                <w:shd w:val="clear" w:color="auto" w:fill="FFFFFF"/>
                <w:lang w:val="en-US"/>
              </w:rPr>
            </w:pPr>
            <w:r w:rsidRPr="00DD05C9">
              <w:rPr>
                <w:rFonts w:ascii="Arial" w:eastAsia="Calibri" w:hAnsi="Arial" w:cs="Arial"/>
                <w:i/>
                <w:sz w:val="24"/>
                <w:szCs w:val="24"/>
                <w:shd w:val="clear" w:color="auto" w:fill="FFFFFF"/>
                <w:lang w:val="en-US"/>
              </w:rPr>
              <w:t>Western Blot</w:t>
            </w:r>
          </w:p>
        </w:tc>
        <w:tc>
          <w:tcPr>
            <w:tcW w:w="1168" w:type="dxa"/>
            <w:tcBorders>
              <w:top w:val="single" w:sz="4" w:space="0" w:color="auto"/>
            </w:tcBorders>
            <w:shd w:val="clear" w:color="auto" w:fill="auto"/>
          </w:tcPr>
          <w:p w14:paraId="1F112FC4"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p>
        </w:tc>
        <w:tc>
          <w:tcPr>
            <w:tcW w:w="3633" w:type="dxa"/>
            <w:tcBorders>
              <w:top w:val="single" w:sz="4" w:space="0" w:color="auto"/>
            </w:tcBorders>
            <w:shd w:val="clear" w:color="auto" w:fill="auto"/>
          </w:tcPr>
          <w:p w14:paraId="716246A5"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p>
        </w:tc>
      </w:tr>
      <w:tr w:rsidR="00DD05C9" w:rsidRPr="00DD05C9" w14:paraId="29843E55" w14:textId="77777777" w:rsidTr="00DD05C9">
        <w:trPr>
          <w:trHeight w:val="245"/>
        </w:trPr>
        <w:tc>
          <w:tcPr>
            <w:tcW w:w="3036" w:type="dxa"/>
            <w:shd w:val="clear" w:color="auto" w:fill="auto"/>
          </w:tcPr>
          <w:p w14:paraId="5D8D9888"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Rabbit anti-BAX</w:t>
            </w:r>
          </w:p>
        </w:tc>
        <w:tc>
          <w:tcPr>
            <w:tcW w:w="1168" w:type="dxa"/>
            <w:shd w:val="clear" w:color="auto" w:fill="auto"/>
          </w:tcPr>
          <w:p w14:paraId="1C2180F6"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1:1000</w:t>
            </w:r>
          </w:p>
        </w:tc>
        <w:tc>
          <w:tcPr>
            <w:tcW w:w="3633" w:type="dxa"/>
            <w:shd w:val="clear" w:color="auto" w:fill="auto"/>
          </w:tcPr>
          <w:p w14:paraId="4C5D11E4"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Cell Signaling, 2772S</w:t>
            </w:r>
          </w:p>
        </w:tc>
      </w:tr>
      <w:tr w:rsidR="00DD05C9" w:rsidRPr="00DD05C9" w14:paraId="284AD5AA" w14:textId="77777777" w:rsidTr="00DD05C9">
        <w:trPr>
          <w:trHeight w:val="261"/>
        </w:trPr>
        <w:tc>
          <w:tcPr>
            <w:tcW w:w="3036" w:type="dxa"/>
            <w:shd w:val="clear" w:color="auto" w:fill="auto"/>
          </w:tcPr>
          <w:p w14:paraId="515808F0"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Mouse anti-GAPDH</w:t>
            </w:r>
          </w:p>
        </w:tc>
        <w:tc>
          <w:tcPr>
            <w:tcW w:w="1168" w:type="dxa"/>
            <w:shd w:val="clear" w:color="auto" w:fill="auto"/>
          </w:tcPr>
          <w:p w14:paraId="395BB2A9"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1:2000</w:t>
            </w:r>
          </w:p>
        </w:tc>
        <w:tc>
          <w:tcPr>
            <w:tcW w:w="3633" w:type="dxa"/>
            <w:shd w:val="clear" w:color="auto" w:fill="auto"/>
          </w:tcPr>
          <w:p w14:paraId="0DE1BE36"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 xml:space="preserve">Abcam, ab8245 </w:t>
            </w:r>
          </w:p>
        </w:tc>
      </w:tr>
      <w:tr w:rsidR="00DD05C9" w:rsidRPr="00DD05C9" w14:paraId="22DCFCE1" w14:textId="77777777" w:rsidTr="00DD05C9">
        <w:trPr>
          <w:trHeight w:val="261"/>
        </w:trPr>
        <w:tc>
          <w:tcPr>
            <w:tcW w:w="3036" w:type="dxa"/>
            <w:shd w:val="clear" w:color="auto" w:fill="auto"/>
          </w:tcPr>
          <w:p w14:paraId="59F3AF80"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 xml:space="preserve">Rabbit anti-BCL-XL </w:t>
            </w:r>
          </w:p>
        </w:tc>
        <w:tc>
          <w:tcPr>
            <w:tcW w:w="1168" w:type="dxa"/>
            <w:shd w:val="clear" w:color="auto" w:fill="auto"/>
          </w:tcPr>
          <w:p w14:paraId="74A0AC0C"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1:1000</w:t>
            </w:r>
          </w:p>
        </w:tc>
        <w:tc>
          <w:tcPr>
            <w:tcW w:w="3633" w:type="dxa"/>
            <w:shd w:val="clear" w:color="auto" w:fill="auto"/>
          </w:tcPr>
          <w:p w14:paraId="52F52D70"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Cell Signaling, 2762</w:t>
            </w:r>
          </w:p>
        </w:tc>
      </w:tr>
      <w:tr w:rsidR="00DD05C9" w:rsidRPr="00DD05C9" w14:paraId="53A01D8E" w14:textId="77777777" w:rsidTr="00DD05C9">
        <w:trPr>
          <w:trHeight w:val="245"/>
        </w:trPr>
        <w:tc>
          <w:tcPr>
            <w:tcW w:w="3036" w:type="dxa"/>
            <w:shd w:val="clear" w:color="auto" w:fill="auto"/>
          </w:tcPr>
          <w:p w14:paraId="12DDF964"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Rabbit anti-BCL-2</w:t>
            </w:r>
          </w:p>
        </w:tc>
        <w:tc>
          <w:tcPr>
            <w:tcW w:w="1168" w:type="dxa"/>
            <w:shd w:val="clear" w:color="auto" w:fill="auto"/>
          </w:tcPr>
          <w:p w14:paraId="68B526E6"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1:300</w:t>
            </w:r>
          </w:p>
        </w:tc>
        <w:tc>
          <w:tcPr>
            <w:tcW w:w="3633" w:type="dxa"/>
            <w:shd w:val="clear" w:color="auto" w:fill="auto"/>
          </w:tcPr>
          <w:p w14:paraId="08A240E4"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Abcam, ab59348</w:t>
            </w:r>
          </w:p>
        </w:tc>
      </w:tr>
      <w:tr w:rsidR="00DD05C9" w:rsidRPr="00DD05C9" w14:paraId="50B604B0" w14:textId="77777777" w:rsidTr="00DD05C9">
        <w:trPr>
          <w:trHeight w:val="261"/>
        </w:trPr>
        <w:tc>
          <w:tcPr>
            <w:tcW w:w="3036" w:type="dxa"/>
            <w:shd w:val="clear" w:color="auto" w:fill="auto"/>
          </w:tcPr>
          <w:p w14:paraId="409AA94D"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Rabbit anti-Caspase 3</w:t>
            </w:r>
          </w:p>
        </w:tc>
        <w:tc>
          <w:tcPr>
            <w:tcW w:w="1168" w:type="dxa"/>
            <w:shd w:val="clear" w:color="auto" w:fill="auto"/>
          </w:tcPr>
          <w:p w14:paraId="085DCB37"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1:1000</w:t>
            </w:r>
          </w:p>
        </w:tc>
        <w:tc>
          <w:tcPr>
            <w:tcW w:w="3633" w:type="dxa"/>
            <w:shd w:val="clear" w:color="auto" w:fill="auto"/>
          </w:tcPr>
          <w:p w14:paraId="1149A119" w14:textId="77777777" w:rsidR="00DD05C9" w:rsidRPr="00DD05C9" w:rsidRDefault="00DD05C9" w:rsidP="00DD05C9">
            <w:pPr>
              <w:spacing w:after="0" w:line="240" w:lineRule="auto"/>
              <w:contextualSpacing/>
              <w:jc w:val="both"/>
              <w:rPr>
                <w:rFonts w:ascii="Arial" w:eastAsia="Calibri" w:hAnsi="Arial" w:cs="Arial"/>
                <w:sz w:val="24"/>
                <w:szCs w:val="24"/>
                <w:highlight w:val="yellow"/>
                <w:shd w:val="clear" w:color="auto" w:fill="FFFFFF"/>
                <w:lang w:val="en-US"/>
              </w:rPr>
            </w:pPr>
            <w:r w:rsidRPr="00DD05C9">
              <w:rPr>
                <w:rFonts w:ascii="Arial" w:eastAsia="Calibri" w:hAnsi="Arial" w:cs="Arial"/>
                <w:sz w:val="24"/>
                <w:szCs w:val="24"/>
                <w:shd w:val="clear" w:color="auto" w:fill="FFFFFF"/>
                <w:lang w:val="en-US"/>
              </w:rPr>
              <w:t>Cell Signaling, 9664</w:t>
            </w:r>
          </w:p>
        </w:tc>
      </w:tr>
      <w:tr w:rsidR="00DD05C9" w:rsidRPr="00DD05C9" w14:paraId="26CF8960" w14:textId="77777777" w:rsidTr="00DD05C9">
        <w:trPr>
          <w:trHeight w:val="245"/>
        </w:trPr>
        <w:tc>
          <w:tcPr>
            <w:tcW w:w="3036" w:type="dxa"/>
            <w:shd w:val="clear" w:color="auto" w:fill="auto"/>
          </w:tcPr>
          <w:p w14:paraId="71DEAE26" w14:textId="77777777" w:rsidR="00DD05C9" w:rsidRPr="00DD05C9" w:rsidRDefault="00DD05C9" w:rsidP="00DD05C9">
            <w:pPr>
              <w:spacing w:after="0" w:line="240" w:lineRule="auto"/>
              <w:contextualSpacing/>
              <w:jc w:val="both"/>
              <w:rPr>
                <w:rFonts w:ascii="Arial" w:eastAsia="Calibri" w:hAnsi="Arial" w:cs="Arial"/>
                <w:i/>
                <w:sz w:val="24"/>
                <w:szCs w:val="24"/>
                <w:shd w:val="clear" w:color="auto" w:fill="FFFFFF"/>
                <w:lang w:val="en-US"/>
              </w:rPr>
            </w:pPr>
            <w:r w:rsidRPr="00DD05C9">
              <w:rPr>
                <w:rFonts w:ascii="Arial" w:eastAsia="Calibri" w:hAnsi="Arial" w:cs="Arial"/>
                <w:i/>
                <w:sz w:val="24"/>
                <w:szCs w:val="24"/>
                <w:shd w:val="clear" w:color="auto" w:fill="FFFFFF"/>
                <w:lang w:val="en-US"/>
              </w:rPr>
              <w:t>Immunofluorescence</w:t>
            </w:r>
          </w:p>
        </w:tc>
        <w:tc>
          <w:tcPr>
            <w:tcW w:w="1168" w:type="dxa"/>
            <w:shd w:val="clear" w:color="auto" w:fill="auto"/>
          </w:tcPr>
          <w:p w14:paraId="06CBDC52"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p>
        </w:tc>
        <w:tc>
          <w:tcPr>
            <w:tcW w:w="3633" w:type="dxa"/>
            <w:shd w:val="clear" w:color="auto" w:fill="auto"/>
          </w:tcPr>
          <w:p w14:paraId="55CFFAA6"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p>
        </w:tc>
      </w:tr>
      <w:tr w:rsidR="00DD05C9" w:rsidRPr="00DD05C9" w14:paraId="6B099241" w14:textId="77777777" w:rsidTr="00DD05C9">
        <w:trPr>
          <w:trHeight w:val="245"/>
        </w:trPr>
        <w:tc>
          <w:tcPr>
            <w:tcW w:w="3036" w:type="dxa"/>
            <w:shd w:val="clear" w:color="auto" w:fill="auto"/>
          </w:tcPr>
          <w:p w14:paraId="02D5DDE7"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Mouse anti-CD68</w:t>
            </w:r>
          </w:p>
        </w:tc>
        <w:tc>
          <w:tcPr>
            <w:tcW w:w="1168" w:type="dxa"/>
            <w:shd w:val="clear" w:color="auto" w:fill="auto"/>
          </w:tcPr>
          <w:p w14:paraId="61AE98F8"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w:t>
            </w:r>
          </w:p>
        </w:tc>
        <w:tc>
          <w:tcPr>
            <w:tcW w:w="3633" w:type="dxa"/>
            <w:shd w:val="clear" w:color="auto" w:fill="auto"/>
          </w:tcPr>
          <w:p w14:paraId="022F48D4"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Bio-rad, MCA341GA</w:t>
            </w:r>
          </w:p>
        </w:tc>
      </w:tr>
      <w:tr w:rsidR="00DD05C9" w:rsidRPr="00DD05C9" w14:paraId="42DA95C8" w14:textId="77777777" w:rsidTr="00DD05C9">
        <w:trPr>
          <w:trHeight w:val="245"/>
        </w:trPr>
        <w:tc>
          <w:tcPr>
            <w:tcW w:w="3036" w:type="dxa"/>
            <w:shd w:val="clear" w:color="auto" w:fill="auto"/>
          </w:tcPr>
          <w:p w14:paraId="693CAC04"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Mouse anti-pH2AX</w:t>
            </w:r>
          </w:p>
        </w:tc>
        <w:tc>
          <w:tcPr>
            <w:tcW w:w="1168" w:type="dxa"/>
            <w:shd w:val="clear" w:color="auto" w:fill="auto"/>
          </w:tcPr>
          <w:p w14:paraId="57A015A8"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1:1250</w:t>
            </w:r>
          </w:p>
        </w:tc>
        <w:tc>
          <w:tcPr>
            <w:tcW w:w="3633" w:type="dxa"/>
            <w:shd w:val="clear" w:color="auto" w:fill="auto"/>
          </w:tcPr>
          <w:p w14:paraId="336B9FB4"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Merck Millipore, 05-636</w:t>
            </w:r>
          </w:p>
        </w:tc>
      </w:tr>
      <w:tr w:rsidR="00DD05C9" w:rsidRPr="00DD05C9" w14:paraId="6C55A5A6" w14:textId="77777777" w:rsidTr="00DD05C9">
        <w:trPr>
          <w:trHeight w:val="261"/>
        </w:trPr>
        <w:tc>
          <w:tcPr>
            <w:tcW w:w="3036" w:type="dxa"/>
            <w:shd w:val="clear" w:color="auto" w:fill="auto"/>
          </w:tcPr>
          <w:p w14:paraId="56B0E7E1"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Isolectin B4, DyLight 592</w:t>
            </w:r>
          </w:p>
        </w:tc>
        <w:tc>
          <w:tcPr>
            <w:tcW w:w="1168" w:type="dxa"/>
            <w:shd w:val="clear" w:color="auto" w:fill="auto"/>
          </w:tcPr>
          <w:p w14:paraId="5BBC94DA"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1:250</w:t>
            </w:r>
          </w:p>
        </w:tc>
        <w:tc>
          <w:tcPr>
            <w:tcW w:w="3633" w:type="dxa"/>
            <w:shd w:val="clear" w:color="auto" w:fill="auto"/>
          </w:tcPr>
          <w:p w14:paraId="6CA76189"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Vector Laboratories, DL-1207</w:t>
            </w:r>
          </w:p>
        </w:tc>
      </w:tr>
      <w:tr w:rsidR="00DD05C9" w:rsidRPr="00A42E78" w14:paraId="272D5ED7" w14:textId="77777777" w:rsidTr="00DD05C9">
        <w:trPr>
          <w:trHeight w:val="506"/>
        </w:trPr>
        <w:tc>
          <w:tcPr>
            <w:tcW w:w="3036" w:type="dxa"/>
            <w:shd w:val="clear" w:color="auto" w:fill="auto"/>
          </w:tcPr>
          <w:p w14:paraId="2CC0CC43"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Mouse anti-Troponin T</w:t>
            </w:r>
          </w:p>
        </w:tc>
        <w:tc>
          <w:tcPr>
            <w:tcW w:w="1168" w:type="dxa"/>
            <w:shd w:val="clear" w:color="auto" w:fill="auto"/>
          </w:tcPr>
          <w:p w14:paraId="7B690306"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1:50</w:t>
            </w:r>
          </w:p>
        </w:tc>
        <w:tc>
          <w:tcPr>
            <w:tcW w:w="3633" w:type="dxa"/>
            <w:shd w:val="clear" w:color="auto" w:fill="auto"/>
          </w:tcPr>
          <w:p w14:paraId="06A5F179"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Thermo Fischer Scientific, MS-295-P</w:t>
            </w:r>
          </w:p>
        </w:tc>
      </w:tr>
      <w:tr w:rsidR="00DD05C9" w:rsidRPr="00DD05C9" w14:paraId="0E33F29C" w14:textId="77777777" w:rsidTr="00DD05C9">
        <w:trPr>
          <w:trHeight w:val="769"/>
        </w:trPr>
        <w:tc>
          <w:tcPr>
            <w:tcW w:w="3036" w:type="dxa"/>
            <w:shd w:val="clear" w:color="auto" w:fill="auto"/>
          </w:tcPr>
          <w:p w14:paraId="129C1435"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Wheat germ agglutinin, Alexa Fluor™ 647 Conjugate</w:t>
            </w:r>
          </w:p>
        </w:tc>
        <w:tc>
          <w:tcPr>
            <w:tcW w:w="1168" w:type="dxa"/>
            <w:shd w:val="clear" w:color="auto" w:fill="auto"/>
          </w:tcPr>
          <w:p w14:paraId="08BFEE47"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10 μg/mL</w:t>
            </w:r>
          </w:p>
        </w:tc>
        <w:tc>
          <w:tcPr>
            <w:tcW w:w="3633" w:type="dxa"/>
            <w:shd w:val="clear" w:color="auto" w:fill="auto"/>
          </w:tcPr>
          <w:p w14:paraId="4624D609"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Thermo Fischer Scientific, W32466</w:t>
            </w:r>
          </w:p>
        </w:tc>
      </w:tr>
      <w:tr w:rsidR="00DD05C9" w:rsidRPr="00DD05C9" w14:paraId="74D21DCE" w14:textId="77777777" w:rsidTr="00DD05C9">
        <w:trPr>
          <w:trHeight w:val="784"/>
        </w:trPr>
        <w:tc>
          <w:tcPr>
            <w:tcW w:w="3036" w:type="dxa"/>
            <w:shd w:val="clear" w:color="auto" w:fill="auto"/>
          </w:tcPr>
          <w:p w14:paraId="79EF0E41"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Alexa Fluor 488 IgG (H+L) donkey anti-mouse</w:t>
            </w:r>
          </w:p>
        </w:tc>
        <w:tc>
          <w:tcPr>
            <w:tcW w:w="1168" w:type="dxa"/>
            <w:shd w:val="clear" w:color="auto" w:fill="auto"/>
          </w:tcPr>
          <w:p w14:paraId="6302CDAB"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1:500</w:t>
            </w:r>
          </w:p>
        </w:tc>
        <w:tc>
          <w:tcPr>
            <w:tcW w:w="3633" w:type="dxa"/>
            <w:shd w:val="clear" w:color="auto" w:fill="auto"/>
          </w:tcPr>
          <w:p w14:paraId="7D991546"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Life Technologies, A-21202</w:t>
            </w:r>
          </w:p>
        </w:tc>
      </w:tr>
      <w:tr w:rsidR="00DD05C9" w:rsidRPr="00DD05C9" w14:paraId="2D6A7908" w14:textId="77777777" w:rsidTr="00DD05C9">
        <w:trPr>
          <w:trHeight w:val="506"/>
        </w:trPr>
        <w:tc>
          <w:tcPr>
            <w:tcW w:w="3036" w:type="dxa"/>
            <w:shd w:val="clear" w:color="auto" w:fill="auto"/>
          </w:tcPr>
          <w:p w14:paraId="3BCE5FF2"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Alexa Fluor IgG 633 goat anti-rabbit</w:t>
            </w:r>
          </w:p>
        </w:tc>
        <w:tc>
          <w:tcPr>
            <w:tcW w:w="1168" w:type="dxa"/>
            <w:shd w:val="clear" w:color="auto" w:fill="auto"/>
          </w:tcPr>
          <w:p w14:paraId="7743A758"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1:500</w:t>
            </w:r>
          </w:p>
        </w:tc>
        <w:tc>
          <w:tcPr>
            <w:tcW w:w="3633" w:type="dxa"/>
            <w:shd w:val="clear" w:color="auto" w:fill="auto"/>
          </w:tcPr>
          <w:p w14:paraId="7977D267"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Life Technologies, A-21070</w:t>
            </w:r>
          </w:p>
          <w:p w14:paraId="04CFA7F1"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p>
        </w:tc>
      </w:tr>
      <w:tr w:rsidR="00DD05C9" w:rsidRPr="00DD05C9" w14:paraId="2F68BAA7" w14:textId="77777777" w:rsidTr="00DD05C9">
        <w:trPr>
          <w:trHeight w:val="245"/>
        </w:trPr>
        <w:tc>
          <w:tcPr>
            <w:tcW w:w="3036" w:type="dxa"/>
            <w:tcBorders>
              <w:bottom w:val="single" w:sz="4" w:space="0" w:color="auto"/>
            </w:tcBorders>
            <w:shd w:val="clear" w:color="auto" w:fill="auto"/>
          </w:tcPr>
          <w:p w14:paraId="68B1EF63"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Goat anti mouse 594</w:t>
            </w:r>
          </w:p>
        </w:tc>
        <w:tc>
          <w:tcPr>
            <w:tcW w:w="1168" w:type="dxa"/>
            <w:tcBorders>
              <w:bottom w:val="single" w:sz="4" w:space="0" w:color="auto"/>
            </w:tcBorders>
            <w:shd w:val="clear" w:color="auto" w:fill="auto"/>
          </w:tcPr>
          <w:p w14:paraId="0D398DBF"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1:1000</w:t>
            </w:r>
          </w:p>
        </w:tc>
        <w:tc>
          <w:tcPr>
            <w:tcW w:w="3633" w:type="dxa"/>
            <w:tcBorders>
              <w:bottom w:val="single" w:sz="4" w:space="0" w:color="auto"/>
            </w:tcBorders>
            <w:shd w:val="clear" w:color="auto" w:fill="auto"/>
          </w:tcPr>
          <w:p w14:paraId="73FF97A0" w14:textId="77777777" w:rsidR="00DD05C9" w:rsidRPr="00DD05C9" w:rsidRDefault="00DD05C9" w:rsidP="00DD05C9">
            <w:pPr>
              <w:spacing w:after="0" w:line="240" w:lineRule="auto"/>
              <w:contextualSpacing/>
              <w:jc w:val="both"/>
              <w:rPr>
                <w:rFonts w:ascii="Arial" w:eastAsia="Calibri" w:hAnsi="Arial" w:cs="Arial"/>
                <w:sz w:val="24"/>
                <w:szCs w:val="24"/>
                <w:shd w:val="clear" w:color="auto" w:fill="FFFFFF"/>
                <w:lang w:val="en-US"/>
              </w:rPr>
            </w:pPr>
          </w:p>
        </w:tc>
      </w:tr>
    </w:tbl>
    <w:p w14:paraId="5FCD774D"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US"/>
        </w:rPr>
      </w:pPr>
    </w:p>
    <w:p w14:paraId="6866AE9F" w14:textId="77777777" w:rsidR="00DD05C9" w:rsidRPr="00DD05C9" w:rsidRDefault="00DD05C9" w:rsidP="00DD05C9">
      <w:pPr>
        <w:spacing w:line="480" w:lineRule="auto"/>
        <w:contextualSpacing/>
        <w:jc w:val="both"/>
        <w:rPr>
          <w:rFonts w:ascii="Arial" w:eastAsia="Calibri" w:hAnsi="Arial" w:cs="Arial"/>
          <w:sz w:val="24"/>
          <w:szCs w:val="24"/>
          <w:shd w:val="clear" w:color="auto" w:fill="FFFFFF"/>
          <w:lang w:val="en-US"/>
        </w:rPr>
      </w:pPr>
      <w:r w:rsidRPr="00DD05C9">
        <w:rPr>
          <w:rFonts w:ascii="Arial" w:eastAsia="Calibri" w:hAnsi="Arial" w:cs="Arial"/>
          <w:b/>
          <w:sz w:val="24"/>
          <w:szCs w:val="24"/>
          <w:shd w:val="clear" w:color="auto" w:fill="FFFFFF"/>
          <w:lang w:val="en-US"/>
        </w:rPr>
        <w:t>Supplementary Table 4:</w:t>
      </w:r>
      <w:r w:rsidRPr="00DD05C9">
        <w:rPr>
          <w:rFonts w:ascii="Arial" w:eastAsia="Calibri" w:hAnsi="Arial" w:cs="Arial"/>
          <w:sz w:val="24"/>
          <w:szCs w:val="24"/>
          <w:shd w:val="clear" w:color="auto" w:fill="FFFFFF"/>
          <w:lang w:val="en-US"/>
        </w:rPr>
        <w:t xml:space="preserve"> List of buffers and media </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4394"/>
      </w:tblGrid>
      <w:tr w:rsidR="00DD05C9" w:rsidRPr="00DD05C9" w14:paraId="6996F072" w14:textId="77777777" w:rsidTr="007070DE">
        <w:trPr>
          <w:jc w:val="center"/>
        </w:trPr>
        <w:tc>
          <w:tcPr>
            <w:tcW w:w="3403" w:type="dxa"/>
            <w:tcBorders>
              <w:top w:val="single" w:sz="4" w:space="0" w:color="auto"/>
              <w:bottom w:val="single" w:sz="4" w:space="0" w:color="auto"/>
            </w:tcBorders>
            <w:shd w:val="clear" w:color="auto" w:fill="auto"/>
          </w:tcPr>
          <w:p w14:paraId="4645E7F2" w14:textId="77777777" w:rsidR="00DD05C9" w:rsidRPr="00DD05C9" w:rsidRDefault="00DD05C9" w:rsidP="00DD05C9">
            <w:pPr>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Buffer or Medium</w:t>
            </w:r>
          </w:p>
        </w:tc>
        <w:tc>
          <w:tcPr>
            <w:tcW w:w="4394" w:type="dxa"/>
            <w:tcBorders>
              <w:top w:val="single" w:sz="4" w:space="0" w:color="auto"/>
              <w:bottom w:val="single" w:sz="4" w:space="0" w:color="auto"/>
            </w:tcBorders>
            <w:shd w:val="clear" w:color="auto" w:fill="auto"/>
          </w:tcPr>
          <w:p w14:paraId="02E0151F" w14:textId="77777777" w:rsidR="00DD05C9" w:rsidRPr="00DD05C9" w:rsidRDefault="00DD05C9" w:rsidP="00DD05C9">
            <w:pPr>
              <w:contextualSpacing/>
              <w:jc w:val="both"/>
              <w:rPr>
                <w:rFonts w:ascii="Arial" w:eastAsia="Calibri" w:hAnsi="Arial" w:cs="Arial"/>
                <w:b/>
                <w:sz w:val="24"/>
                <w:szCs w:val="24"/>
                <w:shd w:val="clear" w:color="auto" w:fill="FFFFFF"/>
                <w:lang w:val="en-US"/>
              </w:rPr>
            </w:pPr>
            <w:r w:rsidRPr="00DD05C9">
              <w:rPr>
                <w:rFonts w:ascii="Arial" w:eastAsia="Calibri" w:hAnsi="Arial" w:cs="Arial"/>
                <w:b/>
                <w:sz w:val="24"/>
                <w:szCs w:val="24"/>
                <w:shd w:val="clear" w:color="auto" w:fill="FFFFFF"/>
                <w:lang w:val="en-US"/>
              </w:rPr>
              <w:t>Composition</w:t>
            </w:r>
          </w:p>
        </w:tc>
      </w:tr>
      <w:tr w:rsidR="00DD05C9" w:rsidRPr="00A42E78" w14:paraId="767E6371" w14:textId="77777777" w:rsidTr="007070DE">
        <w:trPr>
          <w:jc w:val="center"/>
        </w:trPr>
        <w:tc>
          <w:tcPr>
            <w:tcW w:w="3403" w:type="dxa"/>
            <w:tcBorders>
              <w:top w:val="single" w:sz="4" w:space="0" w:color="auto"/>
            </w:tcBorders>
          </w:tcPr>
          <w:p w14:paraId="5E93295F"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RBCs lysis buffer</w:t>
            </w:r>
          </w:p>
        </w:tc>
        <w:tc>
          <w:tcPr>
            <w:tcW w:w="4394" w:type="dxa"/>
            <w:tcBorders>
              <w:top w:val="single" w:sz="4" w:space="0" w:color="auto"/>
            </w:tcBorders>
          </w:tcPr>
          <w:p w14:paraId="4EA6F7D4" w14:textId="77777777"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NH4Cl 0.15 M in Tris 0.1 M</w:t>
            </w:r>
          </w:p>
        </w:tc>
      </w:tr>
      <w:tr w:rsidR="00DD05C9" w:rsidRPr="00A42E78" w14:paraId="5686EE92" w14:textId="77777777" w:rsidTr="007070DE">
        <w:trPr>
          <w:jc w:val="center"/>
        </w:trPr>
        <w:tc>
          <w:tcPr>
            <w:tcW w:w="3403" w:type="dxa"/>
          </w:tcPr>
          <w:p w14:paraId="69B9E7AD" w14:textId="77777777"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FACS medium</w:t>
            </w:r>
          </w:p>
        </w:tc>
        <w:tc>
          <w:tcPr>
            <w:tcW w:w="4394" w:type="dxa"/>
          </w:tcPr>
          <w:p w14:paraId="1BF9BAFB" w14:textId="44550A52"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sodium azide 0.01 M, 3</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 FBS in PBS</w:t>
            </w:r>
          </w:p>
        </w:tc>
      </w:tr>
      <w:tr w:rsidR="00DD05C9" w:rsidRPr="00A42E78" w14:paraId="31948124" w14:textId="77777777" w:rsidTr="007070DE">
        <w:trPr>
          <w:jc w:val="center"/>
        </w:trPr>
        <w:tc>
          <w:tcPr>
            <w:tcW w:w="3403" w:type="dxa"/>
          </w:tcPr>
          <w:p w14:paraId="117B4A82"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Staining medium (SA-β-gal detection)</w:t>
            </w:r>
          </w:p>
        </w:tc>
        <w:tc>
          <w:tcPr>
            <w:tcW w:w="4394" w:type="dxa"/>
          </w:tcPr>
          <w:p w14:paraId="41E60D2E" w14:textId="0D79D285"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4</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(v/v), 0.01M HEPES in PBS pH=7.2</w:t>
            </w:r>
          </w:p>
        </w:tc>
      </w:tr>
      <w:tr w:rsidR="00DD05C9" w:rsidRPr="00A42E78" w14:paraId="16D8D350" w14:textId="77777777" w:rsidTr="007070DE">
        <w:trPr>
          <w:jc w:val="center"/>
        </w:trPr>
        <w:tc>
          <w:tcPr>
            <w:tcW w:w="3403" w:type="dxa"/>
          </w:tcPr>
          <w:p w14:paraId="292B1D58"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lastRenderedPageBreak/>
              <w:t>RIPA buffer</w:t>
            </w:r>
          </w:p>
        </w:tc>
        <w:tc>
          <w:tcPr>
            <w:tcW w:w="4394" w:type="dxa"/>
          </w:tcPr>
          <w:p w14:paraId="76117595" w14:textId="79078AA8"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50 mM Tris HCl pH 8, 150 mM NaCl, 1% NP-40, 0.5</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 sodium deoxycholate and 0.1</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 SDS</w:t>
            </w:r>
          </w:p>
        </w:tc>
      </w:tr>
      <w:tr w:rsidR="00DD05C9" w:rsidRPr="00A42E78" w14:paraId="271658CA" w14:textId="77777777" w:rsidTr="007070DE">
        <w:trPr>
          <w:jc w:val="center"/>
        </w:trPr>
        <w:tc>
          <w:tcPr>
            <w:tcW w:w="3403" w:type="dxa"/>
          </w:tcPr>
          <w:p w14:paraId="172F530C" w14:textId="77777777"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Laemmli Buffer 4x</w:t>
            </w:r>
          </w:p>
        </w:tc>
        <w:tc>
          <w:tcPr>
            <w:tcW w:w="4394" w:type="dxa"/>
          </w:tcPr>
          <w:p w14:paraId="0D91A291" w14:textId="0462F69E"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8</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 SDS, 20</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 glycerol, 0.004</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 bromophenol blue and 100 mM Tris-HCl, pH 7.4</w:t>
            </w:r>
          </w:p>
        </w:tc>
      </w:tr>
      <w:tr w:rsidR="00DD05C9" w:rsidRPr="00DD05C9" w14:paraId="2A4DA961" w14:textId="77777777" w:rsidTr="007070DE">
        <w:trPr>
          <w:jc w:val="center"/>
        </w:trPr>
        <w:tc>
          <w:tcPr>
            <w:tcW w:w="3403" w:type="dxa"/>
          </w:tcPr>
          <w:p w14:paraId="1F58F522"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Sodium citrate buffer</w:t>
            </w:r>
          </w:p>
        </w:tc>
        <w:tc>
          <w:tcPr>
            <w:tcW w:w="4394" w:type="dxa"/>
          </w:tcPr>
          <w:p w14:paraId="32C0D239" w14:textId="77777777"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US"/>
              </w:rPr>
              <w:t>10 mM, 0.05 % Tween 20; pH 6</w:t>
            </w:r>
          </w:p>
        </w:tc>
      </w:tr>
      <w:tr w:rsidR="00DD05C9" w:rsidRPr="00A42E78" w14:paraId="63E16658" w14:textId="77777777" w:rsidTr="007070DE">
        <w:trPr>
          <w:jc w:val="center"/>
        </w:trPr>
        <w:tc>
          <w:tcPr>
            <w:tcW w:w="3403" w:type="dxa"/>
          </w:tcPr>
          <w:p w14:paraId="0067AB75"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Citrate buffer</w:t>
            </w:r>
          </w:p>
        </w:tc>
        <w:tc>
          <w:tcPr>
            <w:tcW w:w="4394" w:type="dxa"/>
          </w:tcPr>
          <w:p w14:paraId="24296A58" w14:textId="77777777" w:rsidR="00DD05C9" w:rsidRPr="00DD05C9" w:rsidRDefault="00DD05C9" w:rsidP="00DD05C9">
            <w:pPr>
              <w:contextualSpacing/>
              <w:jc w:val="both"/>
              <w:rPr>
                <w:rFonts w:ascii="Arial" w:eastAsia="Calibri" w:hAnsi="Arial" w:cs="Arial"/>
                <w:sz w:val="24"/>
                <w:szCs w:val="24"/>
                <w:shd w:val="clear" w:color="auto" w:fill="FFFFFF"/>
                <w:lang w:val="en-GB"/>
              </w:rPr>
            </w:pPr>
            <w:r w:rsidRPr="00DD05C9">
              <w:rPr>
                <w:rFonts w:ascii="Arial" w:eastAsia="Calibri" w:hAnsi="Arial" w:cs="Arial"/>
                <w:sz w:val="24"/>
                <w:szCs w:val="24"/>
                <w:shd w:val="clear" w:color="auto" w:fill="FFFFFF"/>
                <w:lang w:val="en-GB"/>
              </w:rPr>
              <w:t xml:space="preserve">10 mM citric acid, 0.05% Tween-20; </w:t>
            </w:r>
            <w:r w:rsidRPr="00DD05C9">
              <w:rPr>
                <w:rFonts w:ascii="Arial" w:eastAsia="Calibri" w:hAnsi="Arial" w:cs="Arial"/>
                <w:sz w:val="24"/>
                <w:szCs w:val="24"/>
                <w:shd w:val="clear" w:color="auto" w:fill="FFFFFF"/>
                <w:lang w:val="en-US"/>
              </w:rPr>
              <w:t>pH 6</w:t>
            </w:r>
          </w:p>
        </w:tc>
      </w:tr>
      <w:tr w:rsidR="00DD05C9" w:rsidRPr="00A42E78" w14:paraId="322E7445" w14:textId="77777777" w:rsidTr="007070DE">
        <w:trPr>
          <w:jc w:val="center"/>
        </w:trPr>
        <w:tc>
          <w:tcPr>
            <w:tcW w:w="3403" w:type="dxa"/>
          </w:tcPr>
          <w:p w14:paraId="592024EB" w14:textId="77777777"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EV-free media for cell culture</w:t>
            </w:r>
          </w:p>
        </w:tc>
        <w:tc>
          <w:tcPr>
            <w:tcW w:w="4394" w:type="dxa"/>
          </w:tcPr>
          <w:p w14:paraId="41353B3D" w14:textId="51CFA58F" w:rsidR="00DD05C9" w:rsidRPr="00DD05C9" w:rsidRDefault="00DD05C9" w:rsidP="00DD05C9">
            <w:pPr>
              <w:contextualSpacing/>
              <w:jc w:val="both"/>
              <w:rPr>
                <w:rFonts w:ascii="Arial" w:eastAsia="Calibri" w:hAnsi="Arial" w:cs="Arial"/>
                <w:sz w:val="24"/>
                <w:szCs w:val="24"/>
                <w:shd w:val="clear" w:color="auto" w:fill="FFFFFF"/>
                <w:lang w:val="en-US"/>
              </w:rPr>
            </w:pPr>
            <w:r w:rsidRPr="00DD05C9">
              <w:rPr>
                <w:rFonts w:ascii="Arial" w:eastAsia="Calibri" w:hAnsi="Arial" w:cs="Arial"/>
                <w:sz w:val="24"/>
                <w:szCs w:val="24"/>
                <w:shd w:val="clear" w:color="auto" w:fill="FFFFFF"/>
                <w:lang w:val="en-US"/>
              </w:rPr>
              <w:t>Ultracentrifugation (100</w:t>
            </w:r>
            <w:r w:rsidR="003A61D7">
              <w:rPr>
                <w:rFonts w:ascii="Arial" w:eastAsia="Calibri" w:hAnsi="Arial" w:cs="Arial"/>
                <w:sz w:val="24"/>
                <w:szCs w:val="24"/>
                <w:shd w:val="clear" w:color="auto" w:fill="FFFFFF"/>
                <w:lang w:val="en-US"/>
              </w:rPr>
              <w:t>.</w:t>
            </w:r>
            <w:r w:rsidRPr="00DD05C9">
              <w:rPr>
                <w:rFonts w:ascii="Arial" w:eastAsia="Calibri" w:hAnsi="Arial" w:cs="Arial"/>
                <w:sz w:val="24"/>
                <w:szCs w:val="24"/>
                <w:shd w:val="clear" w:color="auto" w:fill="FFFFFF"/>
                <w:lang w:val="en-US"/>
              </w:rPr>
              <w:t>000g, 2 h, 4 °C) of RPMI supplemented with 1</w:t>
            </w:r>
            <w:r w:rsidR="003A61D7">
              <w:rPr>
                <w:rFonts w:ascii="Arial" w:eastAsia="Calibri" w:hAnsi="Arial" w:cs="Arial"/>
                <w:sz w:val="24"/>
                <w:szCs w:val="24"/>
                <w:shd w:val="clear" w:color="auto" w:fill="FFFFFF"/>
                <w:lang w:val="en-US"/>
              </w:rPr>
              <w:t xml:space="preserve"> </w:t>
            </w:r>
            <w:r w:rsidRPr="00DD05C9">
              <w:rPr>
                <w:rFonts w:ascii="Arial" w:eastAsia="Calibri" w:hAnsi="Arial" w:cs="Arial"/>
                <w:sz w:val="24"/>
                <w:szCs w:val="24"/>
                <w:shd w:val="clear" w:color="auto" w:fill="FFFFFF"/>
                <w:lang w:val="en-US"/>
              </w:rPr>
              <w:t>% FBS (Biowest), 1 % P/S and further supplemented with M-CSF 10 ng/mL.</w:t>
            </w:r>
          </w:p>
        </w:tc>
      </w:tr>
    </w:tbl>
    <w:p w14:paraId="3B2F3E21" w14:textId="77777777" w:rsidR="00DD05C9" w:rsidRPr="00A42E78" w:rsidRDefault="00DD05C9" w:rsidP="00DD05C9">
      <w:pPr>
        <w:spacing w:line="480" w:lineRule="auto"/>
        <w:contextualSpacing/>
        <w:jc w:val="both"/>
        <w:rPr>
          <w:rFonts w:ascii="Arial" w:eastAsia="Calibri" w:hAnsi="Arial" w:cs="Arial"/>
          <w:sz w:val="24"/>
          <w:szCs w:val="24"/>
          <w:shd w:val="clear" w:color="auto" w:fill="FFFFFF"/>
          <w:lang w:val="en-GB"/>
        </w:rPr>
      </w:pPr>
      <w:bookmarkStart w:id="0" w:name="_GoBack"/>
    </w:p>
    <w:bookmarkEnd w:id="0"/>
    <w:p w14:paraId="1E6F4145" w14:textId="77777777" w:rsidR="004138F9" w:rsidRPr="00DD05C9" w:rsidRDefault="004138F9">
      <w:pPr>
        <w:rPr>
          <w:lang w:val="en-US"/>
        </w:rPr>
      </w:pPr>
    </w:p>
    <w:sectPr w:rsidR="004138F9" w:rsidRPr="00DD05C9">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57587D" w16cid:durableId="23BD5C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pt-P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en-US" w:vendorID="64" w:dllVersion="131078" w:nlCheck="1" w:checkStyle="1"/>
  <w:activeWritingStyle w:appName="MSWord" w:lang="en-GB" w:vendorID="64" w:dllVersion="131078" w:nlCheck="1" w:checkStyle="1"/>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5C9"/>
    <w:rsid w:val="003A61D7"/>
    <w:rsid w:val="004138F9"/>
    <w:rsid w:val="004947C0"/>
    <w:rsid w:val="00A42E78"/>
    <w:rsid w:val="00A7785D"/>
    <w:rsid w:val="00AF4E87"/>
    <w:rsid w:val="00BD7170"/>
    <w:rsid w:val="00DD05C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A3D39"/>
  <w15:chartTrackingRefBased/>
  <w15:docId w15:val="{9C31ADEA-2328-4A46-8684-88BD6B9D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05C9"/>
    <w:rPr>
      <w:sz w:val="16"/>
      <w:szCs w:val="16"/>
    </w:rPr>
  </w:style>
  <w:style w:type="paragraph" w:styleId="CommentText">
    <w:name w:val="annotation text"/>
    <w:basedOn w:val="Normal"/>
    <w:link w:val="CommentTextChar"/>
    <w:uiPriority w:val="99"/>
    <w:unhideWhenUsed/>
    <w:rsid w:val="00DD05C9"/>
    <w:pPr>
      <w:spacing w:line="240" w:lineRule="auto"/>
      <w:contextualSpacing/>
      <w:jc w:val="both"/>
    </w:pPr>
    <w:rPr>
      <w:rFonts w:ascii="Arial" w:hAnsi="Arial" w:cs="Arial"/>
      <w:sz w:val="20"/>
      <w:szCs w:val="20"/>
      <w:shd w:val="clear" w:color="auto" w:fill="FFFFFF"/>
      <w:lang w:val="en-GB"/>
    </w:rPr>
  </w:style>
  <w:style w:type="character" w:customStyle="1" w:styleId="CommentTextChar">
    <w:name w:val="Comment Text Char"/>
    <w:basedOn w:val="DefaultParagraphFont"/>
    <w:link w:val="CommentText"/>
    <w:uiPriority w:val="99"/>
    <w:rsid w:val="00DD05C9"/>
    <w:rPr>
      <w:rFonts w:ascii="Arial" w:hAnsi="Arial" w:cs="Arial"/>
      <w:sz w:val="20"/>
      <w:szCs w:val="20"/>
      <w:lang w:val="en-GB"/>
    </w:rPr>
  </w:style>
  <w:style w:type="table" w:customStyle="1" w:styleId="TableGrid1">
    <w:name w:val="Table Grid1"/>
    <w:basedOn w:val="TableNormal"/>
    <w:next w:val="TableGrid"/>
    <w:uiPriority w:val="39"/>
    <w:rsid w:val="00DD0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0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0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5C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7785D"/>
    <w:pPr>
      <w:contextualSpacing w:val="0"/>
      <w:jc w:val="left"/>
    </w:pPr>
    <w:rPr>
      <w:rFonts w:asciiTheme="minorHAnsi" w:hAnsiTheme="minorHAnsi" w:cstheme="minorBidi"/>
      <w:b/>
      <w:bCs/>
      <w:shd w:val="clear" w:color="auto" w:fill="auto"/>
      <w:lang w:val="pt-PT"/>
    </w:rPr>
  </w:style>
  <w:style w:type="character" w:customStyle="1" w:styleId="CommentSubjectChar">
    <w:name w:val="Comment Subject Char"/>
    <w:basedOn w:val="CommentTextChar"/>
    <w:link w:val="CommentSubject"/>
    <w:uiPriority w:val="99"/>
    <w:semiHidden/>
    <w:rsid w:val="00A7785D"/>
    <w:rPr>
      <w:rFonts w:ascii="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9951">
      <w:bodyDiv w:val="1"/>
      <w:marLeft w:val="0"/>
      <w:marRight w:val="0"/>
      <w:marTop w:val="0"/>
      <w:marBottom w:val="0"/>
      <w:divBdr>
        <w:top w:val="none" w:sz="0" w:space="0" w:color="auto"/>
        <w:left w:val="none" w:sz="0" w:space="0" w:color="auto"/>
        <w:bottom w:val="none" w:sz="0" w:space="0" w:color="auto"/>
        <w:right w:val="none" w:sz="0" w:space="0" w:color="auto"/>
      </w:divBdr>
    </w:div>
    <w:div w:id="730732528">
      <w:bodyDiv w:val="1"/>
      <w:marLeft w:val="0"/>
      <w:marRight w:val="0"/>
      <w:marTop w:val="0"/>
      <w:marBottom w:val="0"/>
      <w:divBdr>
        <w:top w:val="none" w:sz="0" w:space="0" w:color="auto"/>
        <w:left w:val="none" w:sz="0" w:space="0" w:color="auto"/>
        <w:bottom w:val="none" w:sz="0" w:space="0" w:color="auto"/>
        <w:right w:val="none" w:sz="0" w:space="0" w:color="auto"/>
      </w:divBdr>
    </w:div>
    <w:div w:id="789085104">
      <w:bodyDiv w:val="1"/>
      <w:marLeft w:val="0"/>
      <w:marRight w:val="0"/>
      <w:marTop w:val="0"/>
      <w:marBottom w:val="0"/>
      <w:divBdr>
        <w:top w:val="none" w:sz="0" w:space="0" w:color="auto"/>
        <w:left w:val="none" w:sz="0" w:space="0" w:color="auto"/>
        <w:bottom w:val="none" w:sz="0" w:space="0" w:color="auto"/>
        <w:right w:val="none" w:sz="0" w:space="0" w:color="auto"/>
      </w:divBdr>
    </w:div>
    <w:div w:id="1093354672">
      <w:bodyDiv w:val="1"/>
      <w:marLeft w:val="0"/>
      <w:marRight w:val="0"/>
      <w:marTop w:val="0"/>
      <w:marBottom w:val="0"/>
      <w:divBdr>
        <w:top w:val="none" w:sz="0" w:space="0" w:color="auto"/>
        <w:left w:val="none" w:sz="0" w:space="0" w:color="auto"/>
        <w:bottom w:val="none" w:sz="0" w:space="0" w:color="auto"/>
        <w:right w:val="none" w:sz="0" w:space="0" w:color="auto"/>
      </w:divBdr>
    </w:div>
    <w:div w:id="1425569071">
      <w:bodyDiv w:val="1"/>
      <w:marLeft w:val="0"/>
      <w:marRight w:val="0"/>
      <w:marTop w:val="0"/>
      <w:marBottom w:val="0"/>
      <w:divBdr>
        <w:top w:val="none" w:sz="0" w:space="0" w:color="auto"/>
        <w:left w:val="none" w:sz="0" w:space="0" w:color="auto"/>
        <w:bottom w:val="none" w:sz="0" w:space="0" w:color="auto"/>
        <w:right w:val="none" w:sz="0" w:space="0" w:color="auto"/>
      </w:divBdr>
    </w:div>
    <w:div w:id="2076126680">
      <w:bodyDiv w:val="1"/>
      <w:marLeft w:val="0"/>
      <w:marRight w:val="0"/>
      <w:marTop w:val="0"/>
      <w:marBottom w:val="0"/>
      <w:divBdr>
        <w:top w:val="none" w:sz="0" w:space="0" w:color="auto"/>
        <w:left w:val="none" w:sz="0" w:space="0" w:color="auto"/>
        <w:bottom w:val="none" w:sz="0" w:space="0" w:color="auto"/>
        <w:right w:val="none" w:sz="0" w:space="0" w:color="auto"/>
      </w:divBdr>
    </w:div>
    <w:div w:id="212723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2BFFD-6AC2-463B-BA70-A0F9AC3C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2230</Words>
  <Characters>12713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Universidade do Porto</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assistencia</dc:creator>
  <cp:keywords/>
  <dc:description/>
  <cp:lastModifiedBy>Diana S Nascimento</cp:lastModifiedBy>
  <cp:revision>8</cp:revision>
  <dcterms:created xsi:type="dcterms:W3CDTF">2021-01-27T11:14:00Z</dcterms:created>
  <dcterms:modified xsi:type="dcterms:W3CDTF">2021-06-15T10:08:00Z</dcterms:modified>
</cp:coreProperties>
</file>