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C9A" w:rsidRPr="00276A87" w:rsidRDefault="00913C9A" w:rsidP="00913C9A">
      <w:pPr>
        <w:pStyle w:val="a4"/>
        <w:keepNext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76A87">
        <w:rPr>
          <w:rFonts w:ascii="Times New Roman" w:hAnsi="Times New Roman" w:cs="Times New Roman"/>
          <w:sz w:val="24"/>
          <w:szCs w:val="24"/>
        </w:rPr>
        <w:t>Additional file</w:t>
      </w:r>
      <w:r w:rsidRPr="00276A87">
        <w:rPr>
          <w:rFonts w:ascii="Times New Roman" w:hAnsi="Times New Roman" w:cs="Times New Roman" w:hint="eastAsia"/>
          <w:sz w:val="24"/>
          <w:szCs w:val="24"/>
        </w:rPr>
        <w:t xml:space="preserve"> 1</w:t>
      </w:r>
      <w:bookmarkEnd w:id="0"/>
      <w:r w:rsidRPr="00276A87">
        <w:rPr>
          <w:rFonts w:ascii="Times New Roman" w:hAnsi="Times New Roman" w:cs="Times New Roman" w:hint="eastAsia"/>
          <w:sz w:val="24"/>
          <w:szCs w:val="24"/>
        </w:rPr>
        <w:t>.</w:t>
      </w:r>
      <w:r w:rsidRPr="00276A87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P</w:t>
      </w:r>
      <w:r w:rsidRPr="00276A8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re, post, and 8-week post-intervention results </w:t>
      </w:r>
      <w:r w:rsidRPr="00276A87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of the pilot study</w:t>
      </w:r>
    </w:p>
    <w:p w:rsidR="00913C9A" w:rsidRPr="00276A87" w:rsidRDefault="00913C9A" w:rsidP="00913C9A">
      <w:pPr>
        <w:pStyle w:val="a4"/>
        <w:keepNext/>
        <w:spacing w:line="240" w:lineRule="auto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76A87">
        <w:rPr>
          <w:rFonts w:ascii="Times New Roman" w:hAnsi="Times New Roman" w:cs="Times New Roman" w:hint="eastAsia"/>
          <w:sz w:val="24"/>
          <w:szCs w:val="24"/>
        </w:rPr>
        <w:t xml:space="preserve">Table 1. </w:t>
      </w:r>
      <w:r w:rsidRPr="00276A87">
        <w:rPr>
          <w:rFonts w:ascii="Times New Roman" w:hAnsi="Times New Roman" w:cs="Times New Roman"/>
          <w:b w:val="0"/>
          <w:bCs w:val="0"/>
          <w:sz w:val="24"/>
          <w:szCs w:val="24"/>
        </w:rPr>
        <w:t>Preliminary effects of H-SMILE program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1"/>
        <w:gridCol w:w="1600"/>
        <w:gridCol w:w="1479"/>
        <w:gridCol w:w="1479"/>
        <w:gridCol w:w="1838"/>
        <w:gridCol w:w="726"/>
        <w:gridCol w:w="1753"/>
        <w:gridCol w:w="811"/>
      </w:tblGrid>
      <w:tr w:rsidR="00913C9A" w:rsidRPr="00276A87" w:rsidTr="008C129D">
        <w:tc>
          <w:tcPr>
            <w:tcW w:w="1464" w:type="pct"/>
            <w:tcBorders>
              <w:top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584" w:type="pct"/>
            <w:tcBorders>
              <w:top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540" w:type="pct"/>
            <w:tcBorders>
              <w:top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540" w:type="pct"/>
            <w:tcBorders>
              <w:top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936" w:type="pct"/>
            <w:gridSpan w:val="2"/>
            <w:tcBorders>
              <w:top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936" w:type="pct"/>
            <w:gridSpan w:val="2"/>
            <w:tcBorders>
              <w:top w:val="nil"/>
            </w:tcBorders>
          </w:tcPr>
          <w:p w:rsidR="00913C9A" w:rsidRPr="00276A87" w:rsidRDefault="00913C9A" w:rsidP="008C129D">
            <w:pPr>
              <w:jc w:val="righ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N=4</w:t>
            </w:r>
          </w:p>
        </w:tc>
      </w:tr>
      <w:tr w:rsidR="00913C9A" w:rsidRPr="00276A87" w:rsidTr="008C129D">
        <w:tc>
          <w:tcPr>
            <w:tcW w:w="1464" w:type="pct"/>
            <w:vMerge w:val="restart"/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Variables</w:t>
            </w:r>
          </w:p>
        </w:tc>
        <w:tc>
          <w:tcPr>
            <w:tcW w:w="584" w:type="pct"/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Baseline</w:t>
            </w:r>
          </w:p>
        </w:tc>
        <w:tc>
          <w:tcPr>
            <w:tcW w:w="540" w:type="pct"/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Post</w:t>
            </w:r>
          </w:p>
        </w:tc>
        <w:tc>
          <w:tcPr>
            <w:tcW w:w="540" w:type="pct"/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Follow-up</w:t>
            </w:r>
          </w:p>
        </w:tc>
        <w:tc>
          <w:tcPr>
            <w:tcW w:w="936" w:type="pct"/>
            <w:gridSpan w:val="2"/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 xml:space="preserve">Difference </w:t>
            </w:r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br/>
              <w:t>(Post-Baseline)</w:t>
            </w:r>
          </w:p>
        </w:tc>
        <w:tc>
          <w:tcPr>
            <w:tcW w:w="936" w:type="pct"/>
            <w:gridSpan w:val="2"/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 xml:space="preserve">Difference </w:t>
            </w:r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br/>
              <w:t>(Follow-up-Pre)</w:t>
            </w:r>
          </w:p>
        </w:tc>
      </w:tr>
      <w:tr w:rsidR="00913C9A" w:rsidRPr="00276A87" w:rsidTr="008C129D">
        <w:tc>
          <w:tcPr>
            <w:tcW w:w="1464" w:type="pct"/>
            <w:vMerge/>
            <w:tcBorders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proofErr w:type="spellStart"/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Mean±SD</w:t>
            </w:r>
            <w:proofErr w:type="spellEnd"/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proofErr w:type="spellStart"/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Mean±SD</w:t>
            </w:r>
            <w:proofErr w:type="spellEnd"/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proofErr w:type="spellStart"/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Mean±SD</w:t>
            </w:r>
            <w:proofErr w:type="spellEnd"/>
          </w:p>
        </w:tc>
        <w:tc>
          <w:tcPr>
            <w:tcW w:w="671" w:type="pct"/>
            <w:tcBorders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proofErr w:type="gramStart"/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Median(</w:t>
            </w:r>
            <w:proofErr w:type="gramEnd"/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IQR)</w:t>
            </w:r>
          </w:p>
        </w:tc>
        <w:tc>
          <w:tcPr>
            <w:tcW w:w="265" w:type="pct"/>
            <w:tcBorders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  <w:t>p</w:t>
            </w: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†</w:t>
            </w: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proofErr w:type="gramStart"/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Median(</w:t>
            </w:r>
            <w:proofErr w:type="gramEnd"/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IQR)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  <w:t>p</w:t>
            </w: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†</w:t>
            </w:r>
          </w:p>
        </w:tc>
      </w:tr>
      <w:tr w:rsidR="00913C9A" w:rsidRPr="00276A87" w:rsidTr="008C129D">
        <w:tc>
          <w:tcPr>
            <w:tcW w:w="1464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Survey data</w:t>
            </w:r>
          </w:p>
        </w:tc>
        <w:tc>
          <w:tcPr>
            <w:tcW w:w="584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40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40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71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65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40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96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Health-related quality of life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   EQ5D-index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0.83±0.13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0.94±0.02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0.94±0.02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.09(0.25)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.180</w:t>
            </w: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.09(0.23)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.109</w:t>
            </w: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   EQ5D-VAS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63.75±16.01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73.75±22.13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67.50±15.00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12.50(50.00)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.465</w:t>
            </w: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10.00(18.75)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.705</w:t>
            </w: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Hypertension knowledge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6.50±2.52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10.75±0.96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11.00±0.82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3.50(3.25)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.066</w:t>
            </w: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4.50(5.50)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.068</w:t>
            </w: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Health literacy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   Linguistic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39.75±25.22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47.45±22.02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46.25±21.33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5.50(13.50)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.068</w:t>
            </w: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7.00(7.50)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.066</w:t>
            </w: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   Functional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3.00±3.46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3.50±3.70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3.00±3.83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.50(2.50)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.414</w:t>
            </w: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.00(3.00)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1.000</w:t>
            </w: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   Digital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16.00±12.11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18.25±14.06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18.00±16.57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2.50(10.25)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.285</w:t>
            </w: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3.00(17.00)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.465</w:t>
            </w: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Hypertension self-management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   Maintenance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56.06±22.75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53.03±29.33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73.49±18.90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-6.06(15.15)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.450</w:t>
            </w: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16.67(9.85)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.068</w:t>
            </w: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   Management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51.25±11.09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37.50±25.33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48.75±24.62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-20.00(36.25)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.197</w:t>
            </w: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-5.00(42.50)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.854</w:t>
            </w: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   Confidence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62.50±5.32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70.84±39.38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76.39±17.20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19.45(61.11)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.713</w:t>
            </w: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11.11(33.34)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.141</w:t>
            </w: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Hypertension medication adherence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17.50±3.11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15.00±0.00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15.50±1.29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-1.50(5.50)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.109</w:t>
            </w: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-1.50(6.00)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.285</w:t>
            </w: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Depression</w:t>
            </w: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4.00±2.83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1.50±1.73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0.75±1.50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-2.50(5.00)</w:t>
            </w:r>
          </w:p>
        </w:tc>
        <w:tc>
          <w:tcPr>
            <w:tcW w:w="265" w:type="pct"/>
            <w:tcBorders>
              <w:top w:val="nil"/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.157</w:t>
            </w:r>
          </w:p>
        </w:tc>
        <w:tc>
          <w:tcPr>
            <w:tcW w:w="640" w:type="pct"/>
            <w:tcBorders>
              <w:top w:val="nil"/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-3.50(5.75)</w:t>
            </w:r>
          </w:p>
        </w:tc>
        <w:tc>
          <w:tcPr>
            <w:tcW w:w="296" w:type="pct"/>
            <w:tcBorders>
              <w:top w:val="nil"/>
              <w:bottom w:val="single" w:sz="4" w:space="0" w:color="auto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.102</w:t>
            </w:r>
          </w:p>
        </w:tc>
      </w:tr>
      <w:tr w:rsidR="00913C9A" w:rsidRPr="00276A87" w:rsidTr="008C129D">
        <w:tc>
          <w:tcPr>
            <w:tcW w:w="1464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bookmarkStart w:id="1" w:name="_Hlk170596060"/>
            <w:r w:rsidRPr="00276A8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Clinical indicators</w:t>
            </w:r>
            <w:bookmarkEnd w:id="1"/>
          </w:p>
        </w:tc>
        <w:tc>
          <w:tcPr>
            <w:tcW w:w="584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40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40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71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65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40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96" w:type="pct"/>
            <w:tcBorders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Blood pressure (mmHg)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   SBP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137.25±10.2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141.75±6.5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141.75±8.7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4.50(16.50)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.357</w:t>
            </w: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10.00(22.00)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.715</w:t>
            </w: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   DBP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77.25±13.33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88.25±6.18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80.25±10.81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12.50(19.00)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.144</w:t>
            </w: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2.00(19.00)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.461</w:t>
            </w: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Serum lipids (mg/dL)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   Total CHOL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118.25±21.1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119.25±24.8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125.75±29.8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.00(22.50)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.655</w:t>
            </w: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6.00(16.50)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.180</w:t>
            </w: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   HDL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52.00±18.29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55.00±19.41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49.50±21.21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4.00(10.50)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.273</w:t>
            </w: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-0.50(18.00)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.715</w:t>
            </w:r>
          </w:p>
        </w:tc>
      </w:tr>
      <w:tr w:rsidR="00913C9A" w:rsidRPr="00276A87" w:rsidTr="008C129D">
        <w:tc>
          <w:tcPr>
            <w:tcW w:w="146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   TG</w:t>
            </w:r>
          </w:p>
        </w:tc>
        <w:tc>
          <w:tcPr>
            <w:tcW w:w="584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152.25±107.1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126.00±56.8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143.50±70.7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-24.50(111.25)</w:t>
            </w:r>
          </w:p>
        </w:tc>
        <w:tc>
          <w:tcPr>
            <w:tcW w:w="265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.465</w:t>
            </w:r>
          </w:p>
        </w:tc>
        <w:tc>
          <w:tcPr>
            <w:tcW w:w="640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-28.50(166.25)</w:t>
            </w:r>
          </w:p>
        </w:tc>
        <w:tc>
          <w:tcPr>
            <w:tcW w:w="296" w:type="pct"/>
            <w:tcBorders>
              <w:top w:val="nil"/>
              <w:bottom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1.000</w:t>
            </w:r>
          </w:p>
        </w:tc>
      </w:tr>
      <w:tr w:rsidR="00913C9A" w:rsidRPr="00276A87" w:rsidTr="008C129D">
        <w:tc>
          <w:tcPr>
            <w:tcW w:w="1464" w:type="pct"/>
            <w:tcBorders>
              <w:top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 xml:space="preserve">     LDL</w:t>
            </w:r>
          </w:p>
        </w:tc>
        <w:tc>
          <w:tcPr>
            <w:tcW w:w="584" w:type="pct"/>
            <w:tcBorders>
              <w:top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35.75±10.72</w:t>
            </w:r>
          </w:p>
        </w:tc>
        <w:tc>
          <w:tcPr>
            <w:tcW w:w="540" w:type="pct"/>
            <w:tcBorders>
              <w:top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39.25±9.81</w:t>
            </w:r>
          </w:p>
        </w:tc>
        <w:tc>
          <w:tcPr>
            <w:tcW w:w="540" w:type="pct"/>
            <w:tcBorders>
              <w:top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47.00±16.81</w:t>
            </w:r>
          </w:p>
        </w:tc>
        <w:tc>
          <w:tcPr>
            <w:tcW w:w="671" w:type="pct"/>
            <w:tcBorders>
              <w:top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.50(31.50)</w:t>
            </w:r>
          </w:p>
        </w:tc>
        <w:tc>
          <w:tcPr>
            <w:tcW w:w="265" w:type="pct"/>
            <w:tcBorders>
              <w:top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.715</w:t>
            </w:r>
          </w:p>
        </w:tc>
        <w:tc>
          <w:tcPr>
            <w:tcW w:w="640" w:type="pct"/>
            <w:tcBorders>
              <w:top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19.00(31.50)</w:t>
            </w:r>
          </w:p>
        </w:tc>
        <w:tc>
          <w:tcPr>
            <w:tcW w:w="296" w:type="pct"/>
            <w:tcBorders>
              <w:top w:val="nil"/>
            </w:tcBorders>
          </w:tcPr>
          <w:p w:rsidR="00913C9A" w:rsidRPr="00276A87" w:rsidRDefault="00913C9A" w:rsidP="008C129D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276A87">
              <w:rPr>
                <w:rFonts w:ascii="Times New Roman" w:hAnsi="Times New Roman" w:cs="Times New Roman"/>
                <w:sz w:val="22"/>
                <w:szCs w:val="24"/>
              </w:rPr>
              <w:t>.273</w:t>
            </w:r>
          </w:p>
        </w:tc>
      </w:tr>
    </w:tbl>
    <w:p w:rsidR="00473002" w:rsidRPr="00913C9A" w:rsidRDefault="00913C9A" w:rsidP="00913C9A">
      <w:pPr>
        <w:spacing w:line="240" w:lineRule="auto"/>
        <w:jc w:val="left"/>
        <w:rPr>
          <w:rFonts w:ascii="Times New Roman" w:hAnsi="Times New Roman" w:cs="Times New Roman" w:hint="eastAsia"/>
          <w:sz w:val="22"/>
        </w:rPr>
      </w:pPr>
      <w:r w:rsidRPr="00276A87">
        <w:rPr>
          <w:rFonts w:ascii="Times New Roman" w:hAnsi="Times New Roman" w:cs="Times New Roman"/>
          <w:sz w:val="22"/>
        </w:rPr>
        <w:t>Abbreviation</w:t>
      </w:r>
      <w:r w:rsidRPr="00276A87">
        <w:rPr>
          <w:rFonts w:ascii="Times New Roman" w:hAnsi="Times New Roman" w:cs="Times New Roman" w:hint="eastAsia"/>
          <w:sz w:val="22"/>
        </w:rPr>
        <w:t>:</w:t>
      </w:r>
      <w:r w:rsidRPr="00276A87">
        <w:rPr>
          <w:rFonts w:ascii="Times New Roman" w:hAnsi="Times New Roman" w:cs="Times New Roman"/>
          <w:sz w:val="22"/>
        </w:rPr>
        <w:t xml:space="preserve"> SD</w:t>
      </w:r>
      <w:r w:rsidRPr="00276A87">
        <w:rPr>
          <w:rFonts w:ascii="Times New Roman" w:hAnsi="Times New Roman" w:cs="Times New Roman" w:hint="eastAsia"/>
          <w:sz w:val="22"/>
        </w:rPr>
        <w:t xml:space="preserve">: </w:t>
      </w:r>
      <w:r w:rsidRPr="00276A87">
        <w:rPr>
          <w:rFonts w:ascii="Times New Roman" w:hAnsi="Times New Roman" w:cs="Times New Roman"/>
          <w:sz w:val="22"/>
        </w:rPr>
        <w:t>Standard deviation; IQR</w:t>
      </w:r>
      <w:r w:rsidRPr="00276A87">
        <w:rPr>
          <w:rFonts w:ascii="Times New Roman" w:hAnsi="Times New Roman" w:cs="Times New Roman" w:hint="eastAsia"/>
          <w:sz w:val="22"/>
        </w:rPr>
        <w:t xml:space="preserve">: </w:t>
      </w:r>
      <w:r w:rsidRPr="00276A87">
        <w:rPr>
          <w:rFonts w:ascii="Times New Roman" w:hAnsi="Times New Roman" w:cs="Times New Roman"/>
          <w:sz w:val="22"/>
        </w:rPr>
        <w:t>Interquartile range (Q3 – Q1); Q1</w:t>
      </w:r>
      <w:r w:rsidRPr="00276A87">
        <w:rPr>
          <w:rFonts w:ascii="Times New Roman" w:hAnsi="Times New Roman" w:cs="Times New Roman" w:hint="eastAsia"/>
          <w:sz w:val="22"/>
        </w:rPr>
        <w:t xml:space="preserve">: </w:t>
      </w:r>
      <w:r w:rsidRPr="00276A87">
        <w:rPr>
          <w:rFonts w:ascii="Times New Roman" w:hAnsi="Times New Roman" w:cs="Times New Roman"/>
          <w:sz w:val="22"/>
        </w:rPr>
        <w:t>1st quartile, Q3</w:t>
      </w:r>
      <w:r w:rsidRPr="00276A87">
        <w:rPr>
          <w:rFonts w:ascii="Times New Roman" w:hAnsi="Times New Roman" w:cs="Times New Roman" w:hint="eastAsia"/>
          <w:sz w:val="22"/>
        </w:rPr>
        <w:t xml:space="preserve">: </w:t>
      </w:r>
      <w:r w:rsidRPr="00276A87">
        <w:rPr>
          <w:rFonts w:ascii="Times New Roman" w:hAnsi="Times New Roman" w:cs="Times New Roman"/>
          <w:sz w:val="22"/>
        </w:rPr>
        <w:t>3rd quartile; VAS</w:t>
      </w:r>
      <w:r w:rsidRPr="00276A87">
        <w:rPr>
          <w:rFonts w:ascii="Times New Roman" w:hAnsi="Times New Roman" w:cs="Times New Roman" w:hint="eastAsia"/>
          <w:sz w:val="22"/>
        </w:rPr>
        <w:t xml:space="preserve">: </w:t>
      </w:r>
      <w:r w:rsidRPr="00276A87">
        <w:rPr>
          <w:rFonts w:ascii="Times New Roman" w:hAnsi="Times New Roman" w:cs="Times New Roman"/>
          <w:sz w:val="22"/>
        </w:rPr>
        <w:t>Visual analog scale; total CHOL</w:t>
      </w:r>
      <w:r w:rsidRPr="00276A87">
        <w:rPr>
          <w:rFonts w:ascii="Times New Roman" w:hAnsi="Times New Roman" w:cs="Times New Roman" w:hint="eastAsia"/>
          <w:sz w:val="22"/>
        </w:rPr>
        <w:t xml:space="preserve">: </w:t>
      </w:r>
      <w:r w:rsidRPr="00276A87">
        <w:rPr>
          <w:rFonts w:ascii="Times New Roman" w:hAnsi="Times New Roman" w:cs="Times New Roman"/>
          <w:sz w:val="22"/>
        </w:rPr>
        <w:t>Total cholesterol; HDL</w:t>
      </w:r>
      <w:r w:rsidRPr="00276A87">
        <w:rPr>
          <w:rFonts w:ascii="Times New Roman" w:hAnsi="Times New Roman" w:cs="Times New Roman" w:hint="eastAsia"/>
          <w:sz w:val="22"/>
        </w:rPr>
        <w:t xml:space="preserve">: </w:t>
      </w:r>
      <w:r w:rsidRPr="00276A87">
        <w:rPr>
          <w:rFonts w:ascii="Times New Roman" w:hAnsi="Times New Roman" w:cs="Times New Roman"/>
          <w:sz w:val="22"/>
        </w:rPr>
        <w:t>High</w:t>
      </w:r>
      <w:r w:rsidRPr="00276A87">
        <w:rPr>
          <w:rFonts w:ascii="Times New Roman" w:hAnsi="Times New Roman" w:cs="Times New Roman" w:hint="eastAsia"/>
          <w:sz w:val="22"/>
        </w:rPr>
        <w:t xml:space="preserve"> </w:t>
      </w:r>
      <w:r w:rsidRPr="00276A87">
        <w:rPr>
          <w:rFonts w:ascii="Times New Roman" w:hAnsi="Times New Roman" w:cs="Times New Roman"/>
          <w:sz w:val="22"/>
        </w:rPr>
        <w:t>density</w:t>
      </w:r>
      <w:r w:rsidRPr="00276A87">
        <w:rPr>
          <w:rFonts w:ascii="Times New Roman" w:hAnsi="Times New Roman" w:cs="Times New Roman" w:hint="eastAsia"/>
          <w:sz w:val="22"/>
        </w:rPr>
        <w:t xml:space="preserve"> </w:t>
      </w:r>
      <w:r w:rsidRPr="00276A87">
        <w:rPr>
          <w:rFonts w:ascii="Times New Roman" w:hAnsi="Times New Roman" w:cs="Times New Roman"/>
          <w:sz w:val="22"/>
        </w:rPr>
        <w:t>lipoprotein; TG</w:t>
      </w:r>
      <w:r w:rsidRPr="00276A87">
        <w:rPr>
          <w:rFonts w:ascii="Times New Roman" w:hAnsi="Times New Roman" w:cs="Times New Roman" w:hint="eastAsia"/>
          <w:sz w:val="22"/>
        </w:rPr>
        <w:t xml:space="preserve">: </w:t>
      </w:r>
      <w:r w:rsidRPr="00276A87">
        <w:rPr>
          <w:rFonts w:ascii="Times New Roman" w:hAnsi="Times New Roman" w:cs="Times New Roman"/>
          <w:sz w:val="22"/>
        </w:rPr>
        <w:t>Triglycerides; LDL</w:t>
      </w:r>
      <w:r w:rsidRPr="00276A87">
        <w:rPr>
          <w:rFonts w:ascii="Times New Roman" w:hAnsi="Times New Roman" w:cs="Times New Roman" w:hint="eastAsia"/>
          <w:sz w:val="22"/>
        </w:rPr>
        <w:t xml:space="preserve">: </w:t>
      </w:r>
      <w:r w:rsidRPr="00276A87">
        <w:rPr>
          <w:rFonts w:ascii="Times New Roman" w:hAnsi="Times New Roman" w:cs="Times New Roman"/>
          <w:sz w:val="22"/>
        </w:rPr>
        <w:t>Low density lipoprotein; SBP</w:t>
      </w:r>
      <w:r w:rsidRPr="00276A87">
        <w:rPr>
          <w:rFonts w:ascii="Times New Roman" w:hAnsi="Times New Roman" w:cs="Times New Roman" w:hint="eastAsia"/>
          <w:sz w:val="22"/>
        </w:rPr>
        <w:t xml:space="preserve">: </w:t>
      </w:r>
      <w:r w:rsidRPr="00276A87">
        <w:rPr>
          <w:rFonts w:ascii="Times New Roman" w:hAnsi="Times New Roman" w:cs="Times New Roman"/>
          <w:sz w:val="22"/>
        </w:rPr>
        <w:t>Systolic blood pressure; DBP</w:t>
      </w:r>
      <w:r w:rsidRPr="00276A87">
        <w:rPr>
          <w:rFonts w:ascii="Times New Roman" w:hAnsi="Times New Roman" w:cs="Times New Roman" w:hint="eastAsia"/>
          <w:sz w:val="22"/>
        </w:rPr>
        <w:t xml:space="preserve">: </w:t>
      </w:r>
      <w:r w:rsidRPr="00276A87">
        <w:rPr>
          <w:rFonts w:ascii="Times New Roman" w:hAnsi="Times New Roman" w:cs="Times New Roman"/>
          <w:sz w:val="22"/>
        </w:rPr>
        <w:t>Diastolic blood pressure †Wilcoxon signed rank test</w:t>
      </w:r>
    </w:p>
    <w:sectPr w:rsidR="00473002" w:rsidRPr="00913C9A" w:rsidSect="00D96922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9A"/>
    <w:rsid w:val="00473002"/>
    <w:rsid w:val="0091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82A22"/>
  <w15:chartTrackingRefBased/>
  <w15:docId w15:val="{A50B0FEF-8E02-40F5-B567-9F8BCB8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3C9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913C9A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2025-03-17T07:07:00Z</dcterms:created>
  <dcterms:modified xsi:type="dcterms:W3CDTF">2025-03-17T07:07:00Z</dcterms:modified>
</cp:coreProperties>
</file>