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70BC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05395"/>
            <wp:effectExtent l="0" t="0" r="635" b="5080"/>
            <wp:docPr id="1" name="图片 1" descr="Supplemental figure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l figure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468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>Supplemental figure 1.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 xml:space="preserve"> Stratified prognostic analysis of the SNORD104, AL713899.1, AC073149.1 expression.</w:t>
      </w:r>
    </w:p>
    <w:p w14:paraId="58EBAEE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</w:p>
    <w:p w14:paraId="5C635ED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</w:p>
    <w:p w14:paraId="13C7448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73675" cy="7614285"/>
            <wp:effectExtent l="0" t="0" r="3175" b="5715"/>
            <wp:docPr id="2" name="图片 2" descr="Sfi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fig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>Supplemental figure 2.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 xml:space="preserve"> Box plot revealing the relationship between SNORD104, AL713899.1, AC073149.1 genes expression and different clinical indicators.</w:t>
      </w:r>
    </w:p>
    <w:p w14:paraId="597B9C0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</w:p>
    <w:p w14:paraId="48DA60F8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</w:p>
    <w:p w14:paraId="210F666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73675" cy="7614285"/>
            <wp:effectExtent l="0" t="0" r="3175" b="5715"/>
            <wp:docPr id="3" name="图片 3" descr="SNORA33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NORA332_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Supplemental figure 3.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Key: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CR, complete response; PR, partial response; PD, progressive disease; SD, stable disease.</w:t>
      </w:r>
    </w:p>
    <w:p w14:paraId="10143A3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bookmarkStart w:id="0" w:name="_GoBack"/>
      <w:bookmarkEnd w:id="0"/>
    </w:p>
    <w:p w14:paraId="7A5898D2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</w:p>
    <w:p w14:paraId="669A118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@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FF2243"/>
    <w:rsid w:val="16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2025-04-05T14:11:00Z</dcterms:created>
  <dc:creator>Destiny</dc:creator>
  <cp:lastModifiedBy>Destiny</cp:lastModifiedBy>
  <dcterms:modified xsi:type="dcterms:W3CDTF">2025-04-05T14:17:12Z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BBA6FF72997F45308EE6E0232BA910E7_11</vt:lpwstr>
  </property>
  <property fmtid="{D5CDD505-2E9C-101B-9397-08002B2CF9AE}" pid="4" name="KSOTemplateDocerSaveRecord">
    <vt:lpwstr>eyJoZGlkIjoiYmU5YWQ0NWY3YjdiNzU1NTU4Yjg2MzYyM2VlNDY5YTIiLCJ1c2VySWQiOiI0MTcwNzg1ODYifQ==</vt:lpwstr>
  </property>
</Properties>
</file>