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fill="FFFFFF"/>
        <w:bidi w:val="0"/>
        <w:spacing w:lineRule="atLeast" w:line="450" w:before="400" w:after="200"/>
        <w:ind w:hanging="0" w:left="0"/>
        <w:jc w:val="center"/>
        <w:rPr>
          <w:rFonts w:ascii="Times New Roman" w:hAnsi="Times New Roman" w:eastAsia="Times New Roman" w:cs="Times New Roman"/>
          <w:b/>
          <w:bCs/>
          <w:color w:val="000000"/>
          <w:spacing w:val="-2"/>
          <w:kern w:val="2"/>
          <w:sz w:val="28"/>
          <w:szCs w:val="28"/>
          <w:lang w:val="en-US" w:eastAsia="es-PE"/>
        </w:rPr>
      </w:pPr>
      <w:bookmarkStart w:id="0" w:name="docs-internal-guid-7f64e7d6-7fff-cef8-d8"/>
      <w:bookmarkEnd w:id="0"/>
      <w:r>
        <w:rPr>
          <w:rFonts w:eastAsia="Times New Roman" w:cs="Times New Roman" w:ascii="Times New Roman;serif" w:hAnsi="Times New Roman;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8"/>
          <w:szCs w:val="28"/>
          <w:u w:val="none"/>
          <w:effect w:val="none"/>
          <w:shd w:fill="FFFFFF" w:val="clear"/>
          <w:lang w:val="en-US" w:eastAsia="es-PE"/>
        </w:rPr>
        <w:t xml:space="preserve">Assembly, annotation and analysis of the complete mitochondrial genome of </w:t>
      </w:r>
      <w:r>
        <w:rPr>
          <w:rFonts w:eastAsia="Times New Roman" w:cs="Times New Roman" w:ascii="Times New Roman;serif" w:hAnsi="Times New Roman;serif"/>
          <w:b/>
          <w:bCs/>
          <w:i/>
          <w:caps w:val="false"/>
          <w:smallCaps w:val="false"/>
          <w:strike w:val="false"/>
          <w:dstrike w:val="false"/>
          <w:color w:val="000000"/>
          <w:spacing w:val="-2"/>
          <w:kern w:val="2"/>
          <w:sz w:val="28"/>
          <w:szCs w:val="28"/>
          <w:u w:val="none"/>
          <w:effect w:val="none"/>
          <w:shd w:fill="FFFFFF" w:val="clear"/>
          <w:lang w:val="en-US" w:eastAsia="es-PE"/>
        </w:rPr>
        <w:t>Ligula intestinalis</w:t>
      </w:r>
      <w:r>
        <w:rPr>
          <w:rFonts w:eastAsia="Times New Roman" w:cs="Times New Roman" w:ascii="Times New Roman" w:hAnsi="Times New Roman"/>
          <w:b/>
          <w:bCs/>
          <w:caps w:val="false"/>
          <w:smallCaps w:val="false"/>
          <w:strike w:val="false"/>
          <w:dstrike w:val="false"/>
          <w:color w:val="000000"/>
          <w:spacing w:val="-2"/>
          <w:kern w:val="2"/>
          <w:sz w:val="28"/>
          <w:szCs w:val="28"/>
          <w:u w:val="none"/>
          <w:effect w:val="none"/>
          <w:shd w:fill="FFFFFF" w:val="clear"/>
          <w:lang w:val="en-US" w:eastAsia="es-PE"/>
        </w:rPr>
        <w:t xml:space="preserve"> </w:t>
      </w:r>
      <w:r>
        <w:rPr>
          <w:rFonts w:eastAsia="Times New Roman" w:cs="Times New Roman" w:ascii="Times New Roman;serif" w:hAnsi="Times New Roman;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8"/>
          <w:szCs w:val="28"/>
          <w:u w:val="none"/>
          <w:effect w:val="none"/>
          <w:shd w:fill="FFFFFF" w:val="clear"/>
          <w:lang w:val="en-US" w:eastAsia="es-PE"/>
        </w:rPr>
        <w:t>(Cestoda: Diphyllobothriidea): Insights into Evolution and Phylogenetics</w:t>
      </w:r>
    </w:p>
    <w:p>
      <w:pPr>
        <w:pStyle w:val="Heading1"/>
        <w:shd w:val="clear" w:fill="FFFFFF"/>
        <w:bidi w:val="0"/>
        <w:spacing w:lineRule="atLeast" w:line="450" w:before="400" w:after="200"/>
        <w:ind w:hanging="0" w:left="0"/>
        <w:jc w:val="center"/>
        <w:rPr>
          <w:rFonts w:ascii="Times New Roman" w:hAnsi="Times New Roman" w:eastAsia="Times New Roman" w:cs="Times New Roman"/>
          <w:b/>
          <w:bCs/>
          <w:color w:val="000000"/>
          <w:spacing w:val="-2"/>
          <w:kern w:val="2"/>
          <w:sz w:val="28"/>
          <w:szCs w:val="28"/>
          <w:lang w:val="en-US" w:eastAsia="es-PE"/>
        </w:rPr>
      </w:pPr>
      <w:r>
        <w:rPr/>
      </w:r>
    </w:p>
    <w:p>
      <w:pPr>
        <w:pStyle w:val="Normal"/>
        <w:shd w:val="clear" w:fill="FFFFFF"/>
        <w:bidi w:val="0"/>
        <w:spacing w:lineRule="atLeast" w:line="450" w:before="400" w:after="200"/>
        <w:ind w:hanging="0" w:left="0"/>
        <w:jc w:val="center"/>
        <w:rPr>
          <w:rFonts w:ascii="Times New Roman" w:hAnsi="Times New Roman" w:eastAsia="Times New Roman" w:cs="Times New Roman"/>
          <w:b/>
          <w:bCs/>
          <w:color w:val="000000"/>
          <w:spacing w:val="-2"/>
          <w:kern w:val="2"/>
          <w:sz w:val="24"/>
          <w:szCs w:val="24"/>
          <w:highlight w:val="none"/>
          <w:shd w:fill="auto" w:val="clear"/>
          <w:lang w:val="en-US" w:eastAsia="es-PE"/>
        </w:rPr>
      </w:pPr>
      <w:bookmarkStart w:id="1" w:name="docs-internal-guid-7683aba2-7fff-7d90-2c"/>
      <w:bookmarkEnd w:id="1"/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Aarón Mondragón-Martínez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1,2,*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Rosa Martínez-Rojas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1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Inés Gárate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3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Jaime R. Sanchez-Venegas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4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Gerald Moreno-Morales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5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Lidia Cruz-Neyra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6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Celso Luis Cruces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6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Enrique Garcia-Candela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7,8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Frank Guzman Escudero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9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Jhon D. Chero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10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lang w:val="en-US" w:eastAsia="es-PE"/>
        </w:rPr>
        <w:t>, Jefferson Yunis-Aguinaga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-2"/>
          <w:kern w:val="2"/>
          <w:sz w:val="24"/>
          <w:szCs w:val="24"/>
          <w:u w:val="none"/>
          <w:effect w:val="none"/>
          <w:shd w:fill="auto" w:val="clear"/>
          <w:vertAlign w:val="superscript"/>
          <w:lang w:val="en-US" w:eastAsia="es-PE"/>
        </w:rPr>
        <w:t>11</w:t>
      </w:r>
    </w:p>
    <w:p>
      <w:pPr>
        <w:pStyle w:val="Heading1"/>
        <w:shd w:val="clear" w:fill="FFFFFF"/>
        <w:bidi w:val="0"/>
        <w:spacing w:lineRule="atLeast" w:line="450" w:before="400" w:after="200"/>
        <w:ind w:hanging="0" w:left="0"/>
        <w:jc w:val="center"/>
        <w:rPr>
          <w:rFonts w:ascii="Times New Roman" w:hAnsi="Times New Roman" w:eastAsia="Times New Roman" w:cs="Times New Roman"/>
          <w:b/>
          <w:bCs/>
          <w:color w:val="000000"/>
          <w:spacing w:val="-2"/>
          <w:kern w:val="2"/>
          <w:sz w:val="24"/>
          <w:szCs w:val="24"/>
          <w:lang w:val="en-US" w:eastAsia="es-PE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-2"/>
          <w:kern w:val="2"/>
          <w:sz w:val="24"/>
          <w:szCs w:val="24"/>
          <w:lang w:val="en-US" w:eastAsia="es-PE"/>
        </w:rPr>
      </w:r>
    </w:p>
    <w:p>
      <w:pPr>
        <w:pStyle w:val="Normal"/>
        <w:bidi w:val="0"/>
        <w:spacing w:lineRule="auto" w:line="480"/>
        <w:jc w:val="both"/>
        <w:rPr>
          <w:rFonts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none"/>
          <w:u w:val="none"/>
          <w:effect w:val="none"/>
          <w:shd w:fill="FFFF00" w:val="clear"/>
          <w:vertAlign w:val="superscript"/>
          <w:lang w:val="en-US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480"/>
        <w:jc w:val="both"/>
        <w:rPr>
          <w:rFonts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highlight w:val="none"/>
          <w:u w:val="none"/>
          <w:effect w:val="none"/>
          <w:shd w:fill="FFFF00" w:val="clear"/>
          <w:vertAlign w:val="superscript"/>
          <w:lang w:val="en-US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480"/>
        <w:jc w:val="both"/>
        <w:rPr>
          <w:highlight w:val="none"/>
          <w:shd w:fill="auto" w:val="clear"/>
        </w:rPr>
      </w:pPr>
      <w:r>
        <w:rPr/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spacing w:lineRule="auto" w:line="480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cs="Times New Roman" w:ascii="Times New Roman" w:hAnsi="Times New Roman"/>
          <w:sz w:val="24"/>
          <w:szCs w:val="24"/>
          <w:vertAlign w:val="superscript"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cs="Times New Roman" w:ascii="Times New Roman" w:hAnsi="Times New Roman"/>
          <w:b/>
          <w:position w:val="0"/>
          <w:sz w:val="24"/>
          <w:sz w:val="24"/>
          <w:szCs w:val="24"/>
          <w:vertAlign w:val="baseline"/>
          <w:lang w:val="en-US"/>
        </w:rPr>
        <w:t xml:space="preserve">Figure S1. </w:t>
      </w:r>
      <w:r>
        <w:rPr>
          <w:rFonts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  <w:lang w:val="en-US"/>
        </w:rPr>
        <w:t xml:space="preserve"> Predicted secondary structures of L. intestinalis tRNAs lacking DHU arms. The tRNAs are labeled with the standard amino acid abbreviations and their positions in the mitochondrial genome.</w:t>
      </w:r>
    </w:p>
    <w:p>
      <w:pPr>
        <w:pStyle w:val="Normal"/>
        <w:bidi w:val="0"/>
        <w:spacing w:lineRule="auto" w:line="360"/>
        <w:jc w:val="both"/>
        <w:rPr>
          <w:rFonts w:cs="Times New Roman"/>
          <w:b w:val="false"/>
          <w:bCs w:val="false"/>
          <w:lang w:val="en-US"/>
        </w:rPr>
      </w:pPr>
      <w:r>
        <w:rPr>
          <w:rFonts w:cs="Times New Roman"/>
          <w:b w:val="false"/>
          <w:bCs w:val="false"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-635635</wp:posOffset>
            </wp:positionH>
            <wp:positionV relativeFrom="paragraph">
              <wp:posOffset>83820</wp:posOffset>
            </wp:positionV>
            <wp:extent cx="7003415" cy="3358515"/>
            <wp:effectExtent l="0" t="0" r="0" b="0"/>
            <wp:wrapSquare wrapText="largest"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</w:p>
    <w:p>
      <w:pPr>
        <w:pStyle w:val="Normal"/>
        <w:bidi w:val="0"/>
        <w:spacing w:lineRule="auto" w:line="360"/>
        <w:jc w:val="both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</w:r>
      <w:r>
        <w:br w:type="page"/>
      </w:r>
    </w:p>
    <w:p>
      <w:pPr>
        <w:pStyle w:val="Normal"/>
        <w:bidi w:val="0"/>
        <w:spacing w:lineRule="auto" w:line="360" w:before="0" w:after="0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-66675</wp:posOffset>
            </wp:positionH>
            <wp:positionV relativeFrom="paragraph">
              <wp:posOffset>1511300</wp:posOffset>
            </wp:positionV>
            <wp:extent cx="6120130" cy="1421130"/>
            <wp:effectExtent l="0" t="0" r="0" b="0"/>
            <wp:wrapSquare wrapText="largest"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position w:val="0"/>
          <w:sz w:val="24"/>
          <w:sz w:val="24"/>
          <w:szCs w:val="24"/>
          <w:vertAlign w:val="baseline"/>
          <w:lang w:val="en-US"/>
        </w:rPr>
        <w:t xml:space="preserve">Figure S2. </w:t>
      </w:r>
      <w:r>
        <w:rPr>
          <w:rFonts w:cs="Times New Roman" w:ascii="Times New Roman" w:hAnsi="Times New Roman"/>
          <w:b w:val="false"/>
          <w:bCs w:val="false"/>
          <w:position w:val="0"/>
          <w:sz w:val="24"/>
          <w:sz w:val="24"/>
          <w:szCs w:val="24"/>
          <w:vertAlign w:val="baseline"/>
          <w:lang w:val="en-US"/>
        </w:rPr>
        <w:t>Motifs located in the non-coding region 2 (NCR2) of L. intestinalis. Tandem repeat motifs are represented by red and sky blue boxes, while other variable motifs are highlighted in different colors.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altName w:val="serif"/>
    <w:charset w:val="01"/>
    <w:family w:val="auto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es-P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es-PE" w:eastAsia="zh-CN" w:bidi="hi-IN"/>
    </w:rPr>
  </w:style>
  <w:style w:type="paragraph" w:styleId="Heading1">
    <w:name w:val="Heading 1"/>
    <w:basedOn w:val="Normal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s-P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LibreOffice/24.2.7.2$Linux_X86_64 LibreOffice_project/420$Build-2</Application>
  <AppVersion>15.0000</AppVersion>
  <Pages>3</Pages>
  <Words>107</Words>
  <Characters>720</Characters>
  <CharactersWithSpaces>824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2025-03-06T00:07:59Z</dcterms:created>
  <dc:creator/>
  <dc:description/>
  <dc:language>es-PE</dc:language>
  <cp:lastModifiedBy/>
  <dcterms:modified xsi:type="dcterms:W3CDTF">2025-03-06T00:42:19Z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