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4A78" w14:textId="42D5FE10" w:rsidR="00833AD2" w:rsidRDefault="00ED503C" w:rsidP="00ED503C">
      <w:pPr>
        <w:pStyle w:val="Web"/>
        <w:rPr>
          <w:rFonts w:hint="eastAsia"/>
        </w:rPr>
      </w:pPr>
      <w:r>
        <w:rPr>
          <w:noProof/>
        </w:rPr>
        <w:drawing>
          <wp:inline distT="0" distB="0" distL="0" distR="0" wp14:anchorId="246BDCBC" wp14:editId="445FD2AA">
            <wp:extent cx="6645910" cy="2007235"/>
            <wp:effectExtent l="0" t="0" r="2540" b="0"/>
            <wp:docPr id="1400485520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85520" name="図 1" descr="ダイアグラム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5F36E" w14:textId="026A5587" w:rsidR="00833AD2" w:rsidRPr="00ED503C" w:rsidRDefault="0034477D" w:rsidP="00ED503C">
      <w:pPr>
        <w:spacing w:line="480" w:lineRule="auto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8F736B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715D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F736B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="00ED503C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 xml:space="preserve"> </w:t>
      </w:r>
      <w:r w:rsidRPr="008F736B">
        <w:rPr>
          <w:rFonts w:ascii="Times New Roman" w:hAnsi="Times New Roman" w:cs="Times New Roman"/>
          <w:sz w:val="24"/>
          <w:szCs w:val="24"/>
        </w:rPr>
        <w:t>ROC analysis of p-tau217/(Aβ42/ Aβ40) vs</w:t>
      </w:r>
      <w:r w:rsidR="00923CEA">
        <w:rPr>
          <w:rFonts w:ascii="Times New Roman" w:hAnsi="Times New Roman" w:cs="Times New Roman"/>
          <w:sz w:val="24"/>
          <w:szCs w:val="24"/>
        </w:rPr>
        <w:t>.</w:t>
      </w:r>
      <w:r w:rsidRPr="008F736B">
        <w:rPr>
          <w:rFonts w:ascii="Times New Roman" w:hAnsi="Times New Roman" w:cs="Times New Roman"/>
          <w:sz w:val="24"/>
          <w:szCs w:val="24"/>
        </w:rPr>
        <w:t xml:space="preserve"> tau217/Aβ42. The comparison groups are as follows: A: AD continuum (n=94) vs</w:t>
      </w:r>
      <w:r w:rsidR="00EF393D">
        <w:rPr>
          <w:rFonts w:ascii="Times New Roman" w:hAnsi="Times New Roman" w:cs="Times New Roman"/>
          <w:sz w:val="24"/>
          <w:szCs w:val="24"/>
        </w:rPr>
        <w:t>.</w:t>
      </w:r>
      <w:r w:rsidRPr="008F736B">
        <w:rPr>
          <w:rFonts w:ascii="Times New Roman" w:hAnsi="Times New Roman" w:cs="Times New Roman"/>
          <w:sz w:val="24"/>
          <w:szCs w:val="24"/>
        </w:rPr>
        <w:t xml:space="preserve"> HC + non-AD dementia (n=149);</w:t>
      </w:r>
      <w:r w:rsidR="00ED503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Pr="008F736B">
        <w:rPr>
          <w:rFonts w:ascii="Times New Roman" w:hAnsi="Times New Roman" w:cs="Times New Roman"/>
          <w:sz w:val="24"/>
          <w:szCs w:val="24"/>
        </w:rPr>
        <w:t>B: AD-MCI + AD-D (n=8</w:t>
      </w:r>
      <w:r w:rsidR="00ED503C">
        <w:rPr>
          <w:rFonts w:ascii="Times New Roman" w:hAnsi="Times New Roman" w:cs="Times New Roman" w:hint="eastAsia"/>
          <w:sz w:val="24"/>
          <w:szCs w:val="24"/>
          <w:lang w:eastAsia="ja-JP"/>
        </w:rPr>
        <w:t>1</w:t>
      </w:r>
      <w:r w:rsidRPr="008F736B">
        <w:rPr>
          <w:rFonts w:ascii="Times New Roman" w:hAnsi="Times New Roman" w:cs="Times New Roman"/>
          <w:sz w:val="24"/>
          <w:szCs w:val="24"/>
        </w:rPr>
        <w:t>) vs</w:t>
      </w:r>
      <w:r w:rsidR="00EF393D">
        <w:rPr>
          <w:rFonts w:ascii="Times New Roman" w:hAnsi="Times New Roman" w:cs="Times New Roman"/>
          <w:sz w:val="24"/>
          <w:szCs w:val="24"/>
        </w:rPr>
        <w:t>.</w:t>
      </w:r>
      <w:r w:rsidRPr="008F736B">
        <w:rPr>
          <w:rFonts w:ascii="Times New Roman" w:hAnsi="Times New Roman" w:cs="Times New Roman"/>
          <w:sz w:val="24"/>
          <w:szCs w:val="24"/>
        </w:rPr>
        <w:t xml:space="preserve"> non-AD dementia (n=80);</w:t>
      </w:r>
      <w:r w:rsidR="00ED503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Pr="008F736B">
        <w:rPr>
          <w:rFonts w:ascii="Times New Roman" w:hAnsi="Times New Roman" w:cs="Times New Roman"/>
          <w:sz w:val="24"/>
          <w:szCs w:val="24"/>
        </w:rPr>
        <w:t>C: preAD (n=1</w:t>
      </w:r>
      <w:r w:rsidR="00ED503C">
        <w:rPr>
          <w:rFonts w:ascii="Times New Roman" w:hAnsi="Times New Roman" w:cs="Times New Roman" w:hint="eastAsia"/>
          <w:sz w:val="24"/>
          <w:szCs w:val="24"/>
          <w:lang w:eastAsia="ja-JP"/>
        </w:rPr>
        <w:t>3</w:t>
      </w:r>
      <w:r w:rsidRPr="008F736B">
        <w:rPr>
          <w:rFonts w:ascii="Times New Roman" w:hAnsi="Times New Roman" w:cs="Times New Roman"/>
          <w:sz w:val="24"/>
          <w:szCs w:val="24"/>
        </w:rPr>
        <w:t>) vs</w:t>
      </w:r>
      <w:r w:rsidR="00EF393D">
        <w:rPr>
          <w:rFonts w:ascii="Times New Roman" w:hAnsi="Times New Roman" w:cs="Times New Roman"/>
          <w:sz w:val="24"/>
          <w:szCs w:val="24"/>
        </w:rPr>
        <w:t>.</w:t>
      </w:r>
      <w:r w:rsidRPr="008F736B">
        <w:rPr>
          <w:rFonts w:ascii="Times New Roman" w:hAnsi="Times New Roman" w:cs="Times New Roman"/>
          <w:sz w:val="24"/>
          <w:szCs w:val="24"/>
        </w:rPr>
        <w:t xml:space="preserve"> HC (n=69).</w:t>
      </w:r>
    </w:p>
    <w:sectPr w:rsidR="00833AD2" w:rsidRPr="00ED503C" w:rsidSect="00344E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7D"/>
    <w:rsid w:val="0034477D"/>
    <w:rsid w:val="00344E7E"/>
    <w:rsid w:val="00576002"/>
    <w:rsid w:val="00595F26"/>
    <w:rsid w:val="006C63E4"/>
    <w:rsid w:val="006D0CF1"/>
    <w:rsid w:val="00715D81"/>
    <w:rsid w:val="00833AD2"/>
    <w:rsid w:val="00923CEA"/>
    <w:rsid w:val="009A01DF"/>
    <w:rsid w:val="00B45B25"/>
    <w:rsid w:val="00E44DA5"/>
    <w:rsid w:val="00ED503C"/>
    <w:rsid w:val="00EF393D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A16E1"/>
  <w15:chartTrackingRefBased/>
  <w15:docId w15:val="{EAF1BF03-EFA4-4DCC-B721-7F8A1E7B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77D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715D81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ED503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9ma.salle@keio.jp</cp:lastModifiedBy>
  <cp:revision>2</cp:revision>
  <dcterms:created xsi:type="dcterms:W3CDTF">2025-03-14T01:18:00Z</dcterms:created>
  <dcterms:modified xsi:type="dcterms:W3CDTF">2025-03-14T01:18:00Z</dcterms:modified>
</cp:coreProperties>
</file>