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843F18" w14:textId="08634273" w:rsidR="00D5146C" w:rsidRPr="004E6AAA" w:rsidRDefault="00D5146C" w:rsidP="00D5146C">
      <w:pPr>
        <w:rPr>
          <w:rFonts w:ascii="Times New Roman" w:hAnsi="Times New Roman" w:cs="Times New Roman"/>
          <w:b/>
          <w:sz w:val="24"/>
          <w:szCs w:val="24"/>
        </w:rPr>
      </w:pPr>
      <w:r w:rsidRPr="004E6AAA">
        <w:rPr>
          <w:rFonts w:ascii="Times New Roman" w:hAnsi="Times New Roman" w:cs="Times New Roman"/>
          <w:b/>
          <w:sz w:val="24"/>
          <w:szCs w:val="24"/>
        </w:rPr>
        <w:t>Supplementary Material</w:t>
      </w:r>
    </w:p>
    <w:p w14:paraId="67754B37" w14:textId="77777777" w:rsidR="00574918" w:rsidRPr="00574918" w:rsidRDefault="00574918" w:rsidP="00574918">
      <w:pPr>
        <w:pStyle w:val="APPENDIXTITLE"/>
      </w:pPr>
      <w:bookmarkStart w:id="0" w:name="_Toc38475210"/>
      <w:r w:rsidRPr="00574918">
        <w:t xml:space="preserve">Recruitment Strategy For Pilot </w:t>
      </w:r>
      <w:r>
        <w:t>a</w:t>
      </w:r>
      <w:r w:rsidRPr="00574918">
        <w:t>nd Feasibility Study</w:t>
      </w:r>
      <w:bookmarkEnd w:id="0"/>
    </w:p>
    <w:p w14:paraId="19D37278" w14:textId="77777777" w:rsidR="00574918" w:rsidRDefault="00574918" w:rsidP="00574918">
      <w:pPr>
        <w:pStyle w:val="Paragraph"/>
        <w:ind w:firstLine="0"/>
      </w:pPr>
      <w:r>
        <w:tab/>
        <w:t>The recruitment strategy was developed to reach a wide audience through a variety of media formats to ensure a representative sample of participants with patellar tendinopathy. Beginning in January, 2019, local orthopedic and sports medicine physicians, as well as the University of Delaware Physical Therapy clinic, were notified of study initiation and provided with consent to contact forms and study flyers. The flyers directed interested individuals to an online REDCap survey where they could submit contact information and answer preliminary screening questions. On February 26</w:t>
      </w:r>
      <w:r w:rsidRPr="00B25942">
        <w:rPr>
          <w:vertAlign w:val="superscript"/>
        </w:rPr>
        <w:t>th</w:t>
      </w:r>
      <w:r>
        <w:t>, 2019, additional flyers were posted in athletic centers and gyms throughout New Castle County, DE. Facebook and Instagram advertisements were begun on May 9</w:t>
      </w:r>
      <w:r w:rsidRPr="00B25942">
        <w:rPr>
          <w:vertAlign w:val="superscript"/>
        </w:rPr>
        <w:t>th</w:t>
      </w:r>
      <w:r>
        <w:t>, 2019, with a target audience of sports medicine professionals, coaches, and adults within the target age range with interests in sports or recreational fitness. On September 1</w:t>
      </w:r>
      <w:r w:rsidRPr="00B25942">
        <w:rPr>
          <w:vertAlign w:val="superscript"/>
        </w:rPr>
        <w:t>st</w:t>
      </w:r>
      <w:r>
        <w:t>, 2019, advertisements were initiated with Delaware Sports League, an adult recreational sports league. These advertisements included monthly emails and dedicated social media posts. Delaware Sports League advertisements ran from September through November. The total number of interested individuals and the outcomes of screening are displayed in Figure S.1.</w:t>
      </w:r>
    </w:p>
    <w:p w14:paraId="5FDB383D" w14:textId="77777777" w:rsidR="00574918" w:rsidRDefault="00574918" w:rsidP="00574918">
      <w:pPr>
        <w:pStyle w:val="Figure-image"/>
      </w:pPr>
      <w:r>
        <w:rPr>
          <w:noProof/>
        </w:rPr>
        <w:lastRenderedPageBreak/>
        <w:drawing>
          <wp:inline distT="0" distB="0" distL="0" distR="0" wp14:anchorId="47C69A57" wp14:editId="291BD778">
            <wp:extent cx="4476585" cy="2487876"/>
            <wp:effectExtent l="0" t="0" r="635" b="825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05794" cy="2504109"/>
                    </a:xfrm>
                    <a:prstGeom prst="rect">
                      <a:avLst/>
                    </a:prstGeom>
                    <a:noFill/>
                  </pic:spPr>
                </pic:pic>
              </a:graphicData>
            </a:graphic>
          </wp:inline>
        </w:drawing>
      </w:r>
    </w:p>
    <w:p w14:paraId="78096369" w14:textId="77777777" w:rsidR="00574918" w:rsidRPr="00574918" w:rsidRDefault="00574918">
      <w:pPr>
        <w:rPr>
          <w:rFonts w:ascii="Times New Roman" w:hAnsi="Times New Roman" w:cs="Times New Roman"/>
        </w:rPr>
      </w:pPr>
      <w:bookmarkStart w:id="1" w:name="_Toc38475278"/>
      <w:r w:rsidRPr="00574918">
        <w:rPr>
          <w:rFonts w:ascii="Times New Roman" w:hAnsi="Times New Roman" w:cs="Times New Roman"/>
          <w:b/>
        </w:rPr>
        <w:t>Figure S.1.</w:t>
      </w:r>
      <w:r>
        <w:rPr>
          <w:rFonts w:ascii="Times New Roman" w:hAnsi="Times New Roman" w:cs="Times New Roman"/>
        </w:rPr>
        <w:t xml:space="preserve"> </w:t>
      </w:r>
      <w:r w:rsidRPr="00574918">
        <w:rPr>
          <w:rFonts w:ascii="Times New Roman" w:hAnsi="Times New Roman" w:cs="Times New Roman"/>
        </w:rPr>
        <w:t>Recruitment by month for pilot and feasibility randomized clinical trial.</w:t>
      </w:r>
      <w:bookmarkStart w:id="2" w:name="_Toc38475212"/>
      <w:bookmarkEnd w:id="1"/>
      <w:r>
        <w:br w:type="page"/>
      </w:r>
    </w:p>
    <w:p w14:paraId="6FF5AB75" w14:textId="77777777" w:rsidR="00574918" w:rsidRPr="00574918" w:rsidRDefault="00574918" w:rsidP="00574918">
      <w:pPr>
        <w:rPr>
          <w:rFonts w:ascii="Times New Roman" w:hAnsi="Times New Roman" w:cs="Times New Roman"/>
          <w:sz w:val="24"/>
          <w:szCs w:val="24"/>
        </w:rPr>
      </w:pPr>
      <w:bookmarkStart w:id="3" w:name="_Toc38475246"/>
      <w:bookmarkEnd w:id="2"/>
      <w:r w:rsidRPr="00574918">
        <w:rPr>
          <w:rFonts w:ascii="Times New Roman" w:hAnsi="Times New Roman" w:cs="Times New Roman"/>
          <w:b/>
          <w:sz w:val="24"/>
          <w:szCs w:val="24"/>
        </w:rPr>
        <w:lastRenderedPageBreak/>
        <w:t>Table S.1.</w:t>
      </w:r>
      <w:r w:rsidRPr="00574918">
        <w:rPr>
          <w:rFonts w:ascii="Times New Roman" w:hAnsi="Times New Roman" w:cs="Times New Roman"/>
          <w:sz w:val="24"/>
          <w:szCs w:val="24"/>
        </w:rPr>
        <w:t xml:space="preserve"> Reliability and responsiveness of outcome measures.</w:t>
      </w:r>
      <w:bookmarkEnd w:id="3"/>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8" w:type="dxa"/>
          <w:left w:w="115" w:type="dxa"/>
          <w:bottom w:w="58" w:type="dxa"/>
          <w:right w:w="115" w:type="dxa"/>
        </w:tblCellMar>
        <w:tblLook w:val="04A0" w:firstRow="1" w:lastRow="0" w:firstColumn="1" w:lastColumn="0" w:noHBand="0" w:noVBand="1"/>
      </w:tblPr>
      <w:tblGrid>
        <w:gridCol w:w="2245"/>
        <w:gridCol w:w="1440"/>
        <w:gridCol w:w="1341"/>
        <w:gridCol w:w="1357"/>
        <w:gridCol w:w="1183"/>
        <w:gridCol w:w="786"/>
      </w:tblGrid>
      <w:tr w:rsidR="00574918" w14:paraId="51442E8B" w14:textId="77777777" w:rsidTr="00E25757">
        <w:tc>
          <w:tcPr>
            <w:tcW w:w="2245" w:type="dxa"/>
            <w:tcBorders>
              <w:top w:val="single" w:sz="4" w:space="0" w:color="auto"/>
            </w:tcBorders>
          </w:tcPr>
          <w:p w14:paraId="3EBFA143" w14:textId="77777777" w:rsidR="00574918" w:rsidRPr="00DD5F1E" w:rsidRDefault="00574918" w:rsidP="00E25757">
            <w:pPr>
              <w:pStyle w:val="Paragraph"/>
              <w:spacing w:line="240" w:lineRule="auto"/>
              <w:ind w:firstLine="0"/>
              <w:rPr>
                <w:sz w:val="20"/>
                <w:szCs w:val="20"/>
              </w:rPr>
            </w:pPr>
            <w:bookmarkStart w:id="4" w:name="_Hlk37853105"/>
          </w:p>
        </w:tc>
        <w:tc>
          <w:tcPr>
            <w:tcW w:w="1440" w:type="dxa"/>
            <w:tcBorders>
              <w:top w:val="single" w:sz="4" w:space="0" w:color="auto"/>
              <w:bottom w:val="single" w:sz="4" w:space="0" w:color="auto"/>
            </w:tcBorders>
          </w:tcPr>
          <w:p w14:paraId="589A679F" w14:textId="77777777" w:rsidR="00574918" w:rsidRPr="00DD5F1E" w:rsidRDefault="00574918" w:rsidP="00E25757">
            <w:pPr>
              <w:pStyle w:val="Paragraph"/>
              <w:spacing w:line="240" w:lineRule="auto"/>
              <w:ind w:firstLine="0"/>
              <w:jc w:val="center"/>
              <w:rPr>
                <w:b/>
                <w:sz w:val="20"/>
                <w:szCs w:val="20"/>
              </w:rPr>
            </w:pPr>
            <w:r w:rsidRPr="00DD5F1E">
              <w:rPr>
                <w:b/>
                <w:sz w:val="20"/>
                <w:szCs w:val="20"/>
              </w:rPr>
              <w:t>ICC</w:t>
            </w:r>
          </w:p>
        </w:tc>
        <w:tc>
          <w:tcPr>
            <w:tcW w:w="1341" w:type="dxa"/>
            <w:tcBorders>
              <w:top w:val="single" w:sz="4" w:space="0" w:color="auto"/>
              <w:bottom w:val="single" w:sz="4" w:space="0" w:color="auto"/>
            </w:tcBorders>
          </w:tcPr>
          <w:p w14:paraId="36862843" w14:textId="77777777" w:rsidR="00574918" w:rsidRPr="00DD5F1E" w:rsidRDefault="00574918" w:rsidP="00E25757">
            <w:pPr>
              <w:pStyle w:val="Paragraph"/>
              <w:spacing w:line="240" w:lineRule="auto"/>
              <w:ind w:firstLine="0"/>
              <w:jc w:val="center"/>
              <w:rPr>
                <w:b/>
                <w:sz w:val="20"/>
                <w:szCs w:val="20"/>
              </w:rPr>
            </w:pPr>
            <w:r w:rsidRPr="00DD5F1E">
              <w:rPr>
                <w:b/>
                <w:sz w:val="20"/>
                <w:szCs w:val="20"/>
              </w:rPr>
              <w:t>SEM</w:t>
            </w:r>
          </w:p>
        </w:tc>
        <w:tc>
          <w:tcPr>
            <w:tcW w:w="0" w:type="auto"/>
            <w:tcBorders>
              <w:top w:val="single" w:sz="4" w:space="0" w:color="auto"/>
              <w:bottom w:val="single" w:sz="4" w:space="0" w:color="auto"/>
            </w:tcBorders>
          </w:tcPr>
          <w:p w14:paraId="53C36296" w14:textId="77777777" w:rsidR="00574918" w:rsidRPr="00DD5F1E" w:rsidRDefault="00574918" w:rsidP="00E25757">
            <w:pPr>
              <w:pStyle w:val="Paragraph"/>
              <w:spacing w:line="240" w:lineRule="auto"/>
              <w:ind w:firstLine="0"/>
              <w:jc w:val="center"/>
              <w:rPr>
                <w:b/>
                <w:sz w:val="20"/>
                <w:szCs w:val="20"/>
                <w:vertAlign w:val="subscript"/>
              </w:rPr>
            </w:pPr>
            <w:r w:rsidRPr="00DD5F1E">
              <w:rPr>
                <w:b/>
                <w:sz w:val="20"/>
                <w:szCs w:val="20"/>
              </w:rPr>
              <w:t>SDC</w:t>
            </w:r>
            <w:r w:rsidRPr="00DD5F1E">
              <w:rPr>
                <w:b/>
                <w:sz w:val="20"/>
                <w:szCs w:val="20"/>
                <w:vertAlign w:val="subscript"/>
              </w:rPr>
              <w:t>95%-individual</w:t>
            </w:r>
          </w:p>
        </w:tc>
        <w:tc>
          <w:tcPr>
            <w:tcW w:w="0" w:type="auto"/>
            <w:tcBorders>
              <w:top w:val="single" w:sz="4" w:space="0" w:color="auto"/>
              <w:bottom w:val="single" w:sz="4" w:space="0" w:color="auto"/>
            </w:tcBorders>
          </w:tcPr>
          <w:p w14:paraId="09AA02F1" w14:textId="77777777" w:rsidR="00574918" w:rsidRPr="00DD5F1E" w:rsidRDefault="00574918" w:rsidP="00E25757">
            <w:pPr>
              <w:pStyle w:val="Paragraph"/>
              <w:spacing w:line="240" w:lineRule="auto"/>
              <w:ind w:firstLine="0"/>
              <w:jc w:val="center"/>
              <w:rPr>
                <w:b/>
                <w:sz w:val="20"/>
                <w:szCs w:val="20"/>
                <w:vertAlign w:val="subscript"/>
              </w:rPr>
            </w:pPr>
            <w:r w:rsidRPr="00DD5F1E">
              <w:rPr>
                <w:b/>
                <w:sz w:val="20"/>
                <w:szCs w:val="20"/>
              </w:rPr>
              <w:t>SDC</w:t>
            </w:r>
            <w:r w:rsidRPr="00DD5F1E">
              <w:rPr>
                <w:b/>
                <w:sz w:val="20"/>
                <w:szCs w:val="20"/>
                <w:vertAlign w:val="subscript"/>
              </w:rPr>
              <w:t>95%-group</w:t>
            </w:r>
          </w:p>
        </w:tc>
        <w:tc>
          <w:tcPr>
            <w:tcW w:w="0" w:type="auto"/>
            <w:tcBorders>
              <w:top w:val="single" w:sz="4" w:space="0" w:color="auto"/>
              <w:bottom w:val="single" w:sz="4" w:space="0" w:color="auto"/>
            </w:tcBorders>
          </w:tcPr>
          <w:p w14:paraId="5A3F80FC" w14:textId="77777777" w:rsidR="00574918" w:rsidRPr="00DD5F1E" w:rsidRDefault="00574918" w:rsidP="00E25757">
            <w:pPr>
              <w:pStyle w:val="Paragraph"/>
              <w:spacing w:line="240" w:lineRule="auto"/>
              <w:ind w:firstLine="0"/>
              <w:jc w:val="center"/>
              <w:rPr>
                <w:b/>
                <w:sz w:val="20"/>
                <w:szCs w:val="20"/>
              </w:rPr>
            </w:pPr>
            <w:r w:rsidRPr="00DD5F1E">
              <w:rPr>
                <w:b/>
                <w:sz w:val="20"/>
                <w:szCs w:val="20"/>
              </w:rPr>
              <w:t>MCID</w:t>
            </w:r>
          </w:p>
        </w:tc>
      </w:tr>
      <w:tr w:rsidR="00574918" w14:paraId="2CB36CF5" w14:textId="77777777" w:rsidTr="00132860">
        <w:tc>
          <w:tcPr>
            <w:tcW w:w="2245" w:type="dxa"/>
          </w:tcPr>
          <w:p w14:paraId="3FBA7305" w14:textId="6BBAAC1A" w:rsidR="003729BC" w:rsidRPr="00DD5F1E" w:rsidRDefault="00574918" w:rsidP="00E25757">
            <w:pPr>
              <w:pStyle w:val="Paragraph"/>
              <w:spacing w:line="240" w:lineRule="auto"/>
              <w:ind w:firstLine="0"/>
              <w:rPr>
                <w:b/>
                <w:sz w:val="20"/>
                <w:szCs w:val="20"/>
              </w:rPr>
            </w:pPr>
            <w:r w:rsidRPr="00DD5F1E">
              <w:rPr>
                <w:b/>
                <w:sz w:val="20"/>
                <w:szCs w:val="20"/>
              </w:rPr>
              <w:t>VISA-P (points)</w:t>
            </w:r>
            <w:r w:rsidRPr="00DD5F1E">
              <w:rPr>
                <w:b/>
                <w:sz w:val="20"/>
                <w:szCs w:val="20"/>
              </w:rPr>
              <w:fldChar w:fldCharType="begin" w:fldLock="1"/>
            </w:r>
            <w:r w:rsidR="002465E4">
              <w:rPr>
                <w:b/>
                <w:sz w:val="20"/>
                <w:szCs w:val="20"/>
              </w:rPr>
              <w:instrText>ADDIN CSL_CITATION {"citationItems":[{"id":"ITEM-1","itemData":{"DOI":"10.1136/bjsports-2012-091163","ISBN":"1473-0480","ISSN":"0306-3674","PMID":"23012320","abstract":"BACKGROUND: Patient-reported outcome measures are increasingly used in sports medicine to assess results after treatment, but interpretability of change for many instruments remains unclear.\\n\\nOBJECTIVE: To define the minimum clinically important difference (MCID) for the Victorian Institute of Sport Assessment scale (VISA-P) in athletes with patellar tendinopathy (PT) who underwent conservative treatment.\\n\\nMETHODS: Ninety-eight athletes with PT were enrolled in the study. Each participant completed the VISA-P at admission, after 1 week, and at the final visit. Athletes also assessed their clinical change at discharge on a 15-point Likert scale. We equated important change with a score of ≥3 (somewhat better). Receiver-operating characteristic (ROC) curve analysis and mean change score were used to determine MCID. Minimal detectable change was calculated. The effect of baseline scores on MCID and different criteria used to define important change were investigated. A Bayesian analysis was used to establish the posterior probability of reporting clinical changes related to MCID value.\\n\\nRESULTS: Athletes with PT who showed an absolute change greater than 13 points in the VISA-P score or 15.4-27% of relative change achieved a minimal important change in their clinical status. This value depended on baseline scores. The probability of a clinical change in a patient was 98% when this threshold was achieved and 45% when MCID was not achieved.\\n\\nCONCLUSIONS: Definition of the MCID will enhance the interpretability of changes in the VISA-P score in the athletes with PT, but caution is required when these values are used.","author":[{"dropping-particle":"","family":"Hernandez-Sanchez","given":"S.","non-dropping-particle":"","parse-names":false,"suffix":""},{"dropping-particle":"","family":"Hidalgo","given":"M. D.","non-dropping-particle":"","parse-names":false,"suffix":""},{"dropping-particle":"","family":"Gomez","given":"a.","non-dropping-particle":"","parse-names":false,"suffix":""}],"container-title":"British Journal of Sports Medicine","id":"ITEM-1","issue":"6","issued":{"date-parts":[["2012","3"]]},"note":"From Duplicate 1 (Responsiveness of the VISA-P scale for patellar tendinopathy in athletes - Hernandez-Sanchez, S.; Hidalgo, M. D.; Gomez, a.)\n\nUsed athletic population\n\nMCID = 13 points or 15.4-27% improvement from baseline\n\nFrom Duplicate 2 (Responsiveness of the VISA-P scale for patellar tendinopathy in athletes - Hernandez-Sanchez, S.; Hidalgo, M. D.; Gomez, a.)\n\nFrom Duplicate 1 (Responsiveness of the VISA-P scale for patellar tendinopathy in athletes - Hernandez-Sanchez, S.; Hidalgo, M. D.; Gomez, a.)\n\nUsed athletic population\n\nMCID = 13 points or 15.4-27% improvement from baseline\n\nFrom Duplicate 2 (Responsiveness of the VISA-P scale for patellar tendinopathy in athletes - Hernandez-Sanchez, S; Hidalgo, M D; Gomez, A)\n\nLR: 20151119; JID: 0432520; OTO: NOTNLM; ppublish","page":"453-457","title":"Responsiveness of the VISA-P scale for patellar tendinopathy in athletes","type":"article-journal","volume":"3"},"uris":["http://www.mendeley.com/documents/?uuid=187380ac-91cc-49fb-adc2-e7d4f31b14fa"]}],"mendeley":{"formattedCitation":"(1)","plainTextFormattedCitation":"(1)","previouslyFormattedCitation":"(1)"},"properties":{"noteIndex":0},"schema":"https://github.com/citation-style-language/schema/raw/master/csl-citation.json"}</w:instrText>
            </w:r>
            <w:r w:rsidRPr="00DD5F1E">
              <w:rPr>
                <w:b/>
                <w:sz w:val="20"/>
                <w:szCs w:val="20"/>
              </w:rPr>
              <w:fldChar w:fldCharType="separate"/>
            </w:r>
            <w:r w:rsidR="004E6AAA" w:rsidRPr="004E6AAA">
              <w:rPr>
                <w:noProof/>
                <w:sz w:val="20"/>
                <w:szCs w:val="20"/>
              </w:rPr>
              <w:t>(1)</w:t>
            </w:r>
            <w:r w:rsidRPr="00DD5F1E">
              <w:rPr>
                <w:b/>
                <w:sz w:val="20"/>
                <w:szCs w:val="20"/>
              </w:rPr>
              <w:fldChar w:fldCharType="end"/>
            </w:r>
          </w:p>
        </w:tc>
        <w:tc>
          <w:tcPr>
            <w:tcW w:w="1440" w:type="dxa"/>
            <w:tcBorders>
              <w:top w:val="single" w:sz="4" w:space="0" w:color="auto"/>
            </w:tcBorders>
          </w:tcPr>
          <w:p w14:paraId="6EDB6F90" w14:textId="77777777" w:rsidR="00574918" w:rsidRPr="00DD5F1E" w:rsidRDefault="00574918" w:rsidP="00E25757">
            <w:pPr>
              <w:pStyle w:val="Paragraph"/>
              <w:spacing w:line="240" w:lineRule="auto"/>
              <w:ind w:firstLine="0"/>
              <w:jc w:val="center"/>
              <w:rPr>
                <w:sz w:val="20"/>
                <w:szCs w:val="20"/>
              </w:rPr>
            </w:pPr>
            <w:r w:rsidRPr="00DD5F1E">
              <w:rPr>
                <w:sz w:val="20"/>
                <w:szCs w:val="20"/>
              </w:rPr>
              <w:t>0.95</w:t>
            </w:r>
          </w:p>
        </w:tc>
        <w:tc>
          <w:tcPr>
            <w:tcW w:w="1341" w:type="dxa"/>
            <w:tcBorders>
              <w:top w:val="single" w:sz="4" w:space="0" w:color="auto"/>
            </w:tcBorders>
          </w:tcPr>
          <w:p w14:paraId="7353E4F7" w14:textId="77777777" w:rsidR="00574918" w:rsidRPr="00DD5F1E" w:rsidRDefault="00574918" w:rsidP="00E25757">
            <w:pPr>
              <w:pStyle w:val="Paragraph"/>
              <w:spacing w:line="240" w:lineRule="auto"/>
              <w:ind w:firstLine="0"/>
              <w:jc w:val="center"/>
              <w:rPr>
                <w:sz w:val="20"/>
                <w:szCs w:val="20"/>
              </w:rPr>
            </w:pPr>
            <w:r w:rsidRPr="00DD5F1E">
              <w:rPr>
                <w:sz w:val="20"/>
                <w:szCs w:val="20"/>
              </w:rPr>
              <w:t>4.0</w:t>
            </w:r>
          </w:p>
        </w:tc>
        <w:tc>
          <w:tcPr>
            <w:tcW w:w="0" w:type="auto"/>
            <w:tcBorders>
              <w:top w:val="single" w:sz="4" w:space="0" w:color="auto"/>
            </w:tcBorders>
          </w:tcPr>
          <w:p w14:paraId="7483C918" w14:textId="77777777" w:rsidR="00574918" w:rsidRPr="00DD5F1E" w:rsidRDefault="00574918" w:rsidP="00E25757">
            <w:pPr>
              <w:pStyle w:val="Paragraph"/>
              <w:spacing w:line="240" w:lineRule="auto"/>
              <w:ind w:firstLine="0"/>
              <w:jc w:val="center"/>
              <w:rPr>
                <w:sz w:val="20"/>
                <w:szCs w:val="20"/>
              </w:rPr>
            </w:pPr>
            <w:r w:rsidRPr="00DD5F1E">
              <w:rPr>
                <w:sz w:val="20"/>
                <w:szCs w:val="20"/>
              </w:rPr>
              <w:t>11.1</w:t>
            </w:r>
          </w:p>
        </w:tc>
        <w:tc>
          <w:tcPr>
            <w:tcW w:w="0" w:type="auto"/>
            <w:tcBorders>
              <w:top w:val="single" w:sz="4" w:space="0" w:color="auto"/>
            </w:tcBorders>
          </w:tcPr>
          <w:p w14:paraId="7EC6972D" w14:textId="77777777" w:rsidR="00574918" w:rsidRPr="00DD5F1E" w:rsidRDefault="00574918" w:rsidP="00E25757">
            <w:pPr>
              <w:pStyle w:val="Paragraph"/>
              <w:spacing w:line="240" w:lineRule="auto"/>
              <w:ind w:firstLine="0"/>
              <w:jc w:val="center"/>
              <w:rPr>
                <w:sz w:val="20"/>
                <w:szCs w:val="20"/>
              </w:rPr>
            </w:pPr>
            <w:r w:rsidRPr="00DD5F1E">
              <w:rPr>
                <w:sz w:val="20"/>
                <w:szCs w:val="20"/>
              </w:rPr>
              <w:t>1.2</w:t>
            </w:r>
          </w:p>
        </w:tc>
        <w:tc>
          <w:tcPr>
            <w:tcW w:w="0" w:type="auto"/>
            <w:tcBorders>
              <w:top w:val="single" w:sz="4" w:space="0" w:color="auto"/>
            </w:tcBorders>
          </w:tcPr>
          <w:p w14:paraId="23A2841F" w14:textId="77777777" w:rsidR="00574918" w:rsidRPr="00DD5F1E" w:rsidRDefault="00574918" w:rsidP="00E25757">
            <w:pPr>
              <w:pStyle w:val="Paragraph"/>
              <w:spacing w:line="240" w:lineRule="auto"/>
              <w:ind w:firstLine="0"/>
              <w:jc w:val="center"/>
              <w:rPr>
                <w:sz w:val="20"/>
                <w:szCs w:val="20"/>
              </w:rPr>
            </w:pPr>
            <w:r w:rsidRPr="00DD5F1E">
              <w:rPr>
                <w:sz w:val="20"/>
                <w:szCs w:val="20"/>
              </w:rPr>
              <w:t>13.0</w:t>
            </w:r>
          </w:p>
        </w:tc>
      </w:tr>
      <w:tr w:rsidR="00692CE4" w14:paraId="7E4F127F" w14:textId="77777777" w:rsidTr="00132860">
        <w:tc>
          <w:tcPr>
            <w:tcW w:w="2245" w:type="dxa"/>
            <w:shd w:val="clear" w:color="auto" w:fill="BFBFBF" w:themeFill="background1" w:themeFillShade="BF"/>
          </w:tcPr>
          <w:p w14:paraId="5E69AA70" w14:textId="3A41FDD7" w:rsidR="00692CE4" w:rsidRPr="00DD5F1E" w:rsidRDefault="00692CE4" w:rsidP="00E25757">
            <w:pPr>
              <w:pStyle w:val="Paragraph"/>
              <w:spacing w:line="240" w:lineRule="auto"/>
              <w:ind w:firstLine="0"/>
              <w:rPr>
                <w:b/>
                <w:sz w:val="20"/>
                <w:szCs w:val="20"/>
              </w:rPr>
            </w:pPr>
            <w:r>
              <w:rPr>
                <w:b/>
                <w:sz w:val="20"/>
                <w:szCs w:val="20"/>
              </w:rPr>
              <w:t>NPRS (points)</w:t>
            </w:r>
            <w:r w:rsidRPr="00132860">
              <w:rPr>
                <w:sz w:val="20"/>
                <w:szCs w:val="20"/>
              </w:rPr>
              <w:fldChar w:fldCharType="begin" w:fldLock="1"/>
            </w:r>
            <w:r w:rsidR="002465E4">
              <w:rPr>
                <w:sz w:val="20"/>
                <w:szCs w:val="20"/>
              </w:rPr>
              <w:instrText>ADDIN CSL_CITATION {"citationItems":[{"id":"ITEM-1","itemData":{"DOI":"10.2147/JPR.S158847","ISBN":"9780323609845","ISSN":"1178-7090","PMID":"29731662","abstract":"Objective Several scales are commonly used for assessing pain intensity. Among them, the numerical rating scale (NRS), visual analog scale (VAS), and verbal rating scale (VRS) are often used in clinical practice. However, no study has performed psychometric analyses of their reliability and validity in the measurement of osteoarthritic (OA) pain. Therefore, the present study examined the test-retest reliability, validity, and minimum detectable change (MDC) of the VAS, NRS, and VRS for the measurement of OA knee pain. In addition, the correlations of VAS, NRS, and VRS with demographic variables were evaluated. Methods The study included 121 subjects (65 women, 56 men; aged 40-80 years) with OA of the knee. Test-retest reliability of the VAS, NRS, and VRS was assessed during two consecutive visits in a 24 h interval. The validity was tested using Pearson's correlation coefficients between the baseline scores of VAS, NRS, and VRS and the demographic variables (age, body mass index [BMI], sex, and OA grade). The standard error of measurement (SEM) and the MDC were calculated to assess statistically meaningful changes. Results The intraclass correlation coefficients of the VAS, NRS, and VRS were 0.97, 0.95, and 0.93, respectively. VAS, NRS, and VRS were significantly related to demographic variables (age, BMI, sex, and OA grade). The SEM of VAS, NRS, and VRS was 0.03, 0.48, and 0.21, respectively. The MDC of VAS, NRS, and VRS was 0.08, 1.33, and 0.58, respectively. Conclusion All the three scales had excellent test-retest reliability. However, the VAS was the most reliable, with the smallest errors in the measurement of OA knee pain.","author":[{"dropping-particle":"","family":"Alghadir","given":"Ahmad H","non-dropping-particle":"","parse-names":false,"suffix":""},{"dropping-particle":"","family":"Anwer","given":"Shahnawaz","non-dropping-particle":"","parse-names":false,"suffix":""},{"dropping-particle":"","family":"Iqbal","given":"Amir","non-dropping-particle":"","parse-names":false,"suffix":""},{"dropping-particle":"","family":"Iqbal","given":"Zaheen Ahmed","non-dropping-particle":"","parse-names":false,"suffix":""}],"container-title":"Journal of pain research","id":"ITEM-1","issued":{"date-parts":[["2018"]]},"page":"851-856","title":"Test-retest reliability, validity, and minimum detectable change of visual analog, numerical rating, and verbal rating scales for measurement of osteoarthritic knee pain.","type":"article-journal","volume":"11"},"uris":["http://www.mendeley.com/documents/?uuid=922ffc66-7cbe-4a0d-8982-bd18108247fd"]},{"id":"ITEM-2","itemData":{"DOI":"10.1016/s0304-3959(01)00349-9","ISSN":"0304-3959","PMID":"11690728","abstract":"Pain intensity is frequently measured on an 11-point pain intensity numerical rating scale (PI-NRS), where 0=no pain and 10=worst possible pain. However, it is difficult to interpret the clinical importance of changes from baseline on this scale (such as a 1- or 2-point change). To date, there are no data driven estimates for clinically important differences in pain intensity scales used for chronic pain studies. We have estimated a clinically important difference on this scale by relating it to global assessments of change in multiple studies of chronic pain. Data on 2724 subjects from 10 recently completed placebo-controlled clinical trials of pregabalin in diabetic neuropathy, postherpetic neuralgia, chronic low back pain, fibromyalgia, and osteoarthritis were used. The studies had similar designs and measurement instruments, including the PI-NRS, collected in a daily diary, and the standard seven-point patient global impression of change (PGIC), collected at the endpoint. The changes in the PI-NRS from baseline to the endpoint were compared to the PGIC for each subject. Categories of \"much improved\" and \"very much improved\" were used as determinants of a clinically important difference and the relationship to the PI-NRS was explored using graphs, box plots, and sensitivity/specificity analyses. A consistent relationship between the change in PI-NRS and the PGIC was demonstrated regardless of study, disease type, age, sex, study result, or treatment group. On average, a reduction of approximately two points or a reduction of approximately 30% in the PI-NRS represented a clinically important difference. The relationship between percent change and the PGIC was also consistent regardless of baseline pain, while higher baseline scores required larger raw changes to represent a clinically important difference. The application of these results to future studies may provide a standard definition of clinically important improvement in clinical trials of chronic pain therapies. Use of a standard outcome across chronic pain studies would greatly enhance the comparability, validity, and clinical applicability of these studies.","author":[{"dropping-particle":"","family":"Farrar","given":"John T.","non-dropping-particle":"","parse-names":false,"suffix":""},{"dropping-particle":"","family":"Young","given":"James P.","non-dropping-particle":"","parse-names":false,"suffix":""},{"dropping-particle":"","family":"LaMoreaux","given":"Linda","non-dropping-particle":"","parse-names":false,"suffix":""},{"dropping-particle":"","family":"Werth","given":"John L.","non-dropping-particle":"","parse-names":false,"suffix":""},{"dropping-particle":"","family":"Poole","given":"R. Michael","non-dropping-particle":"","parse-names":false,"suffix":""}],"container-title":"Pain","id":"ITEM-2","issue":"2","issued":{"date-parts":[["2001","11"]]},"page":"149-58","title":"Clinical importance of changes in chronic pain intensity measured on an 11-point numerical pain rating scale.","type":"article-journal","volume":"94"},"uris":["http://www.mendeley.com/documents/?uuid=ee79338a-5bb7-4352-a5fb-fab863d46896"]}],"mendeley":{"formattedCitation":"(2,3)","plainTextFormattedCitation":"(2,3)","previouslyFormattedCitation":"(2,3)"},"properties":{"noteIndex":0},"schema":"https://github.com/citation-style-language/schema/raw/master/csl-citation.json"}</w:instrText>
            </w:r>
            <w:r w:rsidRPr="00132860">
              <w:rPr>
                <w:sz w:val="20"/>
                <w:szCs w:val="20"/>
              </w:rPr>
              <w:fldChar w:fldCharType="separate"/>
            </w:r>
            <w:r w:rsidR="002465E4" w:rsidRPr="002465E4">
              <w:rPr>
                <w:noProof/>
                <w:sz w:val="20"/>
                <w:szCs w:val="20"/>
              </w:rPr>
              <w:t>(2,3)</w:t>
            </w:r>
            <w:r w:rsidRPr="00132860">
              <w:rPr>
                <w:sz w:val="20"/>
                <w:szCs w:val="20"/>
              </w:rPr>
              <w:fldChar w:fldCharType="end"/>
            </w:r>
          </w:p>
        </w:tc>
        <w:tc>
          <w:tcPr>
            <w:tcW w:w="1440" w:type="dxa"/>
            <w:shd w:val="clear" w:color="auto" w:fill="BFBFBF" w:themeFill="background1" w:themeFillShade="BF"/>
          </w:tcPr>
          <w:p w14:paraId="16BC6A86" w14:textId="2EBA78E6" w:rsidR="00692CE4" w:rsidRPr="00DD5F1E" w:rsidRDefault="00692CE4" w:rsidP="00E25757">
            <w:pPr>
              <w:pStyle w:val="Paragraph"/>
              <w:spacing w:line="240" w:lineRule="auto"/>
              <w:ind w:firstLine="0"/>
              <w:jc w:val="center"/>
              <w:rPr>
                <w:sz w:val="20"/>
                <w:szCs w:val="20"/>
              </w:rPr>
            </w:pPr>
            <w:r>
              <w:rPr>
                <w:sz w:val="20"/>
                <w:szCs w:val="20"/>
              </w:rPr>
              <w:t>0.95</w:t>
            </w:r>
          </w:p>
        </w:tc>
        <w:tc>
          <w:tcPr>
            <w:tcW w:w="1341" w:type="dxa"/>
            <w:shd w:val="clear" w:color="auto" w:fill="BFBFBF" w:themeFill="background1" w:themeFillShade="BF"/>
          </w:tcPr>
          <w:p w14:paraId="554F565E" w14:textId="2E205FF5" w:rsidR="00692CE4" w:rsidRPr="00DD5F1E" w:rsidRDefault="00692CE4" w:rsidP="00E25757">
            <w:pPr>
              <w:pStyle w:val="Paragraph"/>
              <w:spacing w:line="240" w:lineRule="auto"/>
              <w:ind w:firstLine="0"/>
              <w:jc w:val="center"/>
              <w:rPr>
                <w:sz w:val="20"/>
                <w:szCs w:val="20"/>
              </w:rPr>
            </w:pPr>
            <w:r>
              <w:rPr>
                <w:sz w:val="20"/>
                <w:szCs w:val="20"/>
              </w:rPr>
              <w:t>0.48</w:t>
            </w:r>
          </w:p>
        </w:tc>
        <w:tc>
          <w:tcPr>
            <w:tcW w:w="0" w:type="auto"/>
            <w:shd w:val="clear" w:color="auto" w:fill="BFBFBF" w:themeFill="background1" w:themeFillShade="BF"/>
          </w:tcPr>
          <w:p w14:paraId="5FB13D1F" w14:textId="5D751882" w:rsidR="00692CE4" w:rsidRPr="00DD5F1E" w:rsidRDefault="00692CE4" w:rsidP="00E25757">
            <w:pPr>
              <w:pStyle w:val="Paragraph"/>
              <w:spacing w:line="240" w:lineRule="auto"/>
              <w:ind w:firstLine="0"/>
              <w:jc w:val="center"/>
              <w:rPr>
                <w:sz w:val="20"/>
                <w:szCs w:val="20"/>
              </w:rPr>
            </w:pPr>
            <w:r>
              <w:rPr>
                <w:sz w:val="20"/>
                <w:szCs w:val="20"/>
              </w:rPr>
              <w:t>1.3</w:t>
            </w:r>
          </w:p>
        </w:tc>
        <w:tc>
          <w:tcPr>
            <w:tcW w:w="0" w:type="auto"/>
            <w:shd w:val="clear" w:color="auto" w:fill="BFBFBF" w:themeFill="background1" w:themeFillShade="BF"/>
          </w:tcPr>
          <w:p w14:paraId="2D82BA76" w14:textId="5BC21243" w:rsidR="00692CE4" w:rsidRPr="00DD5F1E" w:rsidRDefault="00692CE4" w:rsidP="00E25757">
            <w:pPr>
              <w:pStyle w:val="Paragraph"/>
              <w:spacing w:line="240" w:lineRule="auto"/>
              <w:ind w:firstLine="0"/>
              <w:jc w:val="center"/>
              <w:rPr>
                <w:sz w:val="20"/>
                <w:szCs w:val="20"/>
              </w:rPr>
            </w:pPr>
            <w:r>
              <w:rPr>
                <w:sz w:val="20"/>
                <w:szCs w:val="20"/>
              </w:rPr>
              <w:t>0.12</w:t>
            </w:r>
          </w:p>
        </w:tc>
        <w:tc>
          <w:tcPr>
            <w:tcW w:w="0" w:type="auto"/>
            <w:shd w:val="clear" w:color="auto" w:fill="BFBFBF" w:themeFill="background1" w:themeFillShade="BF"/>
          </w:tcPr>
          <w:p w14:paraId="0B37FF70" w14:textId="1ACE78F9" w:rsidR="00692CE4" w:rsidRPr="00DD5F1E" w:rsidRDefault="00692CE4" w:rsidP="00E25757">
            <w:pPr>
              <w:pStyle w:val="Paragraph"/>
              <w:spacing w:line="240" w:lineRule="auto"/>
              <w:ind w:firstLine="0"/>
              <w:jc w:val="center"/>
              <w:rPr>
                <w:sz w:val="20"/>
                <w:szCs w:val="20"/>
              </w:rPr>
            </w:pPr>
            <w:r>
              <w:rPr>
                <w:sz w:val="20"/>
                <w:szCs w:val="20"/>
              </w:rPr>
              <w:t>1.7</w:t>
            </w:r>
          </w:p>
        </w:tc>
      </w:tr>
      <w:tr w:rsidR="00692CE4" w14:paraId="2CEC293C" w14:textId="77777777" w:rsidTr="00692CE4">
        <w:tc>
          <w:tcPr>
            <w:tcW w:w="2245" w:type="dxa"/>
          </w:tcPr>
          <w:p w14:paraId="3D8F2BB3" w14:textId="1EDC4875" w:rsidR="00692CE4" w:rsidRDefault="00692CE4" w:rsidP="00E25757">
            <w:pPr>
              <w:pStyle w:val="Paragraph"/>
              <w:spacing w:line="240" w:lineRule="auto"/>
              <w:ind w:firstLine="0"/>
              <w:rPr>
                <w:b/>
                <w:sz w:val="20"/>
                <w:szCs w:val="20"/>
              </w:rPr>
            </w:pPr>
            <w:r>
              <w:rPr>
                <w:b/>
                <w:sz w:val="20"/>
                <w:szCs w:val="20"/>
              </w:rPr>
              <w:t>KOOS-QOL (%)</w:t>
            </w:r>
            <w:r w:rsidR="002465E4">
              <w:rPr>
                <w:b/>
                <w:sz w:val="20"/>
                <w:szCs w:val="20"/>
              </w:rPr>
              <w:fldChar w:fldCharType="begin" w:fldLock="1"/>
            </w:r>
            <w:r w:rsidR="002465E4">
              <w:rPr>
                <w:b/>
                <w:sz w:val="20"/>
                <w:szCs w:val="20"/>
              </w:rPr>
              <w:instrText>ADDIN CSL_CITATION {"citationItems":[{"id":"ITEM-1","itemData":{"DOI":"10.1016/j.joca.2009.04.019","ISSN":"1522-9653","PMID":"19454278","abstract":"OBJECTIVE To validate the Knee Injury and Osteoarthritis Outcome Score (KOOS) for the treatment of focal cartilage lesions. METHODS A total of 40 patients (mean age 35+/-12 years), treated for a focal cartilage lesion in the knee were included in this study. Test-retest data were collected with an intermediate period of 2 days. Patients were asked to complete the Dutch KOOS and complementary questionnaires [short form-36 (SF-36), Lysholm, EuroQol-5D (EQ-5D)] to evaluate the clinimetric properties of the KOOS in terms of internal consistency (Cronbach's alpha), reliability [intra-class-correlation (ICC) and Bland and Altman plots], construct validity (Spearman's rank correlation), floor and ceiling effects and responsiveness. RESULTS The Cronbach's alpha of the KOOS subdomains and total score ranged from 0.74 to 0.96. The overall ICC of the KOOS was 0.97 while the subscales ranged from 0.87 to 0.95. The Bland and Altman plots showed a small individual variance between the two assessments in time. Spearman's rank correlations between the subscales of the KOOS and representative subscales of the SF-36, Lysholm and EQ-5D were high to moderate ranging from 0.43 to 0.70. We observed no floor effect while the largest observed ceiling effect was 10.3%. The responsiveness was moderate to large with the effect size ranging from 0.70 to 1.32 and the standardized response mean 0.61 to 0.87. CONCLUSION This study illustrates the validity and reliability of the KOOS in measuring the clinical condition of patients after treatment of focal cartilage lesions. This study provides a basis for the use of the KOOS for future clinical research in cartilage repair.","author":[{"dropping-particle":"","family":"Bekkers","given":"J E J","non-dropping-particle":"","parse-names":false,"suffix":""},{"dropping-particle":"","family":"Windt","given":"Th S.","non-dropping-particle":"de","parse-names":false,"suffix":""},{"dropping-particle":"","family":"Raijmakers","given":"N J H","non-dropping-particle":"","parse-names":false,"suffix":""},{"dropping-particle":"","family":"Dhert","given":"W J A","non-dropping-particle":"","parse-names":false,"suffix":""},{"dropping-particle":"","family":"Saris","given":"D B F","non-dropping-particle":"","parse-names":false,"suffix":""}],"container-title":"Osteoarthritis and cartilage","id":"ITEM-1","issue":"11","issued":{"date-parts":[["2009","11"]]},"page":"1434-9","publisher":"Elsevier Ltd","title":"Validation of the Knee Injury and Osteoarthritis Outcome Score (KOOS) for the treatment of focal cartilage lesions.","type":"article-journal","volume":"17"},"uris":["http://www.mendeley.com/documents/?uuid=89f9a4bd-6ce2-4d61-9d7f-2909e5a2232d"]}],"mendeley":{"formattedCitation":"(4)","plainTextFormattedCitation":"(4)","previouslyFormattedCitation":"(4)"},"properties":{"noteIndex":0},"schema":"https://github.com/citation-style-language/schema/raw/master/csl-citation.json"}</w:instrText>
            </w:r>
            <w:r w:rsidR="002465E4">
              <w:rPr>
                <w:b/>
                <w:sz w:val="20"/>
                <w:szCs w:val="20"/>
              </w:rPr>
              <w:fldChar w:fldCharType="separate"/>
            </w:r>
            <w:r w:rsidR="002465E4" w:rsidRPr="002465E4">
              <w:rPr>
                <w:noProof/>
                <w:sz w:val="20"/>
                <w:szCs w:val="20"/>
              </w:rPr>
              <w:t>(4)</w:t>
            </w:r>
            <w:r w:rsidR="002465E4">
              <w:rPr>
                <w:b/>
                <w:sz w:val="20"/>
                <w:szCs w:val="20"/>
              </w:rPr>
              <w:fldChar w:fldCharType="end"/>
            </w:r>
          </w:p>
        </w:tc>
        <w:tc>
          <w:tcPr>
            <w:tcW w:w="1440" w:type="dxa"/>
          </w:tcPr>
          <w:p w14:paraId="388C4C04" w14:textId="365AE44F" w:rsidR="00692CE4" w:rsidRDefault="00692CE4" w:rsidP="00E25757">
            <w:pPr>
              <w:pStyle w:val="Paragraph"/>
              <w:spacing w:line="240" w:lineRule="auto"/>
              <w:ind w:firstLine="0"/>
              <w:jc w:val="center"/>
              <w:rPr>
                <w:sz w:val="20"/>
                <w:szCs w:val="20"/>
              </w:rPr>
            </w:pPr>
            <w:r>
              <w:rPr>
                <w:sz w:val="20"/>
                <w:szCs w:val="20"/>
              </w:rPr>
              <w:t>0.95</w:t>
            </w:r>
          </w:p>
        </w:tc>
        <w:tc>
          <w:tcPr>
            <w:tcW w:w="1341" w:type="dxa"/>
          </w:tcPr>
          <w:p w14:paraId="794D150F" w14:textId="6EC76781" w:rsidR="00692CE4" w:rsidRDefault="00692CE4" w:rsidP="00E25757">
            <w:pPr>
              <w:pStyle w:val="Paragraph"/>
              <w:spacing w:line="240" w:lineRule="auto"/>
              <w:ind w:firstLine="0"/>
              <w:jc w:val="center"/>
              <w:rPr>
                <w:sz w:val="20"/>
                <w:szCs w:val="20"/>
              </w:rPr>
            </w:pPr>
            <w:r>
              <w:rPr>
                <w:sz w:val="20"/>
                <w:szCs w:val="20"/>
              </w:rPr>
              <w:t>2.6</w:t>
            </w:r>
          </w:p>
        </w:tc>
        <w:tc>
          <w:tcPr>
            <w:tcW w:w="0" w:type="auto"/>
          </w:tcPr>
          <w:p w14:paraId="1D2DD7F6" w14:textId="3FB99613" w:rsidR="00692CE4" w:rsidRDefault="00692CE4" w:rsidP="00E25757">
            <w:pPr>
              <w:pStyle w:val="Paragraph"/>
              <w:spacing w:line="240" w:lineRule="auto"/>
              <w:ind w:firstLine="0"/>
              <w:jc w:val="center"/>
              <w:rPr>
                <w:sz w:val="20"/>
                <w:szCs w:val="20"/>
              </w:rPr>
            </w:pPr>
            <w:r>
              <w:rPr>
                <w:sz w:val="20"/>
                <w:szCs w:val="20"/>
              </w:rPr>
              <w:t>7</w:t>
            </w:r>
          </w:p>
        </w:tc>
        <w:tc>
          <w:tcPr>
            <w:tcW w:w="0" w:type="auto"/>
          </w:tcPr>
          <w:p w14:paraId="02C2C76C" w14:textId="471C2BD9" w:rsidR="00692CE4" w:rsidRDefault="002465E4" w:rsidP="00E25757">
            <w:pPr>
              <w:pStyle w:val="Paragraph"/>
              <w:spacing w:line="240" w:lineRule="auto"/>
              <w:ind w:firstLine="0"/>
              <w:jc w:val="center"/>
              <w:rPr>
                <w:sz w:val="20"/>
                <w:szCs w:val="20"/>
              </w:rPr>
            </w:pPr>
            <w:r>
              <w:rPr>
                <w:sz w:val="20"/>
                <w:szCs w:val="20"/>
              </w:rPr>
              <w:t>1.1</w:t>
            </w:r>
          </w:p>
        </w:tc>
        <w:tc>
          <w:tcPr>
            <w:tcW w:w="0" w:type="auto"/>
          </w:tcPr>
          <w:p w14:paraId="05691F8D" w14:textId="72CE7C4B" w:rsidR="00692CE4" w:rsidRDefault="00692CE4" w:rsidP="00E25757">
            <w:pPr>
              <w:pStyle w:val="Paragraph"/>
              <w:spacing w:line="240" w:lineRule="auto"/>
              <w:ind w:firstLine="0"/>
              <w:jc w:val="center"/>
              <w:rPr>
                <w:sz w:val="20"/>
                <w:szCs w:val="20"/>
              </w:rPr>
            </w:pPr>
            <w:r>
              <w:rPr>
                <w:sz w:val="20"/>
                <w:szCs w:val="20"/>
              </w:rPr>
              <w:t>N.E.</w:t>
            </w:r>
          </w:p>
        </w:tc>
      </w:tr>
      <w:tr w:rsidR="00574918" w14:paraId="095BD24F" w14:textId="77777777" w:rsidTr="00E25757">
        <w:tc>
          <w:tcPr>
            <w:tcW w:w="2245" w:type="dxa"/>
            <w:shd w:val="clear" w:color="auto" w:fill="BFBFBF" w:themeFill="background1" w:themeFillShade="BF"/>
          </w:tcPr>
          <w:p w14:paraId="7A67C8B8" w14:textId="3FF4D1C2" w:rsidR="00574918" w:rsidRPr="00DD5F1E" w:rsidRDefault="00574918" w:rsidP="00E25757">
            <w:pPr>
              <w:pStyle w:val="Paragraph"/>
              <w:spacing w:line="240" w:lineRule="auto"/>
              <w:ind w:firstLine="0"/>
              <w:rPr>
                <w:b/>
                <w:sz w:val="20"/>
                <w:szCs w:val="20"/>
              </w:rPr>
            </w:pPr>
            <w:r w:rsidRPr="00DD5F1E">
              <w:rPr>
                <w:b/>
                <w:sz w:val="20"/>
                <w:szCs w:val="20"/>
              </w:rPr>
              <w:t>TSK-17 (points)</w:t>
            </w:r>
            <w:r w:rsidRPr="00DD5F1E">
              <w:rPr>
                <w:b/>
                <w:sz w:val="20"/>
                <w:szCs w:val="20"/>
              </w:rPr>
              <w:fldChar w:fldCharType="begin" w:fldLock="1"/>
            </w:r>
            <w:r w:rsidR="002465E4">
              <w:rPr>
                <w:b/>
                <w:sz w:val="20"/>
                <w:szCs w:val="20"/>
              </w:rPr>
              <w:instrText>ADDIN CSL_CITATION {"citationItems":[{"id":"ITEM-1","itemData":{"ISBN":"9162867385","author":[{"dropping-particle":"","family":"Lundberg","given":"Mari","non-dropping-particle":"","parse-names":false,"suffix":""}],"id":"ITEM-1","issued":{"date-parts":[["2006"]]},"publisher":"Göteborg University","title":"Kinesiophobia - Various Aspects of Moving with Musculoskeletal Pain","type":"thesis"},"uris":["http://www.mendeley.com/documents/?uuid=5deca855-84ed-4554-a26a-ad8eca0e4286"]},{"id":"ITEM-2","itemData":{"DOI":"10.1007/bf03002999","ISSN":"1070-5503","PMID":"18001240","abstract":"BACKGROUND The Tampa Scale for Kinesiophobia (TSK) and the Fear-Avoidance Beliefs Questionnaire (FABQ) are frequently used questionnaires for pain-related fear, and the visual analogue scale (VAS) is for pain. PURPOSE This study aims to determine the smallest detectable change (SDC) of these questionnaires in patients with acute low back pain (LBP), as well as ceiling and/or floor effects. RESULTS The SDC for the TSK (scoring range: 17-68) was 9.2 (95% CI: 8.4; 10.3). The estimated SDC was 9.4 (95% CI: 8.5; 10.6) and 12.7 (95% CI: 11.5; 14.1) for the FABQ physical activity subscale (scoring range: 0-24) and/or work subscale (scoring range: 0-42), respectively. For the VAS for pain (0-100 mm), the SDC turned out to be 36.2 mm (95% CI: 32.4; 41.0). The FABQ physical activity subscale and pain (VAS) seem to have considerable problems in detecting improvement and deterioration. The TSK appears to be able to detect improvement as well as deterioration. CONCLUSION The SDCs of the (subscales of) questionnaires range from 18% to 40%. Floor and/or ceiling effects were detected for most scales, except the TSK total and the TSK activity avoidance subscale. These results should be considered when using these questionnaires as measures of therapeutic change in acute LBP.","author":[{"dropping-particle":"","family":"Ostelo","given":"Raymond W J G","non-dropping-particle":"","parse-names":false,"suffix":""},{"dropping-particle":"","family":"Swinkels-Meewisse","given":"Ilse J C M","non-dropping-particle":"","parse-names":false,"suffix":""},{"dropping-particle":"","family":"Knol","given":"Dirk L.","non-dropping-particle":"","parse-names":false,"suffix":""},{"dropping-particle":"","family":"Vlaeyen","given":"Johan W S","non-dropping-particle":"","parse-names":false,"suffix":""},{"dropping-particle":"","family":"Vet","given":"Henrica C W","non-dropping-particle":"de","parse-names":false,"suffix":""}],"container-title":"International journal of behavioral medicine","id":"ITEM-2","issue":"4","issued":{"date-parts":[["2007"]]},"page":"242-8","title":"Assessing pain and pain-related fear in acute low back pain: what is the smallest detectable change?","type":"article-journal","volume":"14"},"uris":["http://www.mendeley.com/documents/?uuid=ca8713a5-6d0d-4ce6-afca-2ded25a87057"]}],"mendeley":{"formattedCitation":"(5,6)","plainTextFormattedCitation":"(5,6)","previouslyFormattedCitation":"(5,6)"},"properties":{"noteIndex":0},"schema":"https://github.com/citation-style-language/schema/raw/master/csl-citation.json"}</w:instrText>
            </w:r>
            <w:r w:rsidRPr="00DD5F1E">
              <w:rPr>
                <w:b/>
                <w:sz w:val="20"/>
                <w:szCs w:val="20"/>
              </w:rPr>
              <w:fldChar w:fldCharType="separate"/>
            </w:r>
            <w:r w:rsidR="002465E4" w:rsidRPr="002465E4">
              <w:rPr>
                <w:noProof/>
                <w:sz w:val="20"/>
                <w:szCs w:val="20"/>
              </w:rPr>
              <w:t>(5,6)</w:t>
            </w:r>
            <w:r w:rsidRPr="00DD5F1E">
              <w:rPr>
                <w:b/>
                <w:sz w:val="20"/>
                <w:szCs w:val="20"/>
              </w:rPr>
              <w:fldChar w:fldCharType="end"/>
            </w:r>
          </w:p>
        </w:tc>
        <w:tc>
          <w:tcPr>
            <w:tcW w:w="1440" w:type="dxa"/>
            <w:shd w:val="clear" w:color="auto" w:fill="BFBFBF" w:themeFill="background1" w:themeFillShade="BF"/>
          </w:tcPr>
          <w:p w14:paraId="7A8C3340" w14:textId="77777777" w:rsidR="00574918" w:rsidRPr="00DD5F1E" w:rsidRDefault="00574918" w:rsidP="00E25757">
            <w:pPr>
              <w:pStyle w:val="Paragraph"/>
              <w:spacing w:line="240" w:lineRule="auto"/>
              <w:ind w:firstLine="0"/>
              <w:jc w:val="center"/>
              <w:rPr>
                <w:sz w:val="20"/>
                <w:szCs w:val="20"/>
              </w:rPr>
            </w:pPr>
            <w:r w:rsidRPr="00DD5F1E">
              <w:rPr>
                <w:sz w:val="20"/>
                <w:szCs w:val="20"/>
              </w:rPr>
              <w:t>0.91</w:t>
            </w:r>
          </w:p>
        </w:tc>
        <w:tc>
          <w:tcPr>
            <w:tcW w:w="1341" w:type="dxa"/>
            <w:shd w:val="clear" w:color="auto" w:fill="BFBFBF" w:themeFill="background1" w:themeFillShade="BF"/>
          </w:tcPr>
          <w:p w14:paraId="6F971A8E" w14:textId="77777777" w:rsidR="00574918" w:rsidRPr="00DD5F1E" w:rsidRDefault="00574918" w:rsidP="00E25757">
            <w:pPr>
              <w:pStyle w:val="Paragraph"/>
              <w:spacing w:line="240" w:lineRule="auto"/>
              <w:ind w:firstLine="0"/>
              <w:jc w:val="center"/>
              <w:rPr>
                <w:sz w:val="20"/>
                <w:szCs w:val="20"/>
              </w:rPr>
            </w:pPr>
            <w:r w:rsidRPr="00DD5F1E">
              <w:rPr>
                <w:sz w:val="20"/>
                <w:szCs w:val="20"/>
              </w:rPr>
              <w:t>3.3</w:t>
            </w:r>
          </w:p>
        </w:tc>
        <w:tc>
          <w:tcPr>
            <w:tcW w:w="0" w:type="auto"/>
            <w:shd w:val="clear" w:color="auto" w:fill="BFBFBF" w:themeFill="background1" w:themeFillShade="BF"/>
          </w:tcPr>
          <w:p w14:paraId="12E2A09E" w14:textId="77777777" w:rsidR="00574918" w:rsidRPr="00DD5F1E" w:rsidRDefault="00574918" w:rsidP="00E25757">
            <w:pPr>
              <w:pStyle w:val="Paragraph"/>
              <w:spacing w:line="240" w:lineRule="auto"/>
              <w:ind w:firstLine="0"/>
              <w:jc w:val="center"/>
              <w:rPr>
                <w:sz w:val="20"/>
                <w:szCs w:val="20"/>
              </w:rPr>
            </w:pPr>
            <w:r w:rsidRPr="00DD5F1E">
              <w:rPr>
                <w:sz w:val="20"/>
                <w:szCs w:val="20"/>
              </w:rPr>
              <w:t>9.2</w:t>
            </w:r>
          </w:p>
        </w:tc>
        <w:tc>
          <w:tcPr>
            <w:tcW w:w="0" w:type="auto"/>
            <w:shd w:val="clear" w:color="auto" w:fill="BFBFBF" w:themeFill="background1" w:themeFillShade="BF"/>
          </w:tcPr>
          <w:p w14:paraId="1B387796" w14:textId="77777777" w:rsidR="00574918" w:rsidRPr="00DD5F1E" w:rsidRDefault="00574918" w:rsidP="00E25757">
            <w:pPr>
              <w:pStyle w:val="Paragraph"/>
              <w:spacing w:line="240" w:lineRule="auto"/>
              <w:ind w:firstLine="0"/>
              <w:jc w:val="center"/>
              <w:rPr>
                <w:sz w:val="20"/>
                <w:szCs w:val="20"/>
              </w:rPr>
            </w:pPr>
            <w:r w:rsidRPr="00DD5F1E">
              <w:rPr>
                <w:sz w:val="20"/>
                <w:szCs w:val="20"/>
              </w:rPr>
              <w:t>0.7</w:t>
            </w:r>
          </w:p>
        </w:tc>
        <w:tc>
          <w:tcPr>
            <w:tcW w:w="0" w:type="auto"/>
            <w:shd w:val="clear" w:color="auto" w:fill="BFBFBF" w:themeFill="background1" w:themeFillShade="BF"/>
          </w:tcPr>
          <w:p w14:paraId="60507315" w14:textId="77777777" w:rsidR="00574918" w:rsidRPr="00DD5F1E" w:rsidRDefault="00574918" w:rsidP="00E25757">
            <w:pPr>
              <w:pStyle w:val="Paragraph"/>
              <w:spacing w:line="240" w:lineRule="auto"/>
              <w:ind w:firstLine="0"/>
              <w:jc w:val="center"/>
              <w:rPr>
                <w:sz w:val="20"/>
                <w:szCs w:val="20"/>
              </w:rPr>
            </w:pPr>
            <w:r w:rsidRPr="00DD5F1E">
              <w:rPr>
                <w:sz w:val="20"/>
                <w:szCs w:val="20"/>
              </w:rPr>
              <w:t>N.E.</w:t>
            </w:r>
          </w:p>
        </w:tc>
      </w:tr>
      <w:tr w:rsidR="00692CE4" w14:paraId="664DF9FA" w14:textId="77777777" w:rsidTr="00132860">
        <w:tc>
          <w:tcPr>
            <w:tcW w:w="2245" w:type="dxa"/>
            <w:shd w:val="clear" w:color="auto" w:fill="FFFFFF" w:themeFill="background1"/>
          </w:tcPr>
          <w:p w14:paraId="656A1657" w14:textId="3557E5C5" w:rsidR="00692CE4" w:rsidRPr="00DD5F1E" w:rsidRDefault="00692CE4" w:rsidP="00E25757">
            <w:pPr>
              <w:pStyle w:val="Paragraph"/>
              <w:spacing w:line="240" w:lineRule="auto"/>
              <w:ind w:firstLine="0"/>
              <w:rPr>
                <w:b/>
                <w:sz w:val="20"/>
                <w:szCs w:val="20"/>
              </w:rPr>
            </w:pPr>
            <w:r>
              <w:rPr>
                <w:b/>
                <w:sz w:val="20"/>
                <w:szCs w:val="20"/>
              </w:rPr>
              <w:t>PCS (points)</w:t>
            </w:r>
            <w:r w:rsidR="002465E4">
              <w:rPr>
                <w:b/>
                <w:sz w:val="20"/>
                <w:szCs w:val="20"/>
              </w:rPr>
              <w:fldChar w:fldCharType="begin" w:fldLock="1"/>
            </w:r>
            <w:r w:rsidR="002465E4">
              <w:rPr>
                <w:b/>
                <w:sz w:val="20"/>
                <w:szCs w:val="20"/>
              </w:rPr>
              <w:instrText>ADDIN CSL_CITATION {"citationItems":[{"id":"ITEM-1","itemData":{"DOI":"10.1002/ejp.1470","ISSN":"15322149","PMID":"31408556","abstract":"Background: For several widely used patient-reported outcome measures (PROMs) in chronic musculoskeletal pain (CMSP) rehabilitation, it is still not known whether they are responsive to change, and what the smallest detectable change (SDC) and minimal clinically important change (MCIC) are. Knowledge of these values can be used to accurately interpret change scores in research and clinical practice. Methods: In this retrospective cohort study, the responsiveness, the SDC and the MCIC of the mental components of the Research and Development 36-Item Health Survey (RAND-36), the Pain Catastrophizing Scale (PCS) and the Tampa Scale of Kinesiophobia (TSK) were investigated in CMSP patients. Responsiveness, the SDC and MCIC were determined by using both anchor and distribution-based methods. Results: For all outcome measures, there was a progression from smallest to largest mean change scores between participants who did not perceive change and those who reported change after treatment. However, correlations of the Global Perceived Effect (GPE) with the change scores on the outcome measures were low. For all outcome measures, the SDC was larger than the MCIC. Conclusions: For this population, the questionnaires were shown not to be responsive. Furthermore, the questionnaires appeared not to be able to distinguish clinically important change from measurement error in individual patients. The finding of large measurement errors of PROMs is in line with previous research in pain rehabilitation. Using generic PROMs only, to examine changes in psychosocial status due to a pain rehabilitation programme, is therefore questionable. Significance: This study shows that widely used generic psychosocial PROMs might not be responsive and not able to distinguish clinically important change from measurement error in individual chronic musculoskeletal pain patients. It therefore seems reasonable to reconsider the (compulsory) use of these PROMs for assessing the quality of pain rehabilitation programmes, and necessary to consider other, more objective, outcome measures for this purpose in this population.","author":[{"dropping-particle":"","family":"Pulles","given":"Alexandra N.T.D.","non-dropping-particle":"","parse-names":false,"suffix":""},{"dropping-particle":"","family":"Köke","given":"Albère J.A.","non-dropping-particle":"","parse-names":false,"suffix":""},{"dropping-particle":"","family":"Strackke","given":"Robin P.","non-dropping-particle":"","parse-names":false,"suffix":""},{"dropping-particle":"","family":"Smeets","given":"Rob J.E.M.","non-dropping-particle":"","parse-names":false,"suffix":""}],"container-title":"European Journal of Pain (United Kingdom)","id":"ITEM-1","issue":"1","issued":{"date-parts":[["2020"]]},"page":"134-144","title":"The responsiveness and interpretability of psychosocial patient-reported outcome measures in chronic musculoskeletal pain rehabilitation","type":"article-journal","volume":"24"},"uris":["http://www.mendeley.com/documents/?uuid=d7bb14fb-4bf2-4dee-a40f-70fbe48bcd87"]}],"mendeley":{"formattedCitation":"(7)","plainTextFormattedCitation":"(7)"},"properties":{"noteIndex":0},"schema":"https://github.com/citation-style-language/schema/raw/master/csl-citation.json"}</w:instrText>
            </w:r>
            <w:r w:rsidR="002465E4">
              <w:rPr>
                <w:b/>
                <w:sz w:val="20"/>
                <w:szCs w:val="20"/>
              </w:rPr>
              <w:fldChar w:fldCharType="separate"/>
            </w:r>
            <w:r w:rsidR="002465E4" w:rsidRPr="002465E4">
              <w:rPr>
                <w:noProof/>
                <w:sz w:val="20"/>
                <w:szCs w:val="20"/>
              </w:rPr>
              <w:t>(7)</w:t>
            </w:r>
            <w:r w:rsidR="002465E4">
              <w:rPr>
                <w:b/>
                <w:sz w:val="20"/>
                <w:szCs w:val="20"/>
              </w:rPr>
              <w:fldChar w:fldCharType="end"/>
            </w:r>
          </w:p>
        </w:tc>
        <w:tc>
          <w:tcPr>
            <w:tcW w:w="1440" w:type="dxa"/>
            <w:shd w:val="clear" w:color="auto" w:fill="FFFFFF" w:themeFill="background1"/>
          </w:tcPr>
          <w:p w14:paraId="31E7F91F" w14:textId="28CAA8DB" w:rsidR="00692CE4" w:rsidRPr="00DD5F1E" w:rsidRDefault="002465E4" w:rsidP="00E25757">
            <w:pPr>
              <w:pStyle w:val="Paragraph"/>
              <w:spacing w:line="240" w:lineRule="auto"/>
              <w:ind w:firstLine="0"/>
              <w:jc w:val="center"/>
              <w:rPr>
                <w:sz w:val="20"/>
                <w:szCs w:val="20"/>
              </w:rPr>
            </w:pPr>
            <w:r>
              <w:rPr>
                <w:sz w:val="20"/>
                <w:szCs w:val="20"/>
              </w:rPr>
              <w:t>N.E</w:t>
            </w:r>
          </w:p>
        </w:tc>
        <w:tc>
          <w:tcPr>
            <w:tcW w:w="1341" w:type="dxa"/>
            <w:shd w:val="clear" w:color="auto" w:fill="FFFFFF" w:themeFill="background1"/>
          </w:tcPr>
          <w:p w14:paraId="2B4CFB38" w14:textId="2F5BDC62" w:rsidR="00692CE4" w:rsidRPr="00DD5F1E" w:rsidRDefault="002465E4" w:rsidP="00E25757">
            <w:pPr>
              <w:pStyle w:val="Paragraph"/>
              <w:spacing w:line="240" w:lineRule="auto"/>
              <w:ind w:firstLine="0"/>
              <w:jc w:val="center"/>
              <w:rPr>
                <w:sz w:val="20"/>
                <w:szCs w:val="20"/>
              </w:rPr>
            </w:pPr>
            <w:r>
              <w:rPr>
                <w:sz w:val="20"/>
                <w:szCs w:val="20"/>
              </w:rPr>
              <w:t>N.E</w:t>
            </w:r>
          </w:p>
        </w:tc>
        <w:tc>
          <w:tcPr>
            <w:tcW w:w="0" w:type="auto"/>
            <w:shd w:val="clear" w:color="auto" w:fill="FFFFFF" w:themeFill="background1"/>
          </w:tcPr>
          <w:p w14:paraId="434E6ED5" w14:textId="5A85366E" w:rsidR="00692CE4" w:rsidRPr="00DD5F1E" w:rsidRDefault="002465E4" w:rsidP="00E25757">
            <w:pPr>
              <w:pStyle w:val="Paragraph"/>
              <w:spacing w:line="240" w:lineRule="auto"/>
              <w:ind w:firstLine="0"/>
              <w:jc w:val="center"/>
              <w:rPr>
                <w:sz w:val="20"/>
                <w:szCs w:val="20"/>
              </w:rPr>
            </w:pPr>
            <w:r>
              <w:rPr>
                <w:sz w:val="20"/>
                <w:szCs w:val="20"/>
              </w:rPr>
              <w:t>15.2</w:t>
            </w:r>
          </w:p>
        </w:tc>
        <w:tc>
          <w:tcPr>
            <w:tcW w:w="0" w:type="auto"/>
            <w:shd w:val="clear" w:color="auto" w:fill="FFFFFF" w:themeFill="background1"/>
          </w:tcPr>
          <w:p w14:paraId="32FEB2E7" w14:textId="0069DD15" w:rsidR="00692CE4" w:rsidRPr="00DD5F1E" w:rsidRDefault="002465E4" w:rsidP="00E25757">
            <w:pPr>
              <w:pStyle w:val="Paragraph"/>
              <w:spacing w:line="240" w:lineRule="auto"/>
              <w:ind w:firstLine="0"/>
              <w:jc w:val="center"/>
              <w:rPr>
                <w:sz w:val="20"/>
                <w:szCs w:val="20"/>
              </w:rPr>
            </w:pPr>
            <w:r>
              <w:rPr>
                <w:sz w:val="20"/>
                <w:szCs w:val="20"/>
              </w:rPr>
              <w:t>1.0</w:t>
            </w:r>
          </w:p>
        </w:tc>
        <w:tc>
          <w:tcPr>
            <w:tcW w:w="0" w:type="auto"/>
            <w:shd w:val="clear" w:color="auto" w:fill="FFFFFF" w:themeFill="background1"/>
          </w:tcPr>
          <w:p w14:paraId="7022135E" w14:textId="001E4472" w:rsidR="00692CE4" w:rsidRPr="00DD5F1E" w:rsidRDefault="002465E4" w:rsidP="00E25757">
            <w:pPr>
              <w:pStyle w:val="Paragraph"/>
              <w:spacing w:line="240" w:lineRule="auto"/>
              <w:ind w:firstLine="0"/>
              <w:jc w:val="center"/>
              <w:rPr>
                <w:sz w:val="20"/>
                <w:szCs w:val="20"/>
              </w:rPr>
            </w:pPr>
            <w:r>
              <w:rPr>
                <w:sz w:val="20"/>
                <w:szCs w:val="20"/>
              </w:rPr>
              <w:t>5.8</w:t>
            </w:r>
          </w:p>
        </w:tc>
      </w:tr>
      <w:tr w:rsidR="00574918" w14:paraId="2D42418C" w14:textId="77777777" w:rsidTr="00132860">
        <w:tc>
          <w:tcPr>
            <w:tcW w:w="2245" w:type="dxa"/>
            <w:shd w:val="clear" w:color="auto" w:fill="BFBFBF" w:themeFill="background1" w:themeFillShade="BF"/>
          </w:tcPr>
          <w:p w14:paraId="229FE6D6" w14:textId="5BB6D315" w:rsidR="00574918" w:rsidRPr="00DD5F1E" w:rsidRDefault="00574918" w:rsidP="00E25757">
            <w:pPr>
              <w:pStyle w:val="Paragraph"/>
              <w:spacing w:line="240" w:lineRule="auto"/>
              <w:ind w:firstLine="0"/>
              <w:rPr>
                <w:b/>
                <w:sz w:val="20"/>
                <w:szCs w:val="20"/>
              </w:rPr>
            </w:pPr>
            <w:r w:rsidRPr="00DD5F1E">
              <w:rPr>
                <w:b/>
                <w:sz w:val="20"/>
                <w:szCs w:val="20"/>
              </w:rPr>
              <w:t>DASS-21 (points)</w:t>
            </w:r>
            <w:r w:rsidRPr="00DD5F1E">
              <w:rPr>
                <w:b/>
                <w:sz w:val="20"/>
                <w:szCs w:val="20"/>
              </w:rPr>
              <w:fldChar w:fldCharType="begin" w:fldLock="1"/>
            </w:r>
            <w:r w:rsidR="002465E4">
              <w:rPr>
                <w:b/>
                <w:sz w:val="20"/>
                <w:szCs w:val="20"/>
              </w:rPr>
              <w:instrText>ADDIN CSL_CITATION {"citationItems":[{"id":"ITEM-1","itemData":{"DOI":"10.1371/journal.pone.0040089","ISSN":"1932-6203","PMID":"22792217","abstract":"CONTEXT Randomized controlled trails have identified online cognitive behavioral therapy as an efficacious intervention in the management of common mental health disorders. OBJECTIVE To assess the effectiveness of online CBT for different mental disorders in routine clinical practice. DESIGN An uncontrolled before-after study, with measurements at baseline, posttest, 6-week follow-up, and 1-year follow-up. PARTICIPANTS &amp; SETTING 1500 adult patients (female: 67%; mean age: 40 years) with a GP referral for psychotherapy were treated at a Dutch online mental health clinic for symptoms of depression (n = 413), panic disorder (n = 139), posttraumatic stress (n = 478), or burnout (n = 470). INTERVENTIONS Manualized, web-based, therapist-assisted CBT, of which the efficacy was previously demonstrated in a series of controlled trials. Standardized duration of treatment varied from 5 weeks (online CBT for Posttraumatic stress) to 16 weeks (online CBT for Depression). MAIN OUTCOME MEASURES Validated self-report questionnaires of specific and general psychopathology, including the Beck Depression Inventory, the Impact of Event Scale, the Panic Disorder Severity Scale-Self Report, the Oldenburg Burnout Inventory, and the Depression Anxiety Stress Scales. RESULTS Treatment adherence was 71% (n = 1071). Study attrition was 21% at posttest, 33% at 6-week FU and 65% at 1-year FU. Mixed-model repeated measures regression identified large short-term reductions in all measures of primary symptoms (d = 1.9±0.2 to d = 1.2±0.2; P&lt;.001), which sustained up to one year after treatment. At posttest, rates of reliable improvement and recovery were 71% and 52% in the completer sample (full sample: 55%/40%). Patient satisfaction was high. CONCLUSIONS Results suggest that online therapist-assisted CBT may be as effective in routine practice as it is in clinical trials. Although pre-treatment withdrawal and long-term outcomes require further study, results warrant continued implementation of online CBT.","author":[{"dropping-particle":"","family":"Ruwaard","given":"Jeroen","non-dropping-particle":"","parse-names":false,"suffix":""},{"dropping-particle":"","family":"Lange","given":"Alfred","non-dropping-particle":"","parse-names":false,"suffix":""},{"dropping-particle":"","family":"Schrieken","given":"Bart","non-dropping-particle":"","parse-names":false,"suffix":""},{"dropping-particle":"V.","family":"Dolan","given":"Conor","non-dropping-particle":"","parse-names":false,"suffix":""},{"dropping-particle":"","family":"Emmelkamp","given":"Paul","non-dropping-particle":"","parse-names":false,"suffix":""}],"container-title":"PloS one","id":"ITEM-1","issue":"7","issued":{"date-parts":[["2012"]]},"page":"e40089","title":"The effectiveness of online cognitive behavioral treatment in routine clinical practice.","type":"article-journal","volume":"7"},"uris":["http://www.mendeley.com/documents/?uuid=ab82a997-da9d-4d41-9054-b6d5faa90c86"]}],"mendeley":{"formattedCitation":"(8)","plainTextFormattedCitation":"(8)","previouslyFormattedCitation":"(7)"},"properties":{"noteIndex":0},"schema":"https://github.com/citation-style-language/schema/raw/master/csl-citation.json"}</w:instrText>
            </w:r>
            <w:r w:rsidRPr="00DD5F1E">
              <w:rPr>
                <w:b/>
                <w:sz w:val="20"/>
                <w:szCs w:val="20"/>
              </w:rPr>
              <w:fldChar w:fldCharType="separate"/>
            </w:r>
            <w:r w:rsidR="002465E4" w:rsidRPr="002465E4">
              <w:rPr>
                <w:noProof/>
                <w:sz w:val="20"/>
                <w:szCs w:val="20"/>
              </w:rPr>
              <w:t>(8)</w:t>
            </w:r>
            <w:r w:rsidRPr="00DD5F1E">
              <w:rPr>
                <w:b/>
                <w:sz w:val="20"/>
                <w:szCs w:val="20"/>
              </w:rPr>
              <w:fldChar w:fldCharType="end"/>
            </w:r>
          </w:p>
        </w:tc>
        <w:tc>
          <w:tcPr>
            <w:tcW w:w="1440" w:type="dxa"/>
            <w:shd w:val="clear" w:color="auto" w:fill="BFBFBF" w:themeFill="background1" w:themeFillShade="BF"/>
          </w:tcPr>
          <w:p w14:paraId="6B6753D1" w14:textId="77777777" w:rsidR="00574918" w:rsidRPr="00DD5F1E" w:rsidRDefault="00574918" w:rsidP="00E25757">
            <w:pPr>
              <w:pStyle w:val="Paragraph"/>
              <w:spacing w:line="240" w:lineRule="auto"/>
              <w:ind w:firstLine="0"/>
              <w:jc w:val="center"/>
              <w:rPr>
                <w:sz w:val="20"/>
                <w:szCs w:val="20"/>
              </w:rPr>
            </w:pPr>
            <w:r w:rsidRPr="00DD5F1E">
              <w:rPr>
                <w:sz w:val="20"/>
                <w:szCs w:val="20"/>
              </w:rPr>
              <w:t>N.E.</w:t>
            </w:r>
          </w:p>
        </w:tc>
        <w:tc>
          <w:tcPr>
            <w:tcW w:w="1341" w:type="dxa"/>
            <w:shd w:val="clear" w:color="auto" w:fill="BFBFBF" w:themeFill="background1" w:themeFillShade="BF"/>
          </w:tcPr>
          <w:p w14:paraId="76075BFA" w14:textId="77777777" w:rsidR="00574918" w:rsidRPr="00DD5F1E" w:rsidRDefault="00574918" w:rsidP="00E25757">
            <w:pPr>
              <w:pStyle w:val="Paragraph"/>
              <w:spacing w:line="240" w:lineRule="auto"/>
              <w:ind w:firstLine="0"/>
              <w:jc w:val="center"/>
              <w:rPr>
                <w:sz w:val="20"/>
                <w:szCs w:val="20"/>
              </w:rPr>
            </w:pPr>
            <w:r w:rsidRPr="00DD5F1E">
              <w:rPr>
                <w:sz w:val="20"/>
                <w:szCs w:val="20"/>
              </w:rPr>
              <w:t>N.E</w:t>
            </w:r>
            <w:r>
              <w:rPr>
                <w:sz w:val="20"/>
                <w:szCs w:val="20"/>
              </w:rPr>
              <w:t>.</w:t>
            </w:r>
          </w:p>
        </w:tc>
        <w:tc>
          <w:tcPr>
            <w:tcW w:w="0" w:type="auto"/>
            <w:shd w:val="clear" w:color="auto" w:fill="BFBFBF" w:themeFill="background1" w:themeFillShade="BF"/>
          </w:tcPr>
          <w:p w14:paraId="13608B1F" w14:textId="77777777" w:rsidR="00574918" w:rsidRPr="00DD5F1E" w:rsidRDefault="00574918" w:rsidP="00E25757">
            <w:pPr>
              <w:pStyle w:val="Paragraph"/>
              <w:spacing w:line="240" w:lineRule="auto"/>
              <w:ind w:firstLine="0"/>
              <w:jc w:val="center"/>
              <w:rPr>
                <w:sz w:val="20"/>
                <w:szCs w:val="20"/>
              </w:rPr>
            </w:pPr>
            <w:r w:rsidRPr="00DD5F1E">
              <w:rPr>
                <w:sz w:val="20"/>
                <w:szCs w:val="20"/>
              </w:rPr>
              <w:t>10.12</w:t>
            </w:r>
          </w:p>
        </w:tc>
        <w:tc>
          <w:tcPr>
            <w:tcW w:w="0" w:type="auto"/>
            <w:shd w:val="clear" w:color="auto" w:fill="BFBFBF" w:themeFill="background1" w:themeFillShade="BF"/>
          </w:tcPr>
          <w:p w14:paraId="79C5DD21" w14:textId="77777777" w:rsidR="00574918" w:rsidRPr="00DD5F1E" w:rsidRDefault="00574918" w:rsidP="00E25757">
            <w:pPr>
              <w:pStyle w:val="Paragraph"/>
              <w:spacing w:line="240" w:lineRule="auto"/>
              <w:ind w:firstLine="0"/>
              <w:jc w:val="center"/>
              <w:rPr>
                <w:sz w:val="20"/>
                <w:szCs w:val="20"/>
              </w:rPr>
            </w:pPr>
            <w:r w:rsidRPr="00DD5F1E">
              <w:rPr>
                <w:sz w:val="20"/>
                <w:szCs w:val="20"/>
              </w:rPr>
              <w:t>0.26</w:t>
            </w:r>
          </w:p>
        </w:tc>
        <w:tc>
          <w:tcPr>
            <w:tcW w:w="0" w:type="auto"/>
            <w:shd w:val="clear" w:color="auto" w:fill="BFBFBF" w:themeFill="background1" w:themeFillShade="BF"/>
          </w:tcPr>
          <w:p w14:paraId="36C13605" w14:textId="77777777" w:rsidR="00574918" w:rsidRPr="00DD5F1E" w:rsidRDefault="00574918" w:rsidP="00E25757">
            <w:pPr>
              <w:pStyle w:val="Paragraph"/>
              <w:spacing w:line="240" w:lineRule="auto"/>
              <w:ind w:firstLine="0"/>
              <w:jc w:val="center"/>
              <w:rPr>
                <w:sz w:val="20"/>
                <w:szCs w:val="20"/>
              </w:rPr>
            </w:pPr>
            <w:r w:rsidRPr="00DD5F1E">
              <w:rPr>
                <w:sz w:val="20"/>
                <w:szCs w:val="20"/>
              </w:rPr>
              <w:t>N.E.</w:t>
            </w:r>
          </w:p>
        </w:tc>
      </w:tr>
      <w:tr w:rsidR="00574918" w14:paraId="6FA0C009" w14:textId="77777777" w:rsidTr="00132860">
        <w:tc>
          <w:tcPr>
            <w:tcW w:w="2245" w:type="dxa"/>
            <w:shd w:val="clear" w:color="auto" w:fill="FFFFFF" w:themeFill="background1"/>
          </w:tcPr>
          <w:p w14:paraId="61D968A1" w14:textId="55678C10" w:rsidR="00574918" w:rsidRPr="00DD5F1E" w:rsidRDefault="00574918" w:rsidP="00E25757">
            <w:pPr>
              <w:pStyle w:val="Paragraph"/>
              <w:spacing w:line="240" w:lineRule="auto"/>
              <w:ind w:firstLine="0"/>
              <w:rPr>
                <w:b/>
                <w:sz w:val="20"/>
                <w:szCs w:val="20"/>
              </w:rPr>
            </w:pPr>
            <w:r w:rsidRPr="00DD5F1E">
              <w:rPr>
                <w:b/>
                <w:sz w:val="20"/>
                <w:szCs w:val="20"/>
              </w:rPr>
              <w:t>Tendon Thickness (mm)</w:t>
            </w:r>
            <w:r w:rsidRPr="00DD5F1E">
              <w:rPr>
                <w:b/>
                <w:sz w:val="20"/>
                <w:szCs w:val="20"/>
              </w:rPr>
              <w:fldChar w:fldCharType="begin" w:fldLock="1"/>
            </w:r>
            <w:r w:rsidR="002465E4">
              <w:rPr>
                <w:b/>
                <w:sz w:val="20"/>
                <w:szCs w:val="20"/>
              </w:rPr>
              <w:instrText>ADDIN CSL_CITATION {"citationItems":[{"id":"ITEM-1","itemData":{"DOI":"10.11138/mltj/2017.7.1.192","ISBN":"3906499146","ISSN":"2240-4554","PMID":"28717629","abstract":"BACKGROUND Ultrasound imaging is often used by physiotherapists and other healthcare professionals but the reliability of image acquisition with different ultrasound machines is unknown. The objective was to compare the intra-rater, inter-rater and intermachine reliability of thickness measurements of the plantar fascia (PF), Achilles tendon (AT), patellar tendon (PT) and elbow common extensor tendon (ECET) with musculoskeletal ultrasound imaging (MSUS). METHODS Tendon thickness was measured in four anatomical structures (14 participants, 28 images per tendon) by two sonographers and with two different ultrasound machines. Intraclass Correlation Coefficients (ICCs) and Bland-Altman plots were calculated. The standard error of measurement (SEM) and minimum detectable difference (MDD) were calculated. RESULTS Inter-rater reliability was excellent for AT (ICC=0.98; 95% CI= 0.96-0.99) and very good for PT (ICC=0.85; 95% CI = 0.67-0.93) and ECET (ICC=0.81; 95% CI= 0.72-0.94). Reliability for PF was moderate, with an ICC of 0.63 (CI 95%= 0.20-0.83). Bland-Altman plot for inter-machine reliability showed a mean difference of 1 m for PF measurements and a mean difference of 4 m and 20 m for AT and PT. The relative SEMs were below 7% and the MDCs were below 0.7 mm. CONCLUSION The MSUS reliability in measuring thickness of the four tendons is confirmed by the homogeneous readings intra sonographers, between operators and between different machines. Level of evidence: Tendon thickness can be measured reliably on different ultrasound devices, which is an important step forward in the use of this technique in daily clinical practice and research. LEVEL OF EVIDENCE III.","author":[{"dropping-particle":"","family":"Baño-Aledo","given":"María Elena","non-dropping-particle":"Del","parse-names":false,"suffix":""},{"dropping-particle":"","family":"Martínez-Payá","given":"Jacinto Javier","non-dropping-particle":"","parse-names":false,"suffix":""},{"dropping-particle":"","family":"Ríos-Díaz","given":"José","non-dropping-particle":"","parse-names":false,"suffix":""},{"dropping-particle":"","family":"Mejías-Suárez","given":"Silvia","non-dropping-particle":"","parse-names":false,"suffix":""},{"dropping-particle":"","family":"Serrano-Carmona","given":"Sergio","non-dropping-particle":"","parse-names":false,"suffix":""},{"dropping-particle":"","family":"Groot-Ferrando","given":"Ana","non-dropping-particle":"de","parse-names":false,"suffix":""}],"container-title":"Muscles, ligaments and tendons journal","genre":"PMC5505590","id":"ITEM-1","issue":"1","issued":{"date-parts":[["2015"]]},"page":"192-199","title":"Ultrasound measures of tendon thickness: Intra-rater, Inter-rater and Inter-machine reliability.","type":"article-journal","volume":"7"},"uris":["http://www.mendeley.com/documents/?uuid=91b28240-45d5-45a2-a99b-1774e178ee7e"]}],"mendeley":{"formattedCitation":"(9)","plainTextFormattedCitation":"(9)","previouslyFormattedCitation":"(8)"},"properties":{"noteIndex":0},"schema":"https://github.com/citation-style-language/schema/raw/master/csl-citation.json"}</w:instrText>
            </w:r>
            <w:r w:rsidRPr="00DD5F1E">
              <w:rPr>
                <w:b/>
                <w:sz w:val="20"/>
                <w:szCs w:val="20"/>
              </w:rPr>
              <w:fldChar w:fldCharType="separate"/>
            </w:r>
            <w:r w:rsidR="002465E4" w:rsidRPr="002465E4">
              <w:rPr>
                <w:noProof/>
                <w:sz w:val="20"/>
                <w:szCs w:val="20"/>
              </w:rPr>
              <w:t>(9)</w:t>
            </w:r>
            <w:r w:rsidRPr="00DD5F1E">
              <w:rPr>
                <w:b/>
                <w:sz w:val="20"/>
                <w:szCs w:val="20"/>
              </w:rPr>
              <w:fldChar w:fldCharType="end"/>
            </w:r>
          </w:p>
        </w:tc>
        <w:tc>
          <w:tcPr>
            <w:tcW w:w="1440" w:type="dxa"/>
            <w:shd w:val="clear" w:color="auto" w:fill="FFFFFF" w:themeFill="background1"/>
          </w:tcPr>
          <w:p w14:paraId="6C8FE158" w14:textId="77777777" w:rsidR="00574918" w:rsidRPr="00DD5F1E" w:rsidRDefault="00574918" w:rsidP="00E25757">
            <w:pPr>
              <w:pStyle w:val="Paragraph"/>
              <w:spacing w:line="240" w:lineRule="auto"/>
              <w:ind w:firstLine="0"/>
              <w:jc w:val="center"/>
              <w:rPr>
                <w:sz w:val="20"/>
                <w:szCs w:val="20"/>
              </w:rPr>
            </w:pPr>
            <w:r w:rsidRPr="00DD5F1E">
              <w:rPr>
                <w:sz w:val="20"/>
                <w:szCs w:val="20"/>
              </w:rPr>
              <w:t>0.82 - 0.96</w:t>
            </w:r>
          </w:p>
        </w:tc>
        <w:tc>
          <w:tcPr>
            <w:tcW w:w="1341" w:type="dxa"/>
            <w:shd w:val="clear" w:color="auto" w:fill="FFFFFF" w:themeFill="background1"/>
          </w:tcPr>
          <w:p w14:paraId="66C4ECA5" w14:textId="77777777" w:rsidR="00574918" w:rsidRPr="00DD5F1E" w:rsidRDefault="00574918" w:rsidP="00E25757">
            <w:pPr>
              <w:pStyle w:val="Paragraph"/>
              <w:spacing w:line="240" w:lineRule="auto"/>
              <w:ind w:firstLine="0"/>
              <w:jc w:val="center"/>
              <w:rPr>
                <w:sz w:val="20"/>
                <w:szCs w:val="20"/>
              </w:rPr>
            </w:pPr>
            <w:r w:rsidRPr="00DD5F1E">
              <w:rPr>
                <w:sz w:val="20"/>
                <w:szCs w:val="20"/>
              </w:rPr>
              <w:t>0.21</w:t>
            </w:r>
          </w:p>
        </w:tc>
        <w:tc>
          <w:tcPr>
            <w:tcW w:w="0" w:type="auto"/>
            <w:shd w:val="clear" w:color="auto" w:fill="FFFFFF" w:themeFill="background1"/>
          </w:tcPr>
          <w:p w14:paraId="2BB76390" w14:textId="77777777" w:rsidR="00574918" w:rsidRPr="00DD5F1E" w:rsidRDefault="00574918" w:rsidP="00E25757">
            <w:pPr>
              <w:pStyle w:val="Paragraph"/>
              <w:spacing w:line="240" w:lineRule="auto"/>
              <w:ind w:firstLine="0"/>
              <w:jc w:val="center"/>
              <w:rPr>
                <w:sz w:val="20"/>
                <w:szCs w:val="20"/>
              </w:rPr>
            </w:pPr>
            <w:r w:rsidRPr="00DD5F1E">
              <w:rPr>
                <w:sz w:val="20"/>
                <w:szCs w:val="20"/>
              </w:rPr>
              <w:t>0.59</w:t>
            </w:r>
          </w:p>
        </w:tc>
        <w:tc>
          <w:tcPr>
            <w:tcW w:w="0" w:type="auto"/>
            <w:shd w:val="clear" w:color="auto" w:fill="FFFFFF" w:themeFill="background1"/>
          </w:tcPr>
          <w:p w14:paraId="35735B30" w14:textId="77777777" w:rsidR="00574918" w:rsidRPr="00DD5F1E" w:rsidRDefault="00574918" w:rsidP="00E25757">
            <w:pPr>
              <w:pStyle w:val="Paragraph"/>
              <w:spacing w:line="240" w:lineRule="auto"/>
              <w:ind w:firstLine="0"/>
              <w:jc w:val="center"/>
              <w:rPr>
                <w:sz w:val="20"/>
                <w:szCs w:val="20"/>
              </w:rPr>
            </w:pPr>
            <w:r w:rsidRPr="00DD5F1E">
              <w:rPr>
                <w:sz w:val="20"/>
                <w:szCs w:val="20"/>
              </w:rPr>
              <w:t>0.16</w:t>
            </w:r>
          </w:p>
        </w:tc>
        <w:tc>
          <w:tcPr>
            <w:tcW w:w="0" w:type="auto"/>
            <w:shd w:val="clear" w:color="auto" w:fill="FFFFFF" w:themeFill="background1"/>
          </w:tcPr>
          <w:p w14:paraId="257E0C0B" w14:textId="77777777" w:rsidR="00574918" w:rsidRPr="00DD5F1E" w:rsidRDefault="00574918" w:rsidP="00E25757">
            <w:pPr>
              <w:pStyle w:val="Paragraph"/>
              <w:spacing w:line="240" w:lineRule="auto"/>
              <w:ind w:firstLine="0"/>
              <w:jc w:val="center"/>
              <w:rPr>
                <w:sz w:val="20"/>
                <w:szCs w:val="20"/>
              </w:rPr>
            </w:pPr>
            <w:r w:rsidRPr="00DD5F1E">
              <w:rPr>
                <w:sz w:val="20"/>
                <w:szCs w:val="20"/>
              </w:rPr>
              <w:t>N.E.</w:t>
            </w:r>
          </w:p>
        </w:tc>
      </w:tr>
      <w:tr w:rsidR="00574918" w14:paraId="57A7E865" w14:textId="77777777" w:rsidTr="00132860">
        <w:tc>
          <w:tcPr>
            <w:tcW w:w="2245" w:type="dxa"/>
            <w:shd w:val="clear" w:color="auto" w:fill="BFBFBF" w:themeFill="background1" w:themeFillShade="BF"/>
          </w:tcPr>
          <w:p w14:paraId="04F40266" w14:textId="77777777" w:rsidR="00574918" w:rsidRPr="00DD5F1E" w:rsidRDefault="00574918" w:rsidP="00E25757">
            <w:pPr>
              <w:pStyle w:val="Paragraph"/>
              <w:spacing w:line="240" w:lineRule="auto"/>
              <w:ind w:firstLine="0"/>
              <w:rPr>
                <w:b/>
                <w:sz w:val="20"/>
                <w:szCs w:val="20"/>
              </w:rPr>
            </w:pPr>
            <w:r w:rsidRPr="00DD5F1E">
              <w:rPr>
                <w:b/>
                <w:sz w:val="20"/>
                <w:szCs w:val="20"/>
              </w:rPr>
              <w:t>Tendon CSA (mm</w:t>
            </w:r>
            <w:r w:rsidRPr="00DD5F1E">
              <w:rPr>
                <w:b/>
                <w:sz w:val="20"/>
                <w:szCs w:val="20"/>
                <w:vertAlign w:val="superscript"/>
              </w:rPr>
              <w:t>2</w:t>
            </w:r>
            <w:r w:rsidRPr="00DD5F1E">
              <w:rPr>
                <w:b/>
                <w:sz w:val="20"/>
                <w:szCs w:val="20"/>
              </w:rPr>
              <w:t>)</w:t>
            </w:r>
          </w:p>
        </w:tc>
        <w:tc>
          <w:tcPr>
            <w:tcW w:w="1440" w:type="dxa"/>
            <w:shd w:val="clear" w:color="auto" w:fill="BFBFBF" w:themeFill="background1" w:themeFillShade="BF"/>
          </w:tcPr>
          <w:p w14:paraId="200CB08A" w14:textId="77777777" w:rsidR="00574918" w:rsidRPr="00DD5F1E" w:rsidRDefault="00574918" w:rsidP="00E25757">
            <w:pPr>
              <w:pStyle w:val="Paragraph"/>
              <w:spacing w:line="240" w:lineRule="auto"/>
              <w:ind w:firstLine="0"/>
              <w:jc w:val="center"/>
              <w:rPr>
                <w:sz w:val="20"/>
                <w:szCs w:val="20"/>
              </w:rPr>
            </w:pPr>
            <w:r w:rsidRPr="00DD5F1E">
              <w:rPr>
                <w:sz w:val="20"/>
                <w:szCs w:val="20"/>
              </w:rPr>
              <w:t>0.878 – 0.882</w:t>
            </w:r>
          </w:p>
        </w:tc>
        <w:tc>
          <w:tcPr>
            <w:tcW w:w="1341" w:type="dxa"/>
            <w:shd w:val="clear" w:color="auto" w:fill="BFBFBF" w:themeFill="background1" w:themeFillShade="BF"/>
          </w:tcPr>
          <w:p w14:paraId="21DD5B6D" w14:textId="77777777" w:rsidR="00574918" w:rsidRPr="00DD5F1E" w:rsidRDefault="00574918" w:rsidP="00E25757">
            <w:pPr>
              <w:pStyle w:val="Paragraph"/>
              <w:spacing w:line="240" w:lineRule="auto"/>
              <w:ind w:firstLine="0"/>
              <w:jc w:val="center"/>
              <w:rPr>
                <w:sz w:val="20"/>
                <w:szCs w:val="20"/>
              </w:rPr>
            </w:pPr>
            <w:r w:rsidRPr="00DD5F1E">
              <w:rPr>
                <w:sz w:val="20"/>
                <w:szCs w:val="20"/>
              </w:rPr>
              <w:t>11.2</w:t>
            </w:r>
          </w:p>
        </w:tc>
        <w:tc>
          <w:tcPr>
            <w:tcW w:w="0" w:type="auto"/>
            <w:shd w:val="clear" w:color="auto" w:fill="BFBFBF" w:themeFill="background1" w:themeFillShade="BF"/>
          </w:tcPr>
          <w:p w14:paraId="44092E67" w14:textId="77777777" w:rsidR="00574918" w:rsidRPr="00DD5F1E" w:rsidRDefault="00574918" w:rsidP="00E25757">
            <w:pPr>
              <w:pStyle w:val="Paragraph"/>
              <w:spacing w:line="240" w:lineRule="auto"/>
              <w:ind w:firstLine="0"/>
              <w:jc w:val="center"/>
              <w:rPr>
                <w:sz w:val="20"/>
                <w:szCs w:val="20"/>
              </w:rPr>
            </w:pPr>
            <w:r w:rsidRPr="00DD5F1E">
              <w:rPr>
                <w:sz w:val="20"/>
                <w:szCs w:val="20"/>
              </w:rPr>
              <w:t>31.0</w:t>
            </w:r>
          </w:p>
        </w:tc>
        <w:tc>
          <w:tcPr>
            <w:tcW w:w="0" w:type="auto"/>
            <w:shd w:val="clear" w:color="auto" w:fill="BFBFBF" w:themeFill="background1" w:themeFillShade="BF"/>
          </w:tcPr>
          <w:p w14:paraId="2F45FC09" w14:textId="77777777" w:rsidR="00574918" w:rsidRPr="00DD5F1E" w:rsidRDefault="00574918" w:rsidP="00E25757">
            <w:pPr>
              <w:pStyle w:val="Paragraph"/>
              <w:spacing w:line="240" w:lineRule="auto"/>
              <w:ind w:firstLine="0"/>
              <w:jc w:val="center"/>
              <w:rPr>
                <w:sz w:val="20"/>
                <w:szCs w:val="20"/>
              </w:rPr>
            </w:pPr>
            <w:r w:rsidRPr="00DD5F1E">
              <w:rPr>
                <w:sz w:val="20"/>
                <w:szCs w:val="20"/>
              </w:rPr>
              <w:t>11.7</w:t>
            </w:r>
          </w:p>
        </w:tc>
        <w:tc>
          <w:tcPr>
            <w:tcW w:w="0" w:type="auto"/>
            <w:shd w:val="clear" w:color="auto" w:fill="BFBFBF" w:themeFill="background1" w:themeFillShade="BF"/>
          </w:tcPr>
          <w:p w14:paraId="2AE2BE36" w14:textId="77777777" w:rsidR="00574918" w:rsidRPr="00DD5F1E" w:rsidRDefault="00574918" w:rsidP="00E25757">
            <w:pPr>
              <w:pStyle w:val="Paragraph"/>
              <w:spacing w:line="240" w:lineRule="auto"/>
              <w:ind w:firstLine="0"/>
              <w:jc w:val="center"/>
              <w:rPr>
                <w:sz w:val="20"/>
                <w:szCs w:val="20"/>
              </w:rPr>
            </w:pPr>
            <w:r w:rsidRPr="00DD5F1E">
              <w:rPr>
                <w:sz w:val="20"/>
                <w:szCs w:val="20"/>
              </w:rPr>
              <w:t>N.E.</w:t>
            </w:r>
          </w:p>
        </w:tc>
      </w:tr>
      <w:tr w:rsidR="00574918" w14:paraId="6B921FBC" w14:textId="77777777" w:rsidTr="00132860">
        <w:tc>
          <w:tcPr>
            <w:tcW w:w="2245" w:type="dxa"/>
            <w:shd w:val="clear" w:color="auto" w:fill="FFFFFF" w:themeFill="background1"/>
          </w:tcPr>
          <w:p w14:paraId="5F8B4F2B" w14:textId="77777777" w:rsidR="00574918" w:rsidRPr="00DD5F1E" w:rsidRDefault="00574918" w:rsidP="00E25757">
            <w:pPr>
              <w:pStyle w:val="Paragraph"/>
              <w:spacing w:line="240" w:lineRule="auto"/>
              <w:ind w:firstLine="0"/>
              <w:rPr>
                <w:b/>
                <w:sz w:val="20"/>
                <w:szCs w:val="20"/>
              </w:rPr>
            </w:pPr>
            <w:r w:rsidRPr="00DD5F1E">
              <w:rPr>
                <w:b/>
                <w:sz w:val="20"/>
                <w:szCs w:val="20"/>
              </w:rPr>
              <w:t>Static Shear Modulus (kPa)</w:t>
            </w:r>
          </w:p>
        </w:tc>
        <w:tc>
          <w:tcPr>
            <w:tcW w:w="1440" w:type="dxa"/>
            <w:shd w:val="clear" w:color="auto" w:fill="FFFFFF" w:themeFill="background1"/>
          </w:tcPr>
          <w:p w14:paraId="7E6914B6" w14:textId="77777777" w:rsidR="00574918" w:rsidRPr="00DD5F1E" w:rsidRDefault="00574918" w:rsidP="00E25757">
            <w:pPr>
              <w:pStyle w:val="Paragraph"/>
              <w:spacing w:line="240" w:lineRule="auto"/>
              <w:ind w:firstLine="0"/>
              <w:jc w:val="center"/>
              <w:rPr>
                <w:sz w:val="20"/>
                <w:szCs w:val="20"/>
              </w:rPr>
            </w:pPr>
            <w:r w:rsidRPr="00DD5F1E">
              <w:rPr>
                <w:sz w:val="20"/>
                <w:szCs w:val="20"/>
              </w:rPr>
              <w:t>0.664 – 0.742</w:t>
            </w:r>
          </w:p>
        </w:tc>
        <w:tc>
          <w:tcPr>
            <w:tcW w:w="1341" w:type="dxa"/>
            <w:shd w:val="clear" w:color="auto" w:fill="FFFFFF" w:themeFill="background1"/>
          </w:tcPr>
          <w:p w14:paraId="204C8022" w14:textId="77777777" w:rsidR="00574918" w:rsidRPr="00DD5F1E" w:rsidRDefault="00574918" w:rsidP="00E25757">
            <w:pPr>
              <w:pStyle w:val="Paragraph"/>
              <w:spacing w:line="240" w:lineRule="auto"/>
              <w:ind w:firstLine="0"/>
              <w:jc w:val="center"/>
              <w:rPr>
                <w:sz w:val="20"/>
                <w:szCs w:val="20"/>
              </w:rPr>
            </w:pPr>
            <w:r w:rsidRPr="00DD5F1E">
              <w:rPr>
                <w:sz w:val="20"/>
                <w:szCs w:val="20"/>
              </w:rPr>
              <w:t>14.1 – 21.1</w:t>
            </w:r>
          </w:p>
        </w:tc>
        <w:tc>
          <w:tcPr>
            <w:tcW w:w="0" w:type="auto"/>
            <w:shd w:val="clear" w:color="auto" w:fill="FFFFFF" w:themeFill="background1"/>
          </w:tcPr>
          <w:p w14:paraId="31DC4F20" w14:textId="77777777" w:rsidR="00574918" w:rsidRPr="00DD5F1E" w:rsidRDefault="00574918" w:rsidP="00E25757">
            <w:pPr>
              <w:pStyle w:val="Paragraph"/>
              <w:spacing w:line="240" w:lineRule="auto"/>
              <w:ind w:firstLine="0"/>
              <w:jc w:val="center"/>
              <w:rPr>
                <w:sz w:val="20"/>
                <w:szCs w:val="20"/>
              </w:rPr>
            </w:pPr>
            <w:r w:rsidRPr="00DD5F1E">
              <w:rPr>
                <w:sz w:val="20"/>
                <w:szCs w:val="20"/>
              </w:rPr>
              <w:t>39.1 – 58.6</w:t>
            </w:r>
          </w:p>
        </w:tc>
        <w:tc>
          <w:tcPr>
            <w:tcW w:w="0" w:type="auto"/>
            <w:shd w:val="clear" w:color="auto" w:fill="FFFFFF" w:themeFill="background1"/>
          </w:tcPr>
          <w:p w14:paraId="6BD44FFF" w14:textId="77777777" w:rsidR="00574918" w:rsidRPr="00DD5F1E" w:rsidRDefault="00574918" w:rsidP="00E25757">
            <w:pPr>
              <w:pStyle w:val="Paragraph"/>
              <w:spacing w:line="240" w:lineRule="auto"/>
              <w:ind w:firstLine="0"/>
              <w:jc w:val="center"/>
              <w:rPr>
                <w:sz w:val="20"/>
                <w:szCs w:val="20"/>
              </w:rPr>
            </w:pPr>
            <w:r w:rsidRPr="00DD5F1E">
              <w:rPr>
                <w:sz w:val="20"/>
                <w:szCs w:val="20"/>
              </w:rPr>
              <w:t>10.8 – 16.3</w:t>
            </w:r>
          </w:p>
        </w:tc>
        <w:tc>
          <w:tcPr>
            <w:tcW w:w="0" w:type="auto"/>
            <w:shd w:val="clear" w:color="auto" w:fill="FFFFFF" w:themeFill="background1"/>
          </w:tcPr>
          <w:p w14:paraId="4B0DCD84" w14:textId="77777777" w:rsidR="00574918" w:rsidRPr="00DD5F1E" w:rsidRDefault="00574918" w:rsidP="00E25757">
            <w:pPr>
              <w:pStyle w:val="Paragraph"/>
              <w:spacing w:line="240" w:lineRule="auto"/>
              <w:ind w:firstLine="0"/>
              <w:jc w:val="center"/>
              <w:rPr>
                <w:sz w:val="20"/>
                <w:szCs w:val="20"/>
              </w:rPr>
            </w:pPr>
            <w:r w:rsidRPr="00DD5F1E">
              <w:rPr>
                <w:sz w:val="20"/>
                <w:szCs w:val="20"/>
              </w:rPr>
              <w:t>N.E.</w:t>
            </w:r>
          </w:p>
        </w:tc>
      </w:tr>
      <w:tr w:rsidR="00574918" w14:paraId="05BB99FD" w14:textId="77777777" w:rsidTr="00132860">
        <w:tc>
          <w:tcPr>
            <w:tcW w:w="2245" w:type="dxa"/>
            <w:shd w:val="clear" w:color="auto" w:fill="BFBFBF" w:themeFill="background1" w:themeFillShade="BF"/>
          </w:tcPr>
          <w:p w14:paraId="5FD866E1" w14:textId="77777777" w:rsidR="00574918" w:rsidRPr="00DD5F1E" w:rsidRDefault="00574918" w:rsidP="00E25757">
            <w:pPr>
              <w:pStyle w:val="Paragraph"/>
              <w:spacing w:line="240" w:lineRule="auto"/>
              <w:ind w:firstLine="0"/>
              <w:rPr>
                <w:b/>
                <w:sz w:val="20"/>
                <w:szCs w:val="20"/>
              </w:rPr>
            </w:pPr>
            <w:r w:rsidRPr="00DD5F1E">
              <w:rPr>
                <w:b/>
                <w:sz w:val="20"/>
                <w:szCs w:val="20"/>
              </w:rPr>
              <w:t>Viscosity (Pa*sec)</w:t>
            </w:r>
          </w:p>
        </w:tc>
        <w:tc>
          <w:tcPr>
            <w:tcW w:w="1440" w:type="dxa"/>
            <w:shd w:val="clear" w:color="auto" w:fill="BFBFBF" w:themeFill="background1" w:themeFillShade="BF"/>
          </w:tcPr>
          <w:p w14:paraId="0BEFC20C" w14:textId="77777777" w:rsidR="00574918" w:rsidRPr="00DD5F1E" w:rsidRDefault="00574918" w:rsidP="00E25757">
            <w:pPr>
              <w:pStyle w:val="Paragraph"/>
              <w:spacing w:line="240" w:lineRule="auto"/>
              <w:ind w:firstLine="0"/>
              <w:jc w:val="center"/>
              <w:rPr>
                <w:sz w:val="20"/>
                <w:szCs w:val="20"/>
              </w:rPr>
            </w:pPr>
            <w:r w:rsidRPr="00DD5F1E">
              <w:rPr>
                <w:sz w:val="20"/>
                <w:szCs w:val="20"/>
              </w:rPr>
              <w:t>0.874 – 0.877</w:t>
            </w:r>
          </w:p>
        </w:tc>
        <w:tc>
          <w:tcPr>
            <w:tcW w:w="1341" w:type="dxa"/>
            <w:shd w:val="clear" w:color="auto" w:fill="BFBFBF" w:themeFill="background1" w:themeFillShade="BF"/>
          </w:tcPr>
          <w:p w14:paraId="07F406F4" w14:textId="77777777" w:rsidR="00574918" w:rsidRPr="00DD5F1E" w:rsidRDefault="00574918" w:rsidP="00E25757">
            <w:pPr>
              <w:pStyle w:val="Paragraph"/>
              <w:spacing w:line="240" w:lineRule="auto"/>
              <w:ind w:firstLine="0"/>
              <w:jc w:val="center"/>
              <w:rPr>
                <w:sz w:val="20"/>
                <w:szCs w:val="20"/>
              </w:rPr>
            </w:pPr>
            <w:r w:rsidRPr="00DD5F1E">
              <w:rPr>
                <w:sz w:val="20"/>
                <w:szCs w:val="20"/>
              </w:rPr>
              <w:t>1.4 – 4.9</w:t>
            </w:r>
          </w:p>
        </w:tc>
        <w:tc>
          <w:tcPr>
            <w:tcW w:w="0" w:type="auto"/>
            <w:shd w:val="clear" w:color="auto" w:fill="BFBFBF" w:themeFill="background1" w:themeFillShade="BF"/>
          </w:tcPr>
          <w:p w14:paraId="37BB61C8" w14:textId="77777777" w:rsidR="00574918" w:rsidRPr="00DD5F1E" w:rsidRDefault="00574918" w:rsidP="00E25757">
            <w:pPr>
              <w:pStyle w:val="Paragraph"/>
              <w:spacing w:line="240" w:lineRule="auto"/>
              <w:ind w:firstLine="0"/>
              <w:jc w:val="center"/>
              <w:rPr>
                <w:sz w:val="20"/>
                <w:szCs w:val="20"/>
              </w:rPr>
            </w:pPr>
            <w:r w:rsidRPr="00DD5F1E">
              <w:rPr>
                <w:sz w:val="20"/>
                <w:szCs w:val="20"/>
              </w:rPr>
              <w:t>3.8 – 13.6</w:t>
            </w:r>
          </w:p>
        </w:tc>
        <w:tc>
          <w:tcPr>
            <w:tcW w:w="0" w:type="auto"/>
            <w:shd w:val="clear" w:color="auto" w:fill="BFBFBF" w:themeFill="background1" w:themeFillShade="BF"/>
          </w:tcPr>
          <w:p w14:paraId="2AA316C4" w14:textId="77777777" w:rsidR="00574918" w:rsidRPr="00DD5F1E" w:rsidRDefault="00574918" w:rsidP="00E25757">
            <w:pPr>
              <w:pStyle w:val="Paragraph"/>
              <w:spacing w:line="240" w:lineRule="auto"/>
              <w:ind w:firstLine="0"/>
              <w:jc w:val="center"/>
              <w:rPr>
                <w:sz w:val="20"/>
                <w:szCs w:val="20"/>
              </w:rPr>
            </w:pPr>
            <w:r w:rsidRPr="00DD5F1E">
              <w:rPr>
                <w:sz w:val="20"/>
                <w:szCs w:val="20"/>
              </w:rPr>
              <w:t>1.1 – 3.8</w:t>
            </w:r>
          </w:p>
        </w:tc>
        <w:tc>
          <w:tcPr>
            <w:tcW w:w="0" w:type="auto"/>
            <w:shd w:val="clear" w:color="auto" w:fill="BFBFBF" w:themeFill="background1" w:themeFillShade="BF"/>
          </w:tcPr>
          <w:p w14:paraId="4DAD2043" w14:textId="77777777" w:rsidR="00574918" w:rsidRPr="00DD5F1E" w:rsidRDefault="00574918" w:rsidP="00E25757">
            <w:pPr>
              <w:pStyle w:val="Paragraph"/>
              <w:spacing w:line="240" w:lineRule="auto"/>
              <w:ind w:firstLine="0"/>
              <w:jc w:val="center"/>
              <w:rPr>
                <w:sz w:val="20"/>
                <w:szCs w:val="20"/>
              </w:rPr>
            </w:pPr>
            <w:r w:rsidRPr="00DD5F1E">
              <w:rPr>
                <w:sz w:val="20"/>
                <w:szCs w:val="20"/>
              </w:rPr>
              <w:t>N.E.</w:t>
            </w:r>
          </w:p>
        </w:tc>
      </w:tr>
      <w:tr w:rsidR="00574918" w14:paraId="77EDC7CD" w14:textId="77777777" w:rsidTr="00132860">
        <w:tc>
          <w:tcPr>
            <w:tcW w:w="2245" w:type="dxa"/>
            <w:shd w:val="clear" w:color="auto" w:fill="FFFFFF" w:themeFill="background1"/>
          </w:tcPr>
          <w:p w14:paraId="090F24C1" w14:textId="1E12EF1B" w:rsidR="00574918" w:rsidRPr="00DD5F1E" w:rsidRDefault="00574918" w:rsidP="00E25757">
            <w:pPr>
              <w:pStyle w:val="Paragraph"/>
              <w:tabs>
                <w:tab w:val="left" w:pos="915"/>
              </w:tabs>
              <w:spacing w:line="240" w:lineRule="auto"/>
              <w:ind w:firstLine="0"/>
              <w:rPr>
                <w:b/>
                <w:sz w:val="20"/>
                <w:szCs w:val="20"/>
              </w:rPr>
            </w:pPr>
            <w:r w:rsidRPr="00DD5F1E">
              <w:rPr>
                <w:b/>
                <w:sz w:val="20"/>
                <w:szCs w:val="20"/>
              </w:rPr>
              <w:t>CMJ Height (cm)</w:t>
            </w:r>
            <w:r w:rsidRPr="00DD5F1E">
              <w:rPr>
                <w:b/>
                <w:sz w:val="20"/>
                <w:szCs w:val="20"/>
              </w:rPr>
              <w:fldChar w:fldCharType="begin" w:fldLock="1"/>
            </w:r>
            <w:r w:rsidR="002465E4">
              <w:rPr>
                <w:b/>
                <w:sz w:val="20"/>
                <w:szCs w:val="20"/>
              </w:rPr>
              <w:instrText>ADDIN CSL_CITATION {"citationItems":[{"id":"ITEM-1","itemData":{"DOI":"10.1007/s00167-006-0150-6","ISBN":"0942-2056 (Print)","ISSN":"0942-2056","PMID":"16858560","abstract":"Achilles tendinopathy is considered to be one of the most common overuse injuries in elite and recreational athletes. However, the effect that the Achilles tendinopathy has on patients' physical performance is still unclear. The purpose of this study was to evaluate if Achilles tendinopathy caused functional deficits on the injured side compared with the non-injured side in patients. A test battery comprised of tests for different aspects of muscle-tendon function of the gastrocnemius, soleus and Achilles tendon complex was developed to evaluate lower leg function. The test battery's test-retest reliability and sensitivity (the percent probability that the tests would demonstrate abnormal lower limb symmetry index in patients) were also evaluated. The test battery consisted of three jump tests, a counter movements jump (CMJ), a drop counter movement jump (drop CMJ) and hopping, and two strength tests, concentric toe-raises, eccentric-concentric toe-raises and toe-raises for endurance. The reliability was evaluated through a test-retest design on 15 healthy subjects. The test battery's sensitivity and possible functional deficits in patients with Achilles tendinopathy were evaluated on 42 patients (19 women and 23 men). An excellent reliability was found between test days 1-2 and 2-3 for all tests (ICC = 0.76-0.94) except for concentric toe-raise, test 2-3, which had fair reliability (ICC = 0.73). The methodological error ranged from 8 to 17%. There were significant differences (P = 0.001-0.049) between the non-injured (or least symptomatic) side and injured (most symptomatic) side for hopping, drop CMJ, concentric and eccentric-concentric toe-raises, and significant differences (P = 0.000-0.012) in the level of pain during CMJ, hopping, and drop CMJ. The sensitivity of the test battery at a 90% capacity was 88. Achilles tendinopathy causes not only pain and symptoms in patients but also apparent impairments in various aspects of lower leg muscle-tendon function as measured with the test battery. This test battery is reliable and able to detect differences in lower leg function between the injured or \"most symptomatic\" and non-injured or \"least symptomatic\" side in patients with Achilles tendinopathy. The test battery has higher demand on patients' function compared with each individual test.","author":[{"dropping-particle":"","family":"Silbernagel","given":"Karin Grävare","non-dropping-particle":"","parse-names":false,"suffix":""},{"dropping-particle":"","family":"Gustavsson","given":"Alexander","non-dropping-particle":"","parse-names":false,"suffix":""},{"dropping-particle":"","family":"Thomeé","given":"Roland","non-dropping-particle":"","parse-names":false,"suffix":""},{"dropping-particle":"","family":"Karlsson","given":"Jon","non-dropping-particle":"","parse-names":false,"suffix":""}],"container-title":"Knee Surgery, Sports Traumatology, Arthroscopy","id":"ITEM-1","issue":"11","issued":{"date-parts":[["2006","11","3"]]},"language":"eng","page":"1207-1217","title":"Evaluation of lower leg function in patients with Achilles tendinopathy","type":"article-journal","volume":"14"},"uris":["http://www.mendeley.com/documents/?uuid=b9cca454-ef34-4a3a-8879-31f28eb6d111"]}],"mendeley":{"formattedCitation":"(10)","plainTextFormattedCitation":"(10)","previouslyFormattedCitation":"(9)"},"properties":{"noteIndex":0},"schema":"https://github.com/citation-style-language/schema/raw/master/csl-citation.json"}</w:instrText>
            </w:r>
            <w:r w:rsidRPr="00DD5F1E">
              <w:rPr>
                <w:b/>
                <w:sz w:val="20"/>
                <w:szCs w:val="20"/>
              </w:rPr>
              <w:fldChar w:fldCharType="separate"/>
            </w:r>
            <w:r w:rsidR="002465E4" w:rsidRPr="002465E4">
              <w:rPr>
                <w:noProof/>
                <w:sz w:val="20"/>
                <w:szCs w:val="20"/>
              </w:rPr>
              <w:t>(10)</w:t>
            </w:r>
            <w:r w:rsidRPr="00DD5F1E">
              <w:rPr>
                <w:b/>
                <w:sz w:val="20"/>
                <w:szCs w:val="20"/>
              </w:rPr>
              <w:fldChar w:fldCharType="end"/>
            </w:r>
            <w:r w:rsidRPr="00DD5F1E">
              <w:rPr>
                <w:b/>
                <w:sz w:val="20"/>
                <w:szCs w:val="20"/>
              </w:rPr>
              <w:tab/>
            </w:r>
          </w:p>
        </w:tc>
        <w:tc>
          <w:tcPr>
            <w:tcW w:w="1440" w:type="dxa"/>
            <w:shd w:val="clear" w:color="auto" w:fill="FFFFFF" w:themeFill="background1"/>
          </w:tcPr>
          <w:p w14:paraId="2501A92D" w14:textId="77777777" w:rsidR="00574918" w:rsidRPr="00DD5F1E" w:rsidRDefault="00574918" w:rsidP="00E25757">
            <w:pPr>
              <w:pStyle w:val="Paragraph"/>
              <w:spacing w:line="240" w:lineRule="auto"/>
              <w:ind w:firstLine="0"/>
              <w:jc w:val="center"/>
              <w:rPr>
                <w:sz w:val="20"/>
                <w:szCs w:val="20"/>
              </w:rPr>
            </w:pPr>
            <w:r w:rsidRPr="00DD5F1E">
              <w:rPr>
                <w:sz w:val="20"/>
                <w:szCs w:val="20"/>
              </w:rPr>
              <w:t>0.91</w:t>
            </w:r>
          </w:p>
        </w:tc>
        <w:tc>
          <w:tcPr>
            <w:tcW w:w="1341" w:type="dxa"/>
            <w:shd w:val="clear" w:color="auto" w:fill="FFFFFF" w:themeFill="background1"/>
          </w:tcPr>
          <w:p w14:paraId="4BC3EB81" w14:textId="77777777" w:rsidR="00574918" w:rsidRPr="00DD5F1E" w:rsidRDefault="00574918" w:rsidP="00E25757">
            <w:pPr>
              <w:pStyle w:val="Paragraph"/>
              <w:spacing w:line="240" w:lineRule="auto"/>
              <w:ind w:firstLine="0"/>
              <w:jc w:val="center"/>
              <w:rPr>
                <w:sz w:val="20"/>
                <w:szCs w:val="20"/>
              </w:rPr>
            </w:pPr>
            <w:r w:rsidRPr="00DD5F1E">
              <w:rPr>
                <w:sz w:val="20"/>
                <w:szCs w:val="20"/>
              </w:rPr>
              <w:t>1.44</w:t>
            </w:r>
          </w:p>
        </w:tc>
        <w:tc>
          <w:tcPr>
            <w:tcW w:w="0" w:type="auto"/>
            <w:shd w:val="clear" w:color="auto" w:fill="FFFFFF" w:themeFill="background1"/>
          </w:tcPr>
          <w:p w14:paraId="362E8AA2" w14:textId="77777777" w:rsidR="00574918" w:rsidRPr="00DD5F1E" w:rsidRDefault="00574918" w:rsidP="00E25757">
            <w:pPr>
              <w:pStyle w:val="Paragraph"/>
              <w:spacing w:line="240" w:lineRule="auto"/>
              <w:ind w:firstLine="0"/>
              <w:jc w:val="center"/>
              <w:rPr>
                <w:sz w:val="20"/>
                <w:szCs w:val="20"/>
              </w:rPr>
            </w:pPr>
            <w:r w:rsidRPr="00DD5F1E">
              <w:rPr>
                <w:sz w:val="20"/>
                <w:szCs w:val="20"/>
              </w:rPr>
              <w:t>3.99</w:t>
            </w:r>
          </w:p>
        </w:tc>
        <w:tc>
          <w:tcPr>
            <w:tcW w:w="0" w:type="auto"/>
            <w:shd w:val="clear" w:color="auto" w:fill="FFFFFF" w:themeFill="background1"/>
          </w:tcPr>
          <w:p w14:paraId="3289295E" w14:textId="77777777" w:rsidR="00574918" w:rsidRPr="00DD5F1E" w:rsidRDefault="00574918" w:rsidP="00E25757">
            <w:pPr>
              <w:pStyle w:val="Paragraph"/>
              <w:spacing w:line="240" w:lineRule="auto"/>
              <w:ind w:firstLine="0"/>
              <w:jc w:val="center"/>
              <w:rPr>
                <w:sz w:val="20"/>
                <w:szCs w:val="20"/>
              </w:rPr>
            </w:pPr>
            <w:r w:rsidRPr="00DD5F1E">
              <w:rPr>
                <w:sz w:val="20"/>
                <w:szCs w:val="20"/>
              </w:rPr>
              <w:t>0.73</w:t>
            </w:r>
          </w:p>
        </w:tc>
        <w:tc>
          <w:tcPr>
            <w:tcW w:w="0" w:type="auto"/>
            <w:shd w:val="clear" w:color="auto" w:fill="FFFFFF" w:themeFill="background1"/>
          </w:tcPr>
          <w:p w14:paraId="5304BDAF" w14:textId="77777777" w:rsidR="00574918" w:rsidRPr="00DD5F1E" w:rsidRDefault="00574918" w:rsidP="00E25757">
            <w:pPr>
              <w:pStyle w:val="Paragraph"/>
              <w:spacing w:line="240" w:lineRule="auto"/>
              <w:ind w:firstLine="0"/>
              <w:jc w:val="center"/>
              <w:rPr>
                <w:sz w:val="20"/>
                <w:szCs w:val="20"/>
              </w:rPr>
            </w:pPr>
            <w:r w:rsidRPr="00DD5F1E">
              <w:rPr>
                <w:sz w:val="20"/>
                <w:szCs w:val="20"/>
              </w:rPr>
              <w:t>N.E.</w:t>
            </w:r>
          </w:p>
        </w:tc>
      </w:tr>
      <w:tr w:rsidR="00574918" w14:paraId="65516198" w14:textId="77777777" w:rsidTr="00132860">
        <w:tc>
          <w:tcPr>
            <w:tcW w:w="2245" w:type="dxa"/>
            <w:shd w:val="clear" w:color="auto" w:fill="BFBFBF" w:themeFill="background1" w:themeFillShade="BF"/>
          </w:tcPr>
          <w:p w14:paraId="7816EC85" w14:textId="4962B745" w:rsidR="00574918" w:rsidRPr="00DD5F1E" w:rsidRDefault="00574918" w:rsidP="00E25757">
            <w:pPr>
              <w:pStyle w:val="Paragraph"/>
              <w:spacing w:line="240" w:lineRule="auto"/>
              <w:ind w:firstLine="0"/>
              <w:rPr>
                <w:b/>
                <w:sz w:val="20"/>
                <w:szCs w:val="20"/>
              </w:rPr>
            </w:pPr>
            <w:r w:rsidRPr="00DD5F1E">
              <w:rPr>
                <w:b/>
                <w:sz w:val="20"/>
                <w:szCs w:val="20"/>
              </w:rPr>
              <w:t xml:space="preserve">Drop CMJ Height (cm) </w:t>
            </w:r>
            <w:r w:rsidRPr="00DD5F1E">
              <w:rPr>
                <w:b/>
                <w:sz w:val="20"/>
                <w:szCs w:val="20"/>
              </w:rPr>
              <w:fldChar w:fldCharType="begin" w:fldLock="1"/>
            </w:r>
            <w:r w:rsidR="002465E4">
              <w:rPr>
                <w:b/>
                <w:sz w:val="20"/>
                <w:szCs w:val="20"/>
              </w:rPr>
              <w:instrText>ADDIN CSL_CITATION {"citationItems":[{"id":"ITEM-1","itemData":{"DOI":"10.1007/s00167-006-0150-6","ISBN":"0942-2056 (Print)","ISSN":"0942-2056","PMID":"16858560","abstract":"Achilles tendinopathy is considered to be one of the most common overuse injuries in elite and recreational athletes. However, the effect that the Achilles tendinopathy has on patients' physical performance is still unclear. The purpose of this study was to evaluate if Achilles tendinopathy caused functional deficits on the injured side compared with the non-injured side in patients. A test battery comprised of tests for different aspects of muscle-tendon function of the gastrocnemius, soleus and Achilles tendon complex was developed to evaluate lower leg function. The test battery's test-retest reliability and sensitivity (the percent probability that the tests would demonstrate abnormal lower limb symmetry index in patients) were also evaluated. The test battery consisted of three jump tests, a counter movements jump (CMJ), a drop counter movement jump (drop CMJ) and hopping, and two strength tests, concentric toe-raises, eccentric-concentric toe-raises and toe-raises for endurance. The reliability was evaluated through a test-retest design on 15 healthy subjects. The test battery's sensitivity and possible functional deficits in patients with Achilles tendinopathy were evaluated on 42 patients (19 women and 23 men). An excellent reliability was found between test days 1-2 and 2-3 for all tests (ICC = 0.76-0.94) except for concentric toe-raise, test 2-3, which had fair reliability (ICC = 0.73). The methodological error ranged from 8 to 17%. There were significant differences (P = 0.001-0.049) between the non-injured (or least symptomatic) side and injured (most symptomatic) side for hopping, drop CMJ, concentric and eccentric-concentric toe-raises, and significant differences (P = 0.000-0.012) in the level of pain during CMJ, hopping, and drop CMJ. The sensitivity of the test battery at a 90% capacity was 88. Achilles tendinopathy causes not only pain and symptoms in patients but also apparent impairments in various aspects of lower leg muscle-tendon function as measured with the test battery. This test battery is reliable and able to detect differences in lower leg function between the injured or \"most symptomatic\" and non-injured or \"least symptomatic\" side in patients with Achilles tendinopathy. The test battery has higher demand on patients' function compared with each individual test.","author":[{"dropping-particle":"","family":"Silbernagel","given":"Karin Grävare","non-dropping-particle":"","parse-names":false,"suffix":""},{"dropping-particle":"","family":"Gustavsson","given":"Alexander","non-dropping-particle":"","parse-names":false,"suffix":""},{"dropping-particle":"","family":"Thomeé","given":"Roland","non-dropping-particle":"","parse-names":false,"suffix":""},{"dropping-particle":"","family":"Karlsson","given":"Jon","non-dropping-particle":"","parse-names":false,"suffix":""}],"container-title":"Knee Surgery, Sports Traumatology, Arthroscopy","id":"ITEM-1","issue":"11","issued":{"date-parts":[["2006","11","3"]]},"language":"eng","page":"1207-1217","title":"Evaluation of lower leg function in patients with Achilles tendinopathy","type":"article-journal","volume":"14"},"uris":["http://www.mendeley.com/documents/?uuid=b9cca454-ef34-4a3a-8879-31f28eb6d111"]}],"mendeley":{"formattedCitation":"(10)","plainTextFormattedCitation":"(10)","previouslyFormattedCitation":"(9)"},"properties":{"noteIndex":0},"schema":"https://github.com/citation-style-language/schema/raw/master/csl-citation.json"}</w:instrText>
            </w:r>
            <w:r w:rsidRPr="00DD5F1E">
              <w:rPr>
                <w:b/>
                <w:sz w:val="20"/>
                <w:szCs w:val="20"/>
              </w:rPr>
              <w:fldChar w:fldCharType="separate"/>
            </w:r>
            <w:r w:rsidR="002465E4" w:rsidRPr="002465E4">
              <w:rPr>
                <w:noProof/>
                <w:sz w:val="20"/>
                <w:szCs w:val="20"/>
              </w:rPr>
              <w:t>(10)</w:t>
            </w:r>
            <w:r w:rsidRPr="00DD5F1E">
              <w:rPr>
                <w:b/>
                <w:sz w:val="20"/>
                <w:szCs w:val="20"/>
              </w:rPr>
              <w:fldChar w:fldCharType="end"/>
            </w:r>
          </w:p>
        </w:tc>
        <w:tc>
          <w:tcPr>
            <w:tcW w:w="1440" w:type="dxa"/>
            <w:shd w:val="clear" w:color="auto" w:fill="BFBFBF" w:themeFill="background1" w:themeFillShade="BF"/>
          </w:tcPr>
          <w:p w14:paraId="227C9DA2" w14:textId="77777777" w:rsidR="00574918" w:rsidRPr="00DD5F1E" w:rsidRDefault="00574918" w:rsidP="00E25757">
            <w:pPr>
              <w:pStyle w:val="Paragraph"/>
              <w:spacing w:line="240" w:lineRule="auto"/>
              <w:ind w:firstLine="0"/>
              <w:jc w:val="center"/>
              <w:rPr>
                <w:sz w:val="20"/>
                <w:szCs w:val="20"/>
              </w:rPr>
            </w:pPr>
            <w:r w:rsidRPr="00DD5F1E">
              <w:rPr>
                <w:sz w:val="20"/>
                <w:szCs w:val="20"/>
              </w:rPr>
              <w:t>0.88 – 0.92</w:t>
            </w:r>
          </w:p>
        </w:tc>
        <w:tc>
          <w:tcPr>
            <w:tcW w:w="1341" w:type="dxa"/>
            <w:shd w:val="clear" w:color="auto" w:fill="BFBFBF" w:themeFill="background1" w:themeFillShade="BF"/>
          </w:tcPr>
          <w:p w14:paraId="21B8184F" w14:textId="77777777" w:rsidR="00574918" w:rsidRPr="00DD5F1E" w:rsidRDefault="00574918" w:rsidP="00E25757">
            <w:pPr>
              <w:pStyle w:val="Paragraph"/>
              <w:spacing w:line="240" w:lineRule="auto"/>
              <w:ind w:firstLine="0"/>
              <w:jc w:val="center"/>
              <w:rPr>
                <w:sz w:val="20"/>
                <w:szCs w:val="20"/>
              </w:rPr>
            </w:pPr>
            <w:r w:rsidRPr="00DD5F1E">
              <w:rPr>
                <w:sz w:val="20"/>
                <w:szCs w:val="20"/>
              </w:rPr>
              <w:t>1.66</w:t>
            </w:r>
          </w:p>
        </w:tc>
        <w:tc>
          <w:tcPr>
            <w:tcW w:w="0" w:type="auto"/>
            <w:shd w:val="clear" w:color="auto" w:fill="BFBFBF" w:themeFill="background1" w:themeFillShade="BF"/>
          </w:tcPr>
          <w:p w14:paraId="2E895AFA" w14:textId="77777777" w:rsidR="00574918" w:rsidRPr="00DD5F1E" w:rsidRDefault="00574918" w:rsidP="00E25757">
            <w:pPr>
              <w:pStyle w:val="Paragraph"/>
              <w:spacing w:line="240" w:lineRule="auto"/>
              <w:ind w:firstLine="0"/>
              <w:jc w:val="center"/>
              <w:rPr>
                <w:sz w:val="20"/>
                <w:szCs w:val="20"/>
              </w:rPr>
            </w:pPr>
            <w:r w:rsidRPr="00DD5F1E">
              <w:rPr>
                <w:sz w:val="20"/>
                <w:szCs w:val="20"/>
              </w:rPr>
              <w:t>4.61</w:t>
            </w:r>
          </w:p>
        </w:tc>
        <w:tc>
          <w:tcPr>
            <w:tcW w:w="0" w:type="auto"/>
            <w:shd w:val="clear" w:color="auto" w:fill="BFBFBF" w:themeFill="background1" w:themeFillShade="BF"/>
          </w:tcPr>
          <w:p w14:paraId="6673FF36" w14:textId="77777777" w:rsidR="00574918" w:rsidRPr="00DD5F1E" w:rsidRDefault="00574918" w:rsidP="00E25757">
            <w:pPr>
              <w:pStyle w:val="Paragraph"/>
              <w:spacing w:line="240" w:lineRule="auto"/>
              <w:ind w:firstLine="0"/>
              <w:jc w:val="center"/>
              <w:rPr>
                <w:sz w:val="20"/>
                <w:szCs w:val="20"/>
              </w:rPr>
            </w:pPr>
            <w:r w:rsidRPr="00DD5F1E">
              <w:rPr>
                <w:sz w:val="20"/>
                <w:szCs w:val="20"/>
              </w:rPr>
              <w:t>0.84</w:t>
            </w:r>
          </w:p>
        </w:tc>
        <w:tc>
          <w:tcPr>
            <w:tcW w:w="0" w:type="auto"/>
            <w:shd w:val="clear" w:color="auto" w:fill="BFBFBF" w:themeFill="background1" w:themeFillShade="BF"/>
          </w:tcPr>
          <w:p w14:paraId="0B12A505" w14:textId="77777777" w:rsidR="00574918" w:rsidRPr="00DD5F1E" w:rsidRDefault="00574918" w:rsidP="00E25757">
            <w:pPr>
              <w:pStyle w:val="Paragraph"/>
              <w:spacing w:line="240" w:lineRule="auto"/>
              <w:ind w:firstLine="0"/>
              <w:jc w:val="center"/>
              <w:rPr>
                <w:sz w:val="20"/>
                <w:szCs w:val="20"/>
              </w:rPr>
            </w:pPr>
            <w:r w:rsidRPr="00DD5F1E">
              <w:rPr>
                <w:sz w:val="20"/>
                <w:szCs w:val="20"/>
              </w:rPr>
              <w:t>N.E.</w:t>
            </w:r>
          </w:p>
        </w:tc>
      </w:tr>
      <w:tr w:rsidR="00574918" w14:paraId="687D12B1" w14:textId="77777777" w:rsidTr="00132860">
        <w:tc>
          <w:tcPr>
            <w:tcW w:w="2245" w:type="dxa"/>
            <w:shd w:val="clear" w:color="auto" w:fill="FFFFFF" w:themeFill="background1"/>
          </w:tcPr>
          <w:p w14:paraId="7E19E792" w14:textId="2D28260F" w:rsidR="00574918" w:rsidRPr="00DD5F1E" w:rsidRDefault="00574918" w:rsidP="00E25757">
            <w:pPr>
              <w:pStyle w:val="Paragraph"/>
              <w:spacing w:line="240" w:lineRule="auto"/>
              <w:ind w:firstLine="0"/>
              <w:rPr>
                <w:b/>
                <w:sz w:val="20"/>
                <w:szCs w:val="20"/>
              </w:rPr>
            </w:pPr>
            <w:r w:rsidRPr="00DD5F1E">
              <w:rPr>
                <w:b/>
                <w:sz w:val="20"/>
                <w:szCs w:val="20"/>
              </w:rPr>
              <w:t>Knee Extension MVIC (% change)</w:t>
            </w:r>
            <w:r w:rsidRPr="00DD5F1E">
              <w:rPr>
                <w:b/>
                <w:sz w:val="20"/>
                <w:szCs w:val="20"/>
              </w:rPr>
              <w:fldChar w:fldCharType="begin" w:fldLock="1"/>
            </w:r>
            <w:r w:rsidR="002465E4">
              <w:rPr>
                <w:b/>
                <w:sz w:val="20"/>
                <w:szCs w:val="20"/>
              </w:rPr>
              <w:instrText>ADDIN CSL_CITATION {"citationItems":[{"id":"ITEM-1","itemData":{"DOI":"10.1371/journal.pone.0140822","ISSN":"19326203","PMID":"26509265","abstract":"Introduction Hand-held dynamometry (HHD) has never previously been used to examine isometric muscle power. Rate of force development (RFD) is often used for muscle power assessment, however no consensus currently exists on the most appropriate method of calculation. The aim of this study was to examine the reliability of different algorithms for RFD calculation and to examine the intra-rater, inter-rater, and inter-device reliability of HHD as well as the concurrent validity of HHD for the assessment of isometric lower limb muscle strength and power. Methods 30 healthy young adults (age: 23±5yrs, male: 15) were assessed on two sessions. Isometric muscle strength and power were measured using peak force and RFD respectively using two HHDs (Lafayette Model-01165 and Hoggan microFET2) and a criterion-reference Kin-Com dynamometer. Statistical analysis of reliability and validity comprised intraclass correlation coefficients (ICC), Pearson correlations, concordance correlations, standard error of measurement, and minimal detectable change. Results Comparison of RFD methods revealed that a peak 200ms moving window algorithm provided optimal reliability results. Intra-rater, inter-rater, and inter-device reliability analysis of peak force and RFD revealed mostly good to excellent reliability (coefficients ô 0.70) for all muscle groups. Concurrent validity analysis showed moderate to excellent relationships between HHD and fixed dynamometry for the hip and knee (ICCs ô 0.70) for both peak force and RFD, with mostly poor to good results shown for the ankle muscles (ICCs = 0.31-0.79). \\Conclusions Hand-held dynamometry has good to excellent reliability and validity for most measures of isometric lower limb strength and power in a healthy population, particularly for proximal muscle groups. To aid implementation we have created freely available software to extract these variables from data stored on the Lafayette device. Future research should examine the reliability and validity of these variables in clinical populations.","author":[{"dropping-particle":"","family":"Mentiplay","given":"Benjamin F.","non-dropping-particle":"","parse-names":false,"suffix":""},{"dropping-particle":"","family":"Perraton","given":"Luke G.","non-dropping-particle":"","parse-names":false,"suffix":""},{"dropping-particle":"","family":"Bower","given":"Kelly J.","non-dropping-particle":"","parse-names":false,"suffix":""},{"dropping-particle":"","family":"Adair","given":"Brooke","non-dropping-particle":"","parse-names":false,"suffix":""},{"dropping-particle":"","family":"Pua","given":"Yong Hao","non-dropping-particle":"","parse-names":false,"suffix":""},{"dropping-particle":"","family":"Williams","given":"Gavin P.","non-dropping-particle":"","parse-names":false,"suffix":""},{"dropping-particle":"","family":"McGaw","given":"Rebekah","non-dropping-particle":"","parse-names":false,"suffix":""},{"dropping-particle":"","family":"Clark","given":"Ross A.","non-dropping-particle":"","parse-names":false,"suffix":""}],"container-title":"PLoS ONE","id":"ITEM-1","issue":"10","issued":{"date-parts":[["2015"]]},"page":"1-18","title":"Assessment of lower limb muscle strength and power using hand-held and fixed dynamometry: A reliability and validity study","type":"article-journal","volume":"10"},"uris":["http://www.mendeley.com/documents/?uuid=7c504ffb-b3e1-4f56-8a82-c03a51c4a958"]}],"mendeley":{"formattedCitation":"(11)","plainTextFormattedCitation":"(11)","previouslyFormattedCitation":"(10)"},"properties":{"noteIndex":0},"schema":"https://github.com/citation-style-language/schema/raw/master/csl-citation.json"}</w:instrText>
            </w:r>
            <w:r w:rsidRPr="00DD5F1E">
              <w:rPr>
                <w:b/>
                <w:sz w:val="20"/>
                <w:szCs w:val="20"/>
              </w:rPr>
              <w:fldChar w:fldCharType="separate"/>
            </w:r>
            <w:r w:rsidR="002465E4" w:rsidRPr="002465E4">
              <w:rPr>
                <w:noProof/>
                <w:sz w:val="20"/>
                <w:szCs w:val="20"/>
              </w:rPr>
              <w:t>(11)</w:t>
            </w:r>
            <w:r w:rsidRPr="00DD5F1E">
              <w:rPr>
                <w:b/>
                <w:sz w:val="20"/>
                <w:szCs w:val="20"/>
              </w:rPr>
              <w:fldChar w:fldCharType="end"/>
            </w:r>
          </w:p>
        </w:tc>
        <w:tc>
          <w:tcPr>
            <w:tcW w:w="1440" w:type="dxa"/>
            <w:shd w:val="clear" w:color="auto" w:fill="FFFFFF" w:themeFill="background1"/>
          </w:tcPr>
          <w:p w14:paraId="42D5C6B2" w14:textId="77777777" w:rsidR="00574918" w:rsidRPr="00DD5F1E" w:rsidRDefault="00574918" w:rsidP="00E25757">
            <w:pPr>
              <w:pStyle w:val="Paragraph"/>
              <w:spacing w:line="240" w:lineRule="auto"/>
              <w:ind w:firstLine="0"/>
              <w:jc w:val="center"/>
              <w:rPr>
                <w:sz w:val="20"/>
                <w:szCs w:val="20"/>
              </w:rPr>
            </w:pPr>
            <w:r w:rsidRPr="00DD5F1E">
              <w:rPr>
                <w:sz w:val="20"/>
                <w:szCs w:val="20"/>
              </w:rPr>
              <w:t>0.98</w:t>
            </w:r>
          </w:p>
        </w:tc>
        <w:tc>
          <w:tcPr>
            <w:tcW w:w="1341" w:type="dxa"/>
            <w:shd w:val="clear" w:color="auto" w:fill="FFFFFF" w:themeFill="background1"/>
          </w:tcPr>
          <w:p w14:paraId="1E3481D8" w14:textId="77777777" w:rsidR="00574918" w:rsidRPr="00DD5F1E" w:rsidRDefault="00574918" w:rsidP="00E25757">
            <w:pPr>
              <w:pStyle w:val="Paragraph"/>
              <w:spacing w:line="240" w:lineRule="auto"/>
              <w:ind w:firstLine="0"/>
              <w:jc w:val="center"/>
              <w:rPr>
                <w:sz w:val="20"/>
                <w:szCs w:val="20"/>
              </w:rPr>
            </w:pPr>
            <w:r w:rsidRPr="00DD5F1E">
              <w:rPr>
                <w:sz w:val="20"/>
                <w:szCs w:val="20"/>
              </w:rPr>
              <w:t>5.67</w:t>
            </w:r>
          </w:p>
        </w:tc>
        <w:tc>
          <w:tcPr>
            <w:tcW w:w="0" w:type="auto"/>
            <w:shd w:val="clear" w:color="auto" w:fill="FFFFFF" w:themeFill="background1"/>
          </w:tcPr>
          <w:p w14:paraId="5F65F383" w14:textId="77777777" w:rsidR="00574918" w:rsidRPr="00DD5F1E" w:rsidRDefault="00574918" w:rsidP="00E25757">
            <w:pPr>
              <w:pStyle w:val="Paragraph"/>
              <w:spacing w:line="240" w:lineRule="auto"/>
              <w:ind w:firstLine="0"/>
              <w:jc w:val="center"/>
              <w:rPr>
                <w:sz w:val="20"/>
                <w:szCs w:val="20"/>
              </w:rPr>
            </w:pPr>
            <w:r w:rsidRPr="00DD5F1E">
              <w:rPr>
                <w:sz w:val="20"/>
                <w:szCs w:val="20"/>
              </w:rPr>
              <w:t>15.72</w:t>
            </w:r>
          </w:p>
        </w:tc>
        <w:tc>
          <w:tcPr>
            <w:tcW w:w="0" w:type="auto"/>
            <w:shd w:val="clear" w:color="auto" w:fill="FFFFFF" w:themeFill="background1"/>
          </w:tcPr>
          <w:p w14:paraId="653BE3B2" w14:textId="77777777" w:rsidR="00574918" w:rsidRPr="00DD5F1E" w:rsidRDefault="00574918" w:rsidP="00E25757">
            <w:pPr>
              <w:pStyle w:val="Paragraph"/>
              <w:spacing w:line="240" w:lineRule="auto"/>
              <w:ind w:firstLine="0"/>
              <w:jc w:val="center"/>
              <w:rPr>
                <w:sz w:val="20"/>
                <w:szCs w:val="20"/>
              </w:rPr>
            </w:pPr>
            <w:r w:rsidRPr="00DD5F1E">
              <w:rPr>
                <w:sz w:val="20"/>
                <w:szCs w:val="20"/>
              </w:rPr>
              <w:t>2.87</w:t>
            </w:r>
          </w:p>
        </w:tc>
        <w:tc>
          <w:tcPr>
            <w:tcW w:w="0" w:type="auto"/>
            <w:shd w:val="clear" w:color="auto" w:fill="FFFFFF" w:themeFill="background1"/>
          </w:tcPr>
          <w:p w14:paraId="459B0E36" w14:textId="77777777" w:rsidR="00574918" w:rsidRPr="00DD5F1E" w:rsidRDefault="00574918" w:rsidP="00E25757">
            <w:pPr>
              <w:pStyle w:val="Paragraph"/>
              <w:spacing w:line="240" w:lineRule="auto"/>
              <w:ind w:firstLine="0"/>
              <w:jc w:val="center"/>
              <w:rPr>
                <w:sz w:val="20"/>
                <w:szCs w:val="20"/>
              </w:rPr>
            </w:pPr>
            <w:r w:rsidRPr="00DD5F1E">
              <w:rPr>
                <w:sz w:val="20"/>
                <w:szCs w:val="20"/>
              </w:rPr>
              <w:t>N</w:t>
            </w:r>
            <w:r>
              <w:rPr>
                <w:sz w:val="20"/>
                <w:szCs w:val="20"/>
              </w:rPr>
              <w:t>.</w:t>
            </w:r>
            <w:r w:rsidRPr="00DD5F1E">
              <w:rPr>
                <w:sz w:val="20"/>
                <w:szCs w:val="20"/>
              </w:rPr>
              <w:t>E</w:t>
            </w:r>
            <w:r>
              <w:rPr>
                <w:sz w:val="20"/>
                <w:szCs w:val="20"/>
              </w:rPr>
              <w:t>.</w:t>
            </w:r>
          </w:p>
        </w:tc>
      </w:tr>
      <w:tr w:rsidR="00574918" w14:paraId="742E3777" w14:textId="77777777" w:rsidTr="00132860">
        <w:tc>
          <w:tcPr>
            <w:tcW w:w="2245" w:type="dxa"/>
            <w:tcBorders>
              <w:bottom w:val="single" w:sz="4" w:space="0" w:color="auto"/>
            </w:tcBorders>
            <w:shd w:val="clear" w:color="auto" w:fill="BFBFBF" w:themeFill="background1" w:themeFillShade="BF"/>
          </w:tcPr>
          <w:p w14:paraId="214311C7" w14:textId="10653BE1" w:rsidR="00574918" w:rsidRPr="00DD5F1E" w:rsidRDefault="00574918" w:rsidP="00E25757">
            <w:pPr>
              <w:pStyle w:val="Paragraph"/>
              <w:spacing w:line="240" w:lineRule="auto"/>
              <w:ind w:firstLine="0"/>
              <w:rPr>
                <w:b/>
                <w:sz w:val="20"/>
                <w:szCs w:val="20"/>
              </w:rPr>
            </w:pPr>
            <w:r w:rsidRPr="00DD5F1E">
              <w:rPr>
                <w:b/>
                <w:sz w:val="20"/>
                <w:szCs w:val="20"/>
              </w:rPr>
              <w:t>Quadriceps CAR (%)</w:t>
            </w:r>
            <w:r w:rsidRPr="00DD5F1E">
              <w:rPr>
                <w:b/>
                <w:sz w:val="20"/>
                <w:szCs w:val="20"/>
              </w:rPr>
              <w:fldChar w:fldCharType="begin" w:fldLock="1"/>
            </w:r>
            <w:r w:rsidR="002465E4">
              <w:rPr>
                <w:b/>
                <w:sz w:val="20"/>
                <w:szCs w:val="20"/>
              </w:rPr>
              <w:instrText>ADDIN CSL_CITATION {"citationItems":[{"id":"ITEM-1","itemData":{"DOI":"10.4085/1062-6050-50.10.03","ISSN":"10626050","PMID":"26636730","abstract":"Context: The superimposed-burst (SIB) technique is com-monly used to quantify central activation failure after knee-joint injury, but its reliability has not been established in pathologic cohorts. Objective: To assess within-session and between-sessions reliability of the SIB technique in patients with patellofemoral pain. Design: Descriptive laboratory study. Setting: University laboratory. Patients or Other Participants: A total of 10 patients with self-reported patellofemoral pain (1 man, 9 women; age ¼ 24.1 – 3.8 years, height ¼ 167.8 – 15.2 cm, mass ¼ 71.6 – 17.5 kg) and 10 healthy control participants (3 men, 7 women; age ¼ 27.4 – 5.0 years, height ¼ 173.5 – 9.9 cm, mass ¼ 78.2 – 16.5 kg) volunteered. Intervention(s): Participants were assessed at 6 intervals spanning 21 days. Intraclass correlation coefficients (ICCs [3,3]) were used to assess reliability. Main Outcome Measure(s): Quadriceps central activation ratio, knee-extension maximal voluntary isometric contraction force, and SIB force. Results: The quadriceps central activation ratio was highly reliable within session (ICC [3,3] ¼ 0.97) and between sessions through day 21 (ICC [3,3] ¼ 0.90–0.95). Acceptable reliability of knee extension (ICC [3,3] ¼ 0.75–0.91) and SIB force (ICC [3,3] ¼ 0.77–0.89) was observed through day 21. Conclusions: The SIB technique was reliable for clinical research up to 21 days in patients with patellofemoral pain.","author":[{"dropping-particle":"","family":"Norte","given":"Grant E.","non-dropping-particle":"","parse-names":false,"suffix":""},{"dropping-particle":"","family":"Frye","given":"Jamie L.","non-dropping-particle":"","parse-names":false,"suffix":""},{"dropping-particle":"","family":"Hart","given":"Joseph M.","non-dropping-particle":"","parse-names":false,"suffix":""}],"container-title":"Journal of Athletic Training","id":"ITEM-1","issue":"11","issued":{"date-parts":[["2015"]]},"page":"1207-1211","title":"Reliability of the superimposed-burst technique in patients with patellofemoral pain: A technical report","type":"article-journal","volume":"50"},"uris":["http://www.mendeley.com/documents/?uuid=78156e20-5de5-44b7-b8e6-43a6f1cd696d"]}],"mendeley":{"formattedCitation":"(12)","plainTextFormattedCitation":"(12)","previouslyFormattedCitation":"(11)"},"properties":{"noteIndex":0},"schema":"https://github.com/citation-style-language/schema/raw/master/csl-citation.json"}</w:instrText>
            </w:r>
            <w:r w:rsidRPr="00DD5F1E">
              <w:rPr>
                <w:b/>
                <w:sz w:val="20"/>
                <w:szCs w:val="20"/>
              </w:rPr>
              <w:fldChar w:fldCharType="separate"/>
            </w:r>
            <w:r w:rsidR="002465E4" w:rsidRPr="002465E4">
              <w:rPr>
                <w:noProof/>
                <w:sz w:val="20"/>
                <w:szCs w:val="20"/>
              </w:rPr>
              <w:t>(12)</w:t>
            </w:r>
            <w:r w:rsidRPr="00DD5F1E">
              <w:rPr>
                <w:b/>
                <w:sz w:val="20"/>
                <w:szCs w:val="20"/>
              </w:rPr>
              <w:fldChar w:fldCharType="end"/>
            </w:r>
          </w:p>
        </w:tc>
        <w:tc>
          <w:tcPr>
            <w:tcW w:w="1440" w:type="dxa"/>
            <w:tcBorders>
              <w:bottom w:val="single" w:sz="4" w:space="0" w:color="auto"/>
            </w:tcBorders>
            <w:shd w:val="clear" w:color="auto" w:fill="BFBFBF" w:themeFill="background1" w:themeFillShade="BF"/>
          </w:tcPr>
          <w:p w14:paraId="250DD457" w14:textId="77777777" w:rsidR="00574918" w:rsidRPr="00DD5F1E" w:rsidRDefault="00574918" w:rsidP="00E25757">
            <w:pPr>
              <w:pStyle w:val="Paragraph"/>
              <w:spacing w:line="240" w:lineRule="auto"/>
              <w:ind w:firstLine="0"/>
              <w:jc w:val="center"/>
              <w:rPr>
                <w:sz w:val="20"/>
                <w:szCs w:val="20"/>
              </w:rPr>
            </w:pPr>
            <w:r w:rsidRPr="00DD5F1E">
              <w:rPr>
                <w:sz w:val="20"/>
                <w:szCs w:val="20"/>
              </w:rPr>
              <w:t>0.97</w:t>
            </w:r>
          </w:p>
        </w:tc>
        <w:tc>
          <w:tcPr>
            <w:tcW w:w="1341" w:type="dxa"/>
            <w:tcBorders>
              <w:bottom w:val="single" w:sz="4" w:space="0" w:color="auto"/>
            </w:tcBorders>
            <w:shd w:val="clear" w:color="auto" w:fill="BFBFBF" w:themeFill="background1" w:themeFillShade="BF"/>
          </w:tcPr>
          <w:p w14:paraId="1E97C74D" w14:textId="77777777" w:rsidR="00574918" w:rsidRPr="00DD5F1E" w:rsidRDefault="00574918" w:rsidP="00E25757">
            <w:pPr>
              <w:pStyle w:val="Paragraph"/>
              <w:spacing w:line="240" w:lineRule="auto"/>
              <w:ind w:firstLine="0"/>
              <w:jc w:val="center"/>
              <w:rPr>
                <w:sz w:val="20"/>
                <w:szCs w:val="20"/>
              </w:rPr>
            </w:pPr>
            <w:r w:rsidRPr="00DD5F1E">
              <w:rPr>
                <w:sz w:val="20"/>
                <w:szCs w:val="20"/>
              </w:rPr>
              <w:t>2.36</w:t>
            </w:r>
          </w:p>
        </w:tc>
        <w:tc>
          <w:tcPr>
            <w:tcW w:w="0" w:type="auto"/>
            <w:tcBorders>
              <w:bottom w:val="single" w:sz="4" w:space="0" w:color="auto"/>
            </w:tcBorders>
            <w:shd w:val="clear" w:color="auto" w:fill="BFBFBF" w:themeFill="background1" w:themeFillShade="BF"/>
          </w:tcPr>
          <w:p w14:paraId="3FC5A991" w14:textId="77777777" w:rsidR="00574918" w:rsidRPr="00DD5F1E" w:rsidRDefault="00574918" w:rsidP="00E25757">
            <w:pPr>
              <w:pStyle w:val="Paragraph"/>
              <w:spacing w:line="240" w:lineRule="auto"/>
              <w:ind w:firstLine="0"/>
              <w:jc w:val="center"/>
              <w:rPr>
                <w:sz w:val="20"/>
                <w:szCs w:val="20"/>
              </w:rPr>
            </w:pPr>
            <w:r w:rsidRPr="00DD5F1E">
              <w:rPr>
                <w:sz w:val="20"/>
                <w:szCs w:val="20"/>
              </w:rPr>
              <w:t>6.55</w:t>
            </w:r>
          </w:p>
        </w:tc>
        <w:tc>
          <w:tcPr>
            <w:tcW w:w="0" w:type="auto"/>
            <w:tcBorders>
              <w:bottom w:val="single" w:sz="4" w:space="0" w:color="auto"/>
            </w:tcBorders>
            <w:shd w:val="clear" w:color="auto" w:fill="BFBFBF" w:themeFill="background1" w:themeFillShade="BF"/>
          </w:tcPr>
          <w:p w14:paraId="1D06FC4A" w14:textId="77777777" w:rsidR="00574918" w:rsidRPr="00DD5F1E" w:rsidRDefault="00574918" w:rsidP="00E25757">
            <w:pPr>
              <w:pStyle w:val="Paragraph"/>
              <w:spacing w:line="240" w:lineRule="auto"/>
              <w:ind w:firstLine="0"/>
              <w:jc w:val="center"/>
              <w:rPr>
                <w:sz w:val="20"/>
                <w:szCs w:val="20"/>
              </w:rPr>
            </w:pPr>
            <w:r w:rsidRPr="00DD5F1E">
              <w:rPr>
                <w:sz w:val="20"/>
                <w:szCs w:val="20"/>
              </w:rPr>
              <w:t>2.07</w:t>
            </w:r>
          </w:p>
        </w:tc>
        <w:tc>
          <w:tcPr>
            <w:tcW w:w="0" w:type="auto"/>
            <w:tcBorders>
              <w:bottom w:val="single" w:sz="4" w:space="0" w:color="auto"/>
            </w:tcBorders>
            <w:shd w:val="clear" w:color="auto" w:fill="BFBFBF" w:themeFill="background1" w:themeFillShade="BF"/>
          </w:tcPr>
          <w:p w14:paraId="300969D7" w14:textId="77777777" w:rsidR="00574918" w:rsidRPr="00DD5F1E" w:rsidRDefault="00574918" w:rsidP="00E25757">
            <w:pPr>
              <w:pStyle w:val="Paragraph"/>
              <w:spacing w:line="240" w:lineRule="auto"/>
              <w:ind w:firstLine="0"/>
              <w:jc w:val="center"/>
              <w:rPr>
                <w:sz w:val="20"/>
                <w:szCs w:val="20"/>
              </w:rPr>
            </w:pPr>
            <w:r w:rsidRPr="00DD5F1E">
              <w:rPr>
                <w:sz w:val="20"/>
                <w:szCs w:val="20"/>
              </w:rPr>
              <w:t>N</w:t>
            </w:r>
            <w:r>
              <w:rPr>
                <w:sz w:val="20"/>
                <w:szCs w:val="20"/>
              </w:rPr>
              <w:t>.</w:t>
            </w:r>
            <w:r w:rsidRPr="00DD5F1E">
              <w:rPr>
                <w:sz w:val="20"/>
                <w:szCs w:val="20"/>
              </w:rPr>
              <w:t>E</w:t>
            </w:r>
            <w:r>
              <w:rPr>
                <w:sz w:val="20"/>
                <w:szCs w:val="20"/>
              </w:rPr>
              <w:t>.</w:t>
            </w:r>
          </w:p>
        </w:tc>
      </w:tr>
    </w:tbl>
    <w:bookmarkEnd w:id="4"/>
    <w:p w14:paraId="2C12D2AF" w14:textId="5AB316D5" w:rsidR="00574918" w:rsidRDefault="00574918" w:rsidP="00574918">
      <w:pPr>
        <w:pStyle w:val="Paragraph"/>
        <w:spacing w:line="480" w:lineRule="auto"/>
        <w:ind w:firstLine="0"/>
      </w:pPr>
      <w:r w:rsidRPr="00A50E57">
        <w:t xml:space="preserve">ICC = Intraclass correlation coefficient, SEM = Standard error of measure, SDC = Smallest detectable change, MCID = Minimally clinically important difference, VISA-P = Victorian Institute of Sport Assessment – Patellar Tendon questionnaire, </w:t>
      </w:r>
      <w:r w:rsidR="00692CE4">
        <w:t xml:space="preserve">NPRS = Numeric Pain Rating Scale, KOOS-QOL = Knee injury and Osteoarthritis Outcome Score – Quality of Life subscale, </w:t>
      </w:r>
      <w:r w:rsidRPr="00A50E57">
        <w:t xml:space="preserve">TSK = Tampa Scale of Kinesiophobia, </w:t>
      </w:r>
      <w:r w:rsidR="002465E4">
        <w:t xml:space="preserve">PCS = Pain Catastrophizing Scale, </w:t>
      </w:r>
      <w:r w:rsidRPr="00A50E57">
        <w:t>CSA = Cross-sectional area, CMJ = Counter-movement jump, MVIC = Maximum voluntary isometric contraction, CAR = Central activation ratio, N.E. = Not established</w:t>
      </w:r>
      <w:r w:rsidR="007E7F04">
        <w:t xml:space="preserve">. Note: Reliability and responsiveness values </w:t>
      </w:r>
      <w:r w:rsidR="007E7F04">
        <w:lastRenderedPageBreak/>
        <w:t>for tendon CSA, shear modulus, and viscosity are from</w:t>
      </w:r>
      <w:r w:rsidRPr="00A50E57">
        <w:t xml:space="preserve"> </w:t>
      </w:r>
      <w:r w:rsidR="00AB2CB6">
        <w:t>unpublished studies, which are currently in submission, conducted by the authors (ALS, KGS, CC, and RTP).</w:t>
      </w:r>
    </w:p>
    <w:p w14:paraId="69294030" w14:textId="77777777" w:rsidR="00574918" w:rsidRDefault="00574918">
      <w:pPr>
        <w:rPr>
          <w:rFonts w:ascii="Times New Roman" w:eastAsia="Times New Roman" w:hAnsi="Times New Roman" w:cs="Times New Roman"/>
          <w:sz w:val="24"/>
          <w:szCs w:val="24"/>
        </w:rPr>
      </w:pPr>
      <w:r>
        <w:br w:type="page"/>
      </w:r>
    </w:p>
    <w:p w14:paraId="6E906F9D" w14:textId="77777777" w:rsidR="00574918" w:rsidRPr="00574918" w:rsidRDefault="00574918" w:rsidP="00574918">
      <w:pPr>
        <w:spacing w:line="480" w:lineRule="auto"/>
        <w:rPr>
          <w:rFonts w:ascii="Times New Roman" w:hAnsi="Times New Roman" w:cs="Times New Roman"/>
        </w:rPr>
      </w:pPr>
      <w:bookmarkStart w:id="5" w:name="_Toc38475248"/>
      <w:r w:rsidRPr="00574918">
        <w:rPr>
          <w:rFonts w:ascii="Times New Roman" w:hAnsi="Times New Roman" w:cs="Times New Roman"/>
          <w:b/>
        </w:rPr>
        <w:lastRenderedPageBreak/>
        <w:t>Table S.2</w:t>
      </w:r>
      <w:r w:rsidRPr="00574918">
        <w:rPr>
          <w:rFonts w:ascii="Times New Roman" w:hAnsi="Times New Roman" w:cs="Times New Roman"/>
        </w:rPr>
        <w:t>. Effects of group and time of generalized linear mixed model for outcome measures in Aim 4 prior to outlier removal.</w:t>
      </w:r>
      <w:bookmarkEnd w:id="5"/>
    </w:p>
    <w:tbl>
      <w:tblPr>
        <w:tblW w:w="8100" w:type="dxa"/>
        <w:tblLayout w:type="fixed"/>
        <w:tblCellMar>
          <w:top w:w="58" w:type="dxa"/>
          <w:left w:w="115" w:type="dxa"/>
          <w:bottom w:w="58" w:type="dxa"/>
          <w:right w:w="115" w:type="dxa"/>
        </w:tblCellMar>
        <w:tblLook w:val="04A0" w:firstRow="1" w:lastRow="0" w:firstColumn="1" w:lastColumn="0" w:noHBand="0" w:noVBand="1"/>
      </w:tblPr>
      <w:tblGrid>
        <w:gridCol w:w="2070"/>
        <w:gridCol w:w="1710"/>
        <w:gridCol w:w="1080"/>
        <w:gridCol w:w="1080"/>
        <w:gridCol w:w="1080"/>
        <w:gridCol w:w="1080"/>
      </w:tblGrid>
      <w:tr w:rsidR="00574918" w:rsidRPr="00574918" w14:paraId="0E84DB91" w14:textId="77777777" w:rsidTr="00E25757">
        <w:trPr>
          <w:trHeight w:val="33"/>
        </w:trPr>
        <w:tc>
          <w:tcPr>
            <w:tcW w:w="2070" w:type="dxa"/>
            <w:vMerge w:val="restart"/>
            <w:tcBorders>
              <w:top w:val="single" w:sz="4" w:space="0" w:color="auto"/>
            </w:tcBorders>
            <w:shd w:val="clear" w:color="auto" w:fill="auto"/>
            <w:noWrap/>
            <w:vAlign w:val="center"/>
            <w:hideMark/>
          </w:tcPr>
          <w:p w14:paraId="3616D5BE" w14:textId="77777777" w:rsidR="00574918" w:rsidRPr="00574918" w:rsidRDefault="00574918" w:rsidP="00574918">
            <w:pPr>
              <w:keepNext/>
              <w:keepLines/>
              <w:spacing w:after="0" w:line="240" w:lineRule="auto"/>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Category</w:t>
            </w:r>
          </w:p>
        </w:tc>
        <w:tc>
          <w:tcPr>
            <w:tcW w:w="1710" w:type="dxa"/>
            <w:vMerge w:val="restart"/>
            <w:tcBorders>
              <w:top w:val="single" w:sz="4" w:space="0" w:color="auto"/>
            </w:tcBorders>
            <w:shd w:val="clear" w:color="auto" w:fill="auto"/>
            <w:noWrap/>
            <w:vAlign w:val="center"/>
            <w:hideMark/>
          </w:tcPr>
          <w:p w14:paraId="2512AFAB" w14:textId="77777777" w:rsidR="00574918" w:rsidRPr="00574918" w:rsidRDefault="00574918" w:rsidP="00574918">
            <w:pPr>
              <w:keepNext/>
              <w:keepLines/>
              <w:spacing w:after="0" w:line="240" w:lineRule="auto"/>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Outcome</w:t>
            </w:r>
          </w:p>
        </w:tc>
        <w:tc>
          <w:tcPr>
            <w:tcW w:w="2160" w:type="dxa"/>
            <w:gridSpan w:val="2"/>
            <w:tcBorders>
              <w:top w:val="single" w:sz="4" w:space="0" w:color="auto"/>
              <w:bottom w:val="single" w:sz="4" w:space="0" w:color="auto"/>
            </w:tcBorders>
            <w:shd w:val="clear" w:color="auto" w:fill="auto"/>
            <w:noWrap/>
            <w:vAlign w:val="bottom"/>
            <w:hideMark/>
          </w:tcPr>
          <w:p w14:paraId="58E9FE33" w14:textId="77777777" w:rsidR="00574918" w:rsidRPr="00574918" w:rsidRDefault="00574918" w:rsidP="00574918">
            <w:pPr>
              <w:keepNext/>
              <w:keepLines/>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Time</w:t>
            </w:r>
          </w:p>
        </w:tc>
        <w:tc>
          <w:tcPr>
            <w:tcW w:w="2160" w:type="dxa"/>
            <w:gridSpan w:val="2"/>
            <w:tcBorders>
              <w:top w:val="single" w:sz="4" w:space="0" w:color="auto"/>
              <w:bottom w:val="single" w:sz="4" w:space="0" w:color="auto"/>
            </w:tcBorders>
            <w:shd w:val="clear" w:color="auto" w:fill="auto"/>
            <w:noWrap/>
            <w:vAlign w:val="bottom"/>
            <w:hideMark/>
          </w:tcPr>
          <w:p w14:paraId="23C9C485" w14:textId="77777777" w:rsidR="00574918" w:rsidRPr="00574918" w:rsidRDefault="00574918" w:rsidP="00574918">
            <w:pPr>
              <w:keepNext/>
              <w:keepLines/>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Group</w:t>
            </w:r>
          </w:p>
        </w:tc>
      </w:tr>
      <w:tr w:rsidR="00574918" w:rsidRPr="00574918" w14:paraId="0852AF6B" w14:textId="77777777" w:rsidTr="00E25757">
        <w:trPr>
          <w:trHeight w:val="20"/>
        </w:trPr>
        <w:tc>
          <w:tcPr>
            <w:tcW w:w="2070" w:type="dxa"/>
            <w:vMerge/>
            <w:shd w:val="clear" w:color="auto" w:fill="auto"/>
            <w:noWrap/>
            <w:vAlign w:val="bottom"/>
            <w:hideMark/>
          </w:tcPr>
          <w:p w14:paraId="19E7F476" w14:textId="77777777" w:rsidR="00574918" w:rsidRPr="00574918" w:rsidRDefault="00574918" w:rsidP="00574918">
            <w:pPr>
              <w:keepNext/>
              <w:keepLines/>
              <w:spacing w:after="0" w:line="240" w:lineRule="auto"/>
              <w:jc w:val="center"/>
              <w:rPr>
                <w:rFonts w:ascii="Times New Roman" w:eastAsia="Times New Roman" w:hAnsi="Times New Roman" w:cs="Times New Roman"/>
                <w:sz w:val="20"/>
                <w:szCs w:val="20"/>
              </w:rPr>
            </w:pPr>
          </w:p>
        </w:tc>
        <w:tc>
          <w:tcPr>
            <w:tcW w:w="1710" w:type="dxa"/>
            <w:vMerge/>
            <w:shd w:val="clear" w:color="auto" w:fill="auto"/>
            <w:noWrap/>
            <w:vAlign w:val="bottom"/>
            <w:hideMark/>
          </w:tcPr>
          <w:p w14:paraId="729A21D7" w14:textId="77777777" w:rsidR="00574918" w:rsidRPr="00574918" w:rsidRDefault="00574918" w:rsidP="00574918">
            <w:pPr>
              <w:keepNext/>
              <w:keepLines/>
              <w:spacing w:after="0" w:line="240" w:lineRule="auto"/>
              <w:jc w:val="center"/>
              <w:rPr>
                <w:rFonts w:ascii="Times New Roman" w:eastAsia="Times New Roman" w:hAnsi="Times New Roman" w:cs="Times New Roman"/>
                <w:sz w:val="20"/>
                <w:szCs w:val="20"/>
              </w:rPr>
            </w:pPr>
          </w:p>
        </w:tc>
        <w:tc>
          <w:tcPr>
            <w:tcW w:w="1080" w:type="dxa"/>
            <w:tcBorders>
              <w:top w:val="single" w:sz="4" w:space="0" w:color="auto"/>
            </w:tcBorders>
            <w:shd w:val="clear" w:color="auto" w:fill="auto"/>
            <w:noWrap/>
            <w:vAlign w:val="bottom"/>
            <w:hideMark/>
          </w:tcPr>
          <w:p w14:paraId="1E11202E" w14:textId="77777777" w:rsidR="00574918" w:rsidRPr="00574918" w:rsidRDefault="00574918" w:rsidP="00574918">
            <w:pPr>
              <w:keepNext/>
              <w:keepLines/>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F</w:t>
            </w:r>
          </w:p>
        </w:tc>
        <w:tc>
          <w:tcPr>
            <w:tcW w:w="1080" w:type="dxa"/>
            <w:tcBorders>
              <w:top w:val="single" w:sz="4" w:space="0" w:color="auto"/>
            </w:tcBorders>
            <w:shd w:val="clear" w:color="auto" w:fill="auto"/>
            <w:noWrap/>
            <w:vAlign w:val="bottom"/>
            <w:hideMark/>
          </w:tcPr>
          <w:p w14:paraId="120C4DEB" w14:textId="77777777" w:rsidR="00574918" w:rsidRPr="00574918" w:rsidRDefault="00574918" w:rsidP="00574918">
            <w:pPr>
              <w:keepNext/>
              <w:keepLines/>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p</w:t>
            </w:r>
          </w:p>
        </w:tc>
        <w:tc>
          <w:tcPr>
            <w:tcW w:w="1080" w:type="dxa"/>
            <w:tcBorders>
              <w:top w:val="single" w:sz="4" w:space="0" w:color="auto"/>
            </w:tcBorders>
            <w:shd w:val="clear" w:color="auto" w:fill="auto"/>
            <w:noWrap/>
            <w:vAlign w:val="bottom"/>
            <w:hideMark/>
          </w:tcPr>
          <w:p w14:paraId="7D15F59A" w14:textId="77777777" w:rsidR="00574918" w:rsidRPr="00574918" w:rsidRDefault="00574918" w:rsidP="00574918">
            <w:pPr>
              <w:keepNext/>
              <w:keepLines/>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F</w:t>
            </w:r>
          </w:p>
        </w:tc>
        <w:tc>
          <w:tcPr>
            <w:tcW w:w="1080" w:type="dxa"/>
            <w:tcBorders>
              <w:top w:val="single" w:sz="4" w:space="0" w:color="auto"/>
            </w:tcBorders>
            <w:shd w:val="clear" w:color="auto" w:fill="auto"/>
            <w:noWrap/>
            <w:vAlign w:val="bottom"/>
            <w:hideMark/>
          </w:tcPr>
          <w:p w14:paraId="4E7C0EDA" w14:textId="77777777" w:rsidR="00574918" w:rsidRPr="00574918" w:rsidRDefault="00574918" w:rsidP="00574918">
            <w:pPr>
              <w:keepNext/>
              <w:keepLines/>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p</w:t>
            </w:r>
          </w:p>
        </w:tc>
      </w:tr>
      <w:tr w:rsidR="002465E4" w:rsidRPr="00574918" w14:paraId="3CBC26F8" w14:textId="77777777" w:rsidTr="00E25757">
        <w:trPr>
          <w:trHeight w:val="52"/>
        </w:trPr>
        <w:tc>
          <w:tcPr>
            <w:tcW w:w="2070" w:type="dxa"/>
            <w:vMerge w:val="restart"/>
            <w:shd w:val="clear" w:color="auto" w:fill="auto"/>
            <w:noWrap/>
            <w:vAlign w:val="center"/>
            <w:hideMark/>
          </w:tcPr>
          <w:p w14:paraId="672056C3" w14:textId="77777777" w:rsidR="002465E4" w:rsidRPr="00574918" w:rsidRDefault="002465E4" w:rsidP="00574918">
            <w:pPr>
              <w:keepNext/>
              <w:keepLines/>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Symptoms</w:t>
            </w:r>
          </w:p>
        </w:tc>
        <w:tc>
          <w:tcPr>
            <w:tcW w:w="1710" w:type="dxa"/>
            <w:shd w:val="clear" w:color="auto" w:fill="auto"/>
            <w:noWrap/>
            <w:vAlign w:val="center"/>
            <w:hideMark/>
          </w:tcPr>
          <w:p w14:paraId="5EAD6E33" w14:textId="77777777" w:rsidR="002465E4" w:rsidRPr="00574918" w:rsidRDefault="002465E4" w:rsidP="00574918">
            <w:pPr>
              <w:keepNext/>
              <w:keepLines/>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VISA-P</w:t>
            </w:r>
          </w:p>
        </w:tc>
        <w:tc>
          <w:tcPr>
            <w:tcW w:w="1080" w:type="dxa"/>
            <w:shd w:val="clear" w:color="auto" w:fill="auto"/>
            <w:noWrap/>
            <w:vAlign w:val="bottom"/>
            <w:hideMark/>
          </w:tcPr>
          <w:p w14:paraId="3E6981EE" w14:textId="77777777" w:rsidR="002465E4" w:rsidRPr="00574918" w:rsidRDefault="002465E4"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6.587</w:t>
            </w:r>
          </w:p>
        </w:tc>
        <w:tc>
          <w:tcPr>
            <w:tcW w:w="1080" w:type="dxa"/>
            <w:shd w:val="clear" w:color="auto" w:fill="auto"/>
            <w:noWrap/>
            <w:vAlign w:val="bottom"/>
            <w:hideMark/>
          </w:tcPr>
          <w:p w14:paraId="70AA5469" w14:textId="77777777" w:rsidR="002465E4" w:rsidRPr="00574918" w:rsidRDefault="002465E4" w:rsidP="00574918">
            <w:pPr>
              <w:keepNext/>
              <w:keepLines/>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0.005</w:t>
            </w:r>
          </w:p>
        </w:tc>
        <w:tc>
          <w:tcPr>
            <w:tcW w:w="1080" w:type="dxa"/>
            <w:shd w:val="clear" w:color="auto" w:fill="auto"/>
            <w:noWrap/>
            <w:vAlign w:val="bottom"/>
            <w:hideMark/>
          </w:tcPr>
          <w:p w14:paraId="51752EE3" w14:textId="77777777" w:rsidR="002465E4" w:rsidRPr="00574918" w:rsidRDefault="002465E4"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6.064</w:t>
            </w:r>
          </w:p>
        </w:tc>
        <w:tc>
          <w:tcPr>
            <w:tcW w:w="1080" w:type="dxa"/>
            <w:shd w:val="clear" w:color="auto" w:fill="auto"/>
            <w:noWrap/>
            <w:vAlign w:val="bottom"/>
            <w:hideMark/>
          </w:tcPr>
          <w:p w14:paraId="1794A64A" w14:textId="77777777" w:rsidR="002465E4" w:rsidRPr="00574918" w:rsidRDefault="002465E4" w:rsidP="00574918">
            <w:pPr>
              <w:keepNext/>
              <w:keepLines/>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0.029</w:t>
            </w:r>
          </w:p>
        </w:tc>
      </w:tr>
      <w:tr w:rsidR="002465E4" w:rsidRPr="00574918" w14:paraId="49F43707" w14:textId="77777777" w:rsidTr="00E25757">
        <w:trPr>
          <w:trHeight w:val="52"/>
        </w:trPr>
        <w:tc>
          <w:tcPr>
            <w:tcW w:w="2070" w:type="dxa"/>
            <w:vMerge/>
            <w:shd w:val="clear" w:color="auto" w:fill="auto"/>
            <w:noWrap/>
            <w:vAlign w:val="center"/>
          </w:tcPr>
          <w:p w14:paraId="7E41352F" w14:textId="77777777" w:rsidR="002465E4" w:rsidRPr="00574918" w:rsidRDefault="002465E4" w:rsidP="00574918">
            <w:pPr>
              <w:keepNext/>
              <w:keepLines/>
              <w:spacing w:after="0" w:line="240" w:lineRule="auto"/>
              <w:rPr>
                <w:rFonts w:ascii="Times New Roman" w:eastAsia="Times New Roman" w:hAnsi="Times New Roman" w:cs="Times New Roman"/>
                <w:b/>
                <w:color w:val="000000"/>
                <w:sz w:val="20"/>
                <w:szCs w:val="20"/>
              </w:rPr>
            </w:pPr>
          </w:p>
        </w:tc>
        <w:tc>
          <w:tcPr>
            <w:tcW w:w="1710" w:type="dxa"/>
            <w:shd w:val="clear" w:color="auto" w:fill="auto"/>
            <w:noWrap/>
            <w:vAlign w:val="center"/>
          </w:tcPr>
          <w:p w14:paraId="26A246BC" w14:textId="3C20AACF" w:rsidR="002465E4" w:rsidRPr="00574918" w:rsidRDefault="002465E4" w:rsidP="00574918">
            <w:pPr>
              <w:keepNext/>
              <w:keepLines/>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Palpatory Pain</w:t>
            </w:r>
          </w:p>
        </w:tc>
        <w:tc>
          <w:tcPr>
            <w:tcW w:w="1080" w:type="dxa"/>
            <w:shd w:val="clear" w:color="auto" w:fill="auto"/>
            <w:noWrap/>
            <w:vAlign w:val="bottom"/>
          </w:tcPr>
          <w:p w14:paraId="3A805B1C" w14:textId="02906137" w:rsidR="002465E4" w:rsidRPr="00574918" w:rsidRDefault="00E25757" w:rsidP="00574918">
            <w:pPr>
              <w:keepNext/>
              <w:keepLines/>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6.508</w:t>
            </w:r>
          </w:p>
        </w:tc>
        <w:tc>
          <w:tcPr>
            <w:tcW w:w="1080" w:type="dxa"/>
            <w:shd w:val="clear" w:color="auto" w:fill="auto"/>
            <w:noWrap/>
            <w:vAlign w:val="bottom"/>
          </w:tcPr>
          <w:p w14:paraId="69341F94" w14:textId="52BA968B" w:rsidR="002465E4" w:rsidRPr="00E25757" w:rsidRDefault="00E25757" w:rsidP="00574918">
            <w:pPr>
              <w:keepNext/>
              <w:keepLines/>
              <w:spacing w:after="0" w:line="240"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0.007</w:t>
            </w:r>
          </w:p>
        </w:tc>
        <w:tc>
          <w:tcPr>
            <w:tcW w:w="1080" w:type="dxa"/>
            <w:shd w:val="clear" w:color="auto" w:fill="auto"/>
            <w:noWrap/>
            <w:vAlign w:val="bottom"/>
          </w:tcPr>
          <w:p w14:paraId="0FAC6BE0" w14:textId="3EB617EF" w:rsidR="002465E4" w:rsidRPr="00574918" w:rsidRDefault="00E25757" w:rsidP="00574918">
            <w:pPr>
              <w:keepNext/>
              <w:keepLines/>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0.90</w:t>
            </w:r>
          </w:p>
        </w:tc>
        <w:tc>
          <w:tcPr>
            <w:tcW w:w="1080" w:type="dxa"/>
            <w:shd w:val="clear" w:color="auto" w:fill="auto"/>
            <w:noWrap/>
            <w:vAlign w:val="bottom"/>
          </w:tcPr>
          <w:p w14:paraId="64B3348F" w14:textId="77849609" w:rsidR="002465E4" w:rsidRPr="00132860" w:rsidRDefault="00E25757" w:rsidP="00574918">
            <w:pPr>
              <w:keepNext/>
              <w:keepLines/>
              <w:spacing w:after="0" w:line="240" w:lineRule="auto"/>
              <w:jc w:val="center"/>
              <w:rPr>
                <w:rFonts w:ascii="Times New Roman" w:eastAsia="Times New Roman" w:hAnsi="Times New Roman" w:cs="Times New Roman"/>
                <w:color w:val="000000"/>
                <w:sz w:val="20"/>
                <w:szCs w:val="20"/>
              </w:rPr>
            </w:pPr>
            <w:r w:rsidRPr="00132860">
              <w:rPr>
                <w:rFonts w:ascii="Times New Roman" w:eastAsia="Times New Roman" w:hAnsi="Times New Roman" w:cs="Times New Roman"/>
                <w:color w:val="000000"/>
                <w:sz w:val="20"/>
                <w:szCs w:val="20"/>
              </w:rPr>
              <w:t>0.769</w:t>
            </w:r>
          </w:p>
        </w:tc>
      </w:tr>
      <w:tr w:rsidR="00E25757" w:rsidRPr="00574918" w14:paraId="2F8CFDEC" w14:textId="77777777" w:rsidTr="00132860">
        <w:trPr>
          <w:trHeight w:val="22"/>
        </w:trPr>
        <w:tc>
          <w:tcPr>
            <w:tcW w:w="2070" w:type="dxa"/>
            <w:shd w:val="clear" w:color="auto" w:fill="BFBFBF" w:themeFill="background1" w:themeFillShade="BF"/>
            <w:noWrap/>
            <w:vAlign w:val="center"/>
          </w:tcPr>
          <w:p w14:paraId="579EAA5E" w14:textId="2939FA37" w:rsidR="00E25757" w:rsidRPr="00574918" w:rsidRDefault="00E25757" w:rsidP="00574918">
            <w:pPr>
              <w:keepNext/>
              <w:keepLines/>
              <w:spacing w:after="0" w:line="240" w:lineRule="auto"/>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Quality of Life</w:t>
            </w:r>
          </w:p>
        </w:tc>
        <w:tc>
          <w:tcPr>
            <w:tcW w:w="1710" w:type="dxa"/>
            <w:shd w:val="clear" w:color="auto" w:fill="BFBFBF" w:themeFill="background1" w:themeFillShade="BF"/>
            <w:noWrap/>
            <w:vAlign w:val="center"/>
          </w:tcPr>
          <w:p w14:paraId="7CFABB33" w14:textId="4F5B6A12" w:rsidR="00E25757" w:rsidRPr="00574918" w:rsidRDefault="00E25757" w:rsidP="00574918">
            <w:pPr>
              <w:keepNext/>
              <w:keepLines/>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KOOS – QOL</w:t>
            </w:r>
          </w:p>
        </w:tc>
        <w:tc>
          <w:tcPr>
            <w:tcW w:w="1080" w:type="dxa"/>
            <w:shd w:val="clear" w:color="auto" w:fill="BFBFBF" w:themeFill="background1" w:themeFillShade="BF"/>
            <w:noWrap/>
            <w:vAlign w:val="bottom"/>
          </w:tcPr>
          <w:p w14:paraId="39EC98AD" w14:textId="76E7139E" w:rsidR="00E25757" w:rsidRPr="00574918" w:rsidRDefault="00E25757" w:rsidP="00574918">
            <w:pPr>
              <w:keepNext/>
              <w:keepLines/>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21.976</w:t>
            </w:r>
          </w:p>
        </w:tc>
        <w:tc>
          <w:tcPr>
            <w:tcW w:w="1080" w:type="dxa"/>
            <w:shd w:val="clear" w:color="auto" w:fill="BFBFBF" w:themeFill="background1" w:themeFillShade="BF"/>
            <w:noWrap/>
            <w:vAlign w:val="bottom"/>
          </w:tcPr>
          <w:p w14:paraId="44A9F625" w14:textId="6573E2D6" w:rsidR="00E25757" w:rsidRPr="00574918" w:rsidRDefault="00E25757" w:rsidP="00574918">
            <w:pPr>
              <w:keepNext/>
              <w:keepLines/>
              <w:spacing w:after="0" w:line="240"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&lt;0.001</w:t>
            </w:r>
          </w:p>
        </w:tc>
        <w:tc>
          <w:tcPr>
            <w:tcW w:w="1080" w:type="dxa"/>
            <w:shd w:val="clear" w:color="auto" w:fill="BFBFBF" w:themeFill="background1" w:themeFillShade="BF"/>
            <w:noWrap/>
            <w:vAlign w:val="bottom"/>
          </w:tcPr>
          <w:p w14:paraId="4754C65A" w14:textId="599FCD11" w:rsidR="00E25757" w:rsidRPr="00574918" w:rsidRDefault="00E25757" w:rsidP="00574918">
            <w:pPr>
              <w:keepNext/>
              <w:keepLines/>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5.136</w:t>
            </w:r>
          </w:p>
        </w:tc>
        <w:tc>
          <w:tcPr>
            <w:tcW w:w="1080" w:type="dxa"/>
            <w:shd w:val="clear" w:color="auto" w:fill="BFBFBF" w:themeFill="background1" w:themeFillShade="BF"/>
            <w:noWrap/>
            <w:vAlign w:val="bottom"/>
          </w:tcPr>
          <w:p w14:paraId="1A4A4D87" w14:textId="7F6CFE71" w:rsidR="00E25757" w:rsidRPr="00132860" w:rsidRDefault="00E25757" w:rsidP="00574918">
            <w:pPr>
              <w:keepNext/>
              <w:keepLines/>
              <w:spacing w:after="0" w:line="240" w:lineRule="auto"/>
              <w:jc w:val="center"/>
              <w:rPr>
                <w:rFonts w:ascii="Times New Roman" w:eastAsia="Times New Roman" w:hAnsi="Times New Roman" w:cs="Times New Roman"/>
                <w:b/>
                <w:color w:val="000000"/>
                <w:sz w:val="20"/>
                <w:szCs w:val="20"/>
              </w:rPr>
            </w:pPr>
            <w:r w:rsidRPr="00132860">
              <w:rPr>
                <w:rFonts w:ascii="Times New Roman" w:eastAsia="Times New Roman" w:hAnsi="Times New Roman" w:cs="Times New Roman"/>
                <w:b/>
                <w:color w:val="000000"/>
                <w:sz w:val="20"/>
                <w:szCs w:val="20"/>
              </w:rPr>
              <w:t>0.041</w:t>
            </w:r>
          </w:p>
        </w:tc>
      </w:tr>
      <w:tr w:rsidR="00574918" w:rsidRPr="00574918" w14:paraId="77D348F4" w14:textId="77777777" w:rsidTr="00132860">
        <w:trPr>
          <w:trHeight w:val="22"/>
        </w:trPr>
        <w:tc>
          <w:tcPr>
            <w:tcW w:w="2070" w:type="dxa"/>
            <w:vMerge w:val="restart"/>
            <w:shd w:val="clear" w:color="auto" w:fill="FFFFFF" w:themeFill="background1"/>
            <w:noWrap/>
            <w:vAlign w:val="center"/>
            <w:hideMark/>
          </w:tcPr>
          <w:p w14:paraId="192FD9E1" w14:textId="77777777" w:rsidR="00574918" w:rsidRPr="00574918" w:rsidRDefault="00574918" w:rsidP="00574918">
            <w:pPr>
              <w:keepNext/>
              <w:keepLines/>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Psychological Factors</w:t>
            </w:r>
          </w:p>
        </w:tc>
        <w:tc>
          <w:tcPr>
            <w:tcW w:w="1710" w:type="dxa"/>
            <w:shd w:val="clear" w:color="auto" w:fill="FFFFFF" w:themeFill="background1"/>
            <w:noWrap/>
            <w:vAlign w:val="center"/>
            <w:hideMark/>
          </w:tcPr>
          <w:p w14:paraId="5BC641C9" w14:textId="77777777" w:rsidR="00574918" w:rsidRPr="00574918" w:rsidRDefault="00574918" w:rsidP="00574918">
            <w:pPr>
              <w:keepNext/>
              <w:keepLines/>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TSK</w:t>
            </w:r>
          </w:p>
        </w:tc>
        <w:tc>
          <w:tcPr>
            <w:tcW w:w="1080" w:type="dxa"/>
            <w:shd w:val="clear" w:color="auto" w:fill="FFFFFF" w:themeFill="background1"/>
            <w:noWrap/>
            <w:vAlign w:val="bottom"/>
            <w:hideMark/>
          </w:tcPr>
          <w:p w14:paraId="5FD6ACEF"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3.528</w:t>
            </w:r>
          </w:p>
        </w:tc>
        <w:tc>
          <w:tcPr>
            <w:tcW w:w="1080" w:type="dxa"/>
            <w:shd w:val="clear" w:color="auto" w:fill="FFFFFF" w:themeFill="background1"/>
            <w:noWrap/>
            <w:vAlign w:val="bottom"/>
            <w:hideMark/>
          </w:tcPr>
          <w:p w14:paraId="49B542C3" w14:textId="77777777" w:rsidR="00574918" w:rsidRPr="00574918" w:rsidRDefault="00574918" w:rsidP="00574918">
            <w:pPr>
              <w:keepNext/>
              <w:keepLines/>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0.045</w:t>
            </w:r>
          </w:p>
        </w:tc>
        <w:tc>
          <w:tcPr>
            <w:tcW w:w="1080" w:type="dxa"/>
            <w:shd w:val="clear" w:color="auto" w:fill="FFFFFF" w:themeFill="background1"/>
            <w:noWrap/>
            <w:vAlign w:val="bottom"/>
            <w:hideMark/>
          </w:tcPr>
          <w:p w14:paraId="49CF08EF"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1.428</w:t>
            </w:r>
          </w:p>
        </w:tc>
        <w:tc>
          <w:tcPr>
            <w:tcW w:w="1080" w:type="dxa"/>
            <w:shd w:val="clear" w:color="auto" w:fill="FFFFFF" w:themeFill="background1"/>
            <w:noWrap/>
            <w:vAlign w:val="bottom"/>
            <w:hideMark/>
          </w:tcPr>
          <w:p w14:paraId="2696875A"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0.253</w:t>
            </w:r>
          </w:p>
        </w:tc>
      </w:tr>
      <w:tr w:rsidR="00574918" w:rsidRPr="00574918" w14:paraId="0A38430D" w14:textId="77777777" w:rsidTr="00132860">
        <w:trPr>
          <w:trHeight w:val="22"/>
        </w:trPr>
        <w:tc>
          <w:tcPr>
            <w:tcW w:w="2070" w:type="dxa"/>
            <w:vMerge/>
            <w:shd w:val="clear" w:color="auto" w:fill="FFFFFF" w:themeFill="background1"/>
            <w:noWrap/>
            <w:vAlign w:val="center"/>
            <w:hideMark/>
          </w:tcPr>
          <w:p w14:paraId="7FA2C0DB" w14:textId="77777777" w:rsidR="00574918" w:rsidRPr="00574918" w:rsidRDefault="00574918" w:rsidP="00574918">
            <w:pPr>
              <w:keepNext/>
              <w:keepLines/>
              <w:spacing w:after="0" w:line="240" w:lineRule="auto"/>
              <w:rPr>
                <w:rFonts w:ascii="Times New Roman" w:eastAsia="Times New Roman" w:hAnsi="Times New Roman" w:cs="Times New Roman"/>
                <w:b/>
                <w:color w:val="000000"/>
                <w:sz w:val="20"/>
                <w:szCs w:val="20"/>
              </w:rPr>
            </w:pPr>
          </w:p>
        </w:tc>
        <w:tc>
          <w:tcPr>
            <w:tcW w:w="1710" w:type="dxa"/>
            <w:shd w:val="clear" w:color="auto" w:fill="FFFFFF" w:themeFill="background1"/>
            <w:noWrap/>
            <w:vAlign w:val="center"/>
            <w:hideMark/>
          </w:tcPr>
          <w:p w14:paraId="21CD9A74" w14:textId="77777777" w:rsidR="00574918" w:rsidRPr="00574918" w:rsidRDefault="00574918" w:rsidP="00574918">
            <w:pPr>
              <w:keepNext/>
              <w:keepLines/>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DASS-21</w:t>
            </w:r>
          </w:p>
        </w:tc>
        <w:tc>
          <w:tcPr>
            <w:tcW w:w="1080" w:type="dxa"/>
            <w:shd w:val="clear" w:color="auto" w:fill="FFFFFF" w:themeFill="background1"/>
            <w:noWrap/>
            <w:vAlign w:val="bottom"/>
            <w:hideMark/>
          </w:tcPr>
          <w:p w14:paraId="67AB2895"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2.806</w:t>
            </w:r>
          </w:p>
        </w:tc>
        <w:tc>
          <w:tcPr>
            <w:tcW w:w="1080" w:type="dxa"/>
            <w:shd w:val="clear" w:color="auto" w:fill="FFFFFF" w:themeFill="background1"/>
            <w:noWrap/>
            <w:vAlign w:val="bottom"/>
            <w:hideMark/>
          </w:tcPr>
          <w:p w14:paraId="2C40D12B"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0.079</w:t>
            </w:r>
          </w:p>
        </w:tc>
        <w:tc>
          <w:tcPr>
            <w:tcW w:w="1080" w:type="dxa"/>
            <w:shd w:val="clear" w:color="auto" w:fill="FFFFFF" w:themeFill="background1"/>
            <w:noWrap/>
            <w:vAlign w:val="bottom"/>
            <w:hideMark/>
          </w:tcPr>
          <w:p w14:paraId="4DA52DD2"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0.581</w:t>
            </w:r>
          </w:p>
        </w:tc>
        <w:tc>
          <w:tcPr>
            <w:tcW w:w="1080" w:type="dxa"/>
            <w:shd w:val="clear" w:color="auto" w:fill="FFFFFF" w:themeFill="background1"/>
            <w:noWrap/>
            <w:vAlign w:val="bottom"/>
            <w:hideMark/>
          </w:tcPr>
          <w:p w14:paraId="54DBAAE7"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0.459</w:t>
            </w:r>
          </w:p>
        </w:tc>
      </w:tr>
      <w:tr w:rsidR="00574918" w:rsidRPr="00574918" w14:paraId="58F78AC9" w14:textId="77777777" w:rsidTr="00132860">
        <w:trPr>
          <w:trHeight w:val="22"/>
        </w:trPr>
        <w:tc>
          <w:tcPr>
            <w:tcW w:w="2070" w:type="dxa"/>
            <w:vMerge w:val="restart"/>
            <w:shd w:val="clear" w:color="auto" w:fill="BFBFBF" w:themeFill="background1" w:themeFillShade="BF"/>
            <w:noWrap/>
            <w:vAlign w:val="center"/>
            <w:hideMark/>
          </w:tcPr>
          <w:p w14:paraId="2B71091D" w14:textId="77777777" w:rsidR="00574918" w:rsidRPr="00574918" w:rsidRDefault="00574918" w:rsidP="00574918">
            <w:pPr>
              <w:keepNext/>
              <w:keepLines/>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Morphology</w:t>
            </w:r>
          </w:p>
        </w:tc>
        <w:tc>
          <w:tcPr>
            <w:tcW w:w="1710" w:type="dxa"/>
            <w:shd w:val="clear" w:color="auto" w:fill="BFBFBF" w:themeFill="background1" w:themeFillShade="BF"/>
            <w:noWrap/>
            <w:vAlign w:val="center"/>
            <w:hideMark/>
          </w:tcPr>
          <w:p w14:paraId="2A776AA3" w14:textId="77777777" w:rsidR="00574918" w:rsidRPr="00574918" w:rsidRDefault="00574918" w:rsidP="00574918">
            <w:pPr>
              <w:keepNext/>
              <w:keepLines/>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Thickness</w:t>
            </w:r>
          </w:p>
        </w:tc>
        <w:tc>
          <w:tcPr>
            <w:tcW w:w="1080" w:type="dxa"/>
            <w:shd w:val="clear" w:color="auto" w:fill="BFBFBF" w:themeFill="background1" w:themeFillShade="BF"/>
            <w:noWrap/>
            <w:vAlign w:val="bottom"/>
            <w:hideMark/>
          </w:tcPr>
          <w:p w14:paraId="4242C588"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0.618</w:t>
            </w:r>
          </w:p>
        </w:tc>
        <w:tc>
          <w:tcPr>
            <w:tcW w:w="1080" w:type="dxa"/>
            <w:shd w:val="clear" w:color="auto" w:fill="BFBFBF" w:themeFill="background1" w:themeFillShade="BF"/>
            <w:noWrap/>
            <w:vAlign w:val="bottom"/>
            <w:hideMark/>
          </w:tcPr>
          <w:p w14:paraId="16A0D5D7"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0.549</w:t>
            </w:r>
          </w:p>
        </w:tc>
        <w:tc>
          <w:tcPr>
            <w:tcW w:w="1080" w:type="dxa"/>
            <w:shd w:val="clear" w:color="auto" w:fill="BFBFBF" w:themeFill="background1" w:themeFillShade="BF"/>
            <w:noWrap/>
            <w:vAlign w:val="bottom"/>
            <w:hideMark/>
          </w:tcPr>
          <w:p w14:paraId="33384E02"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0.074</w:t>
            </w:r>
          </w:p>
        </w:tc>
        <w:tc>
          <w:tcPr>
            <w:tcW w:w="1080" w:type="dxa"/>
            <w:shd w:val="clear" w:color="auto" w:fill="BFBFBF" w:themeFill="background1" w:themeFillShade="BF"/>
            <w:noWrap/>
            <w:vAlign w:val="bottom"/>
            <w:hideMark/>
          </w:tcPr>
          <w:p w14:paraId="12155F59"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0.790</w:t>
            </w:r>
          </w:p>
        </w:tc>
      </w:tr>
      <w:tr w:rsidR="00574918" w:rsidRPr="00574918" w14:paraId="31D7AEAB" w14:textId="77777777" w:rsidTr="00132860">
        <w:trPr>
          <w:trHeight w:val="22"/>
        </w:trPr>
        <w:tc>
          <w:tcPr>
            <w:tcW w:w="2070" w:type="dxa"/>
            <w:vMerge/>
            <w:shd w:val="clear" w:color="auto" w:fill="BFBFBF" w:themeFill="background1" w:themeFillShade="BF"/>
            <w:noWrap/>
            <w:vAlign w:val="center"/>
            <w:hideMark/>
          </w:tcPr>
          <w:p w14:paraId="2B94165D" w14:textId="77777777" w:rsidR="00574918" w:rsidRPr="00574918" w:rsidRDefault="00574918" w:rsidP="00574918">
            <w:pPr>
              <w:keepNext/>
              <w:keepLines/>
              <w:spacing w:after="0" w:line="240" w:lineRule="auto"/>
              <w:rPr>
                <w:rFonts w:ascii="Times New Roman" w:eastAsia="Times New Roman" w:hAnsi="Times New Roman" w:cs="Times New Roman"/>
                <w:b/>
                <w:color w:val="000000"/>
                <w:sz w:val="20"/>
                <w:szCs w:val="20"/>
              </w:rPr>
            </w:pPr>
          </w:p>
        </w:tc>
        <w:tc>
          <w:tcPr>
            <w:tcW w:w="1710" w:type="dxa"/>
            <w:shd w:val="clear" w:color="auto" w:fill="BFBFBF" w:themeFill="background1" w:themeFillShade="BF"/>
            <w:noWrap/>
            <w:vAlign w:val="center"/>
            <w:hideMark/>
          </w:tcPr>
          <w:p w14:paraId="6B2AC35A" w14:textId="77777777" w:rsidR="00574918" w:rsidRPr="00574918" w:rsidRDefault="00574918" w:rsidP="00574918">
            <w:pPr>
              <w:keepNext/>
              <w:keepLines/>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CSA</w:t>
            </w:r>
          </w:p>
        </w:tc>
        <w:tc>
          <w:tcPr>
            <w:tcW w:w="1080" w:type="dxa"/>
            <w:shd w:val="clear" w:color="auto" w:fill="BFBFBF" w:themeFill="background1" w:themeFillShade="BF"/>
            <w:noWrap/>
            <w:vAlign w:val="bottom"/>
            <w:hideMark/>
          </w:tcPr>
          <w:p w14:paraId="62953E2B" w14:textId="77777777" w:rsidR="00574918" w:rsidRPr="00574918" w:rsidRDefault="00574918" w:rsidP="00574918">
            <w:pPr>
              <w:keepNext/>
              <w:keepLines/>
              <w:spacing w:after="0" w:line="240" w:lineRule="auto"/>
              <w:jc w:val="center"/>
              <w:rPr>
                <w:rFonts w:ascii="Times New Roman" w:eastAsia="Times New Roman" w:hAnsi="Times New Roman" w:cs="Times New Roman"/>
                <w:sz w:val="20"/>
                <w:szCs w:val="20"/>
              </w:rPr>
            </w:pPr>
            <w:r w:rsidRPr="00574918">
              <w:rPr>
                <w:rFonts w:ascii="Times New Roman" w:eastAsia="Times New Roman" w:hAnsi="Times New Roman" w:cs="Times New Roman"/>
                <w:sz w:val="20"/>
                <w:szCs w:val="20"/>
              </w:rPr>
              <w:t>0.229</w:t>
            </w:r>
          </w:p>
        </w:tc>
        <w:tc>
          <w:tcPr>
            <w:tcW w:w="1080" w:type="dxa"/>
            <w:shd w:val="clear" w:color="auto" w:fill="BFBFBF" w:themeFill="background1" w:themeFillShade="BF"/>
            <w:noWrap/>
            <w:vAlign w:val="bottom"/>
            <w:hideMark/>
          </w:tcPr>
          <w:p w14:paraId="127ED5CF" w14:textId="77777777" w:rsidR="00574918" w:rsidRPr="00574918" w:rsidRDefault="00574918" w:rsidP="00574918">
            <w:pPr>
              <w:keepNext/>
              <w:keepLines/>
              <w:spacing w:after="0" w:line="240" w:lineRule="auto"/>
              <w:jc w:val="center"/>
              <w:rPr>
                <w:rFonts w:ascii="Times New Roman" w:eastAsia="Times New Roman" w:hAnsi="Times New Roman" w:cs="Times New Roman"/>
                <w:sz w:val="20"/>
                <w:szCs w:val="20"/>
              </w:rPr>
            </w:pPr>
            <w:r w:rsidRPr="00574918">
              <w:rPr>
                <w:rFonts w:ascii="Times New Roman" w:eastAsia="Times New Roman" w:hAnsi="Times New Roman" w:cs="Times New Roman"/>
                <w:sz w:val="20"/>
                <w:szCs w:val="20"/>
              </w:rPr>
              <w:t>0.797</w:t>
            </w:r>
          </w:p>
        </w:tc>
        <w:tc>
          <w:tcPr>
            <w:tcW w:w="1080" w:type="dxa"/>
            <w:shd w:val="clear" w:color="auto" w:fill="BFBFBF" w:themeFill="background1" w:themeFillShade="BF"/>
            <w:noWrap/>
            <w:vAlign w:val="bottom"/>
            <w:hideMark/>
          </w:tcPr>
          <w:p w14:paraId="26DD260A" w14:textId="77777777" w:rsidR="00574918" w:rsidRPr="00574918" w:rsidRDefault="00574918" w:rsidP="00574918">
            <w:pPr>
              <w:keepNext/>
              <w:keepLines/>
              <w:spacing w:after="0" w:line="240" w:lineRule="auto"/>
              <w:jc w:val="center"/>
              <w:rPr>
                <w:rFonts w:ascii="Times New Roman" w:eastAsia="Times New Roman" w:hAnsi="Times New Roman" w:cs="Times New Roman"/>
                <w:sz w:val="20"/>
                <w:szCs w:val="20"/>
              </w:rPr>
            </w:pPr>
            <w:r w:rsidRPr="00574918">
              <w:rPr>
                <w:rFonts w:ascii="Times New Roman" w:eastAsia="Times New Roman" w:hAnsi="Times New Roman" w:cs="Times New Roman"/>
                <w:sz w:val="20"/>
                <w:szCs w:val="20"/>
              </w:rPr>
              <w:t>0.220</w:t>
            </w:r>
          </w:p>
        </w:tc>
        <w:tc>
          <w:tcPr>
            <w:tcW w:w="1080" w:type="dxa"/>
            <w:shd w:val="clear" w:color="auto" w:fill="BFBFBF" w:themeFill="background1" w:themeFillShade="BF"/>
            <w:noWrap/>
            <w:vAlign w:val="bottom"/>
            <w:hideMark/>
          </w:tcPr>
          <w:p w14:paraId="0D091E2F"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0.647</w:t>
            </w:r>
          </w:p>
        </w:tc>
      </w:tr>
      <w:tr w:rsidR="00574918" w:rsidRPr="00574918" w14:paraId="6D2C6097" w14:textId="77777777" w:rsidTr="00132860">
        <w:trPr>
          <w:trHeight w:val="22"/>
        </w:trPr>
        <w:tc>
          <w:tcPr>
            <w:tcW w:w="2070" w:type="dxa"/>
            <w:vMerge w:val="restart"/>
            <w:shd w:val="clear" w:color="auto" w:fill="FFFFFF" w:themeFill="background1"/>
            <w:noWrap/>
            <w:vAlign w:val="center"/>
            <w:hideMark/>
          </w:tcPr>
          <w:p w14:paraId="3A549570" w14:textId="77777777" w:rsidR="00574918" w:rsidRPr="00574918" w:rsidRDefault="00574918" w:rsidP="00574918">
            <w:pPr>
              <w:keepNext/>
              <w:keepLines/>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Mechanical Properties</w:t>
            </w:r>
          </w:p>
        </w:tc>
        <w:tc>
          <w:tcPr>
            <w:tcW w:w="1710" w:type="dxa"/>
            <w:shd w:val="clear" w:color="auto" w:fill="FFFFFF" w:themeFill="background1"/>
            <w:noWrap/>
            <w:vAlign w:val="center"/>
            <w:hideMark/>
          </w:tcPr>
          <w:p w14:paraId="59F5AFD2" w14:textId="77777777" w:rsidR="00574918" w:rsidRPr="00574918" w:rsidRDefault="00574918" w:rsidP="00574918">
            <w:pPr>
              <w:keepNext/>
              <w:keepLines/>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Shear Modulus</w:t>
            </w:r>
          </w:p>
        </w:tc>
        <w:tc>
          <w:tcPr>
            <w:tcW w:w="1080" w:type="dxa"/>
            <w:shd w:val="clear" w:color="auto" w:fill="FFFFFF" w:themeFill="background1"/>
            <w:noWrap/>
            <w:vAlign w:val="bottom"/>
            <w:hideMark/>
          </w:tcPr>
          <w:p w14:paraId="4166E5BA"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0.512</w:t>
            </w:r>
          </w:p>
        </w:tc>
        <w:tc>
          <w:tcPr>
            <w:tcW w:w="1080" w:type="dxa"/>
            <w:shd w:val="clear" w:color="auto" w:fill="FFFFFF" w:themeFill="background1"/>
            <w:noWrap/>
            <w:vAlign w:val="bottom"/>
            <w:hideMark/>
          </w:tcPr>
          <w:p w14:paraId="2387F3A1"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0.606</w:t>
            </w:r>
          </w:p>
        </w:tc>
        <w:tc>
          <w:tcPr>
            <w:tcW w:w="1080" w:type="dxa"/>
            <w:shd w:val="clear" w:color="auto" w:fill="FFFFFF" w:themeFill="background1"/>
            <w:noWrap/>
            <w:vAlign w:val="bottom"/>
            <w:hideMark/>
          </w:tcPr>
          <w:p w14:paraId="319A1FE9"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0.487</w:t>
            </w:r>
          </w:p>
        </w:tc>
        <w:tc>
          <w:tcPr>
            <w:tcW w:w="1080" w:type="dxa"/>
            <w:shd w:val="clear" w:color="auto" w:fill="FFFFFF" w:themeFill="background1"/>
            <w:noWrap/>
            <w:vAlign w:val="bottom"/>
            <w:hideMark/>
          </w:tcPr>
          <w:p w14:paraId="00C6FEDF"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0.496</w:t>
            </w:r>
          </w:p>
        </w:tc>
      </w:tr>
      <w:tr w:rsidR="00574918" w:rsidRPr="00574918" w14:paraId="136C1E41" w14:textId="77777777" w:rsidTr="00132860">
        <w:trPr>
          <w:trHeight w:val="22"/>
        </w:trPr>
        <w:tc>
          <w:tcPr>
            <w:tcW w:w="2070" w:type="dxa"/>
            <w:vMerge/>
            <w:shd w:val="clear" w:color="auto" w:fill="FFFFFF" w:themeFill="background1"/>
            <w:noWrap/>
            <w:vAlign w:val="center"/>
            <w:hideMark/>
          </w:tcPr>
          <w:p w14:paraId="5A8267CF" w14:textId="77777777" w:rsidR="00574918" w:rsidRPr="00574918" w:rsidRDefault="00574918" w:rsidP="00574918">
            <w:pPr>
              <w:keepNext/>
              <w:keepLines/>
              <w:spacing w:after="0" w:line="240" w:lineRule="auto"/>
              <w:rPr>
                <w:rFonts w:ascii="Times New Roman" w:eastAsia="Times New Roman" w:hAnsi="Times New Roman" w:cs="Times New Roman"/>
                <w:b/>
                <w:color w:val="000000"/>
                <w:sz w:val="20"/>
                <w:szCs w:val="20"/>
              </w:rPr>
            </w:pPr>
          </w:p>
        </w:tc>
        <w:tc>
          <w:tcPr>
            <w:tcW w:w="1710" w:type="dxa"/>
            <w:shd w:val="clear" w:color="auto" w:fill="FFFFFF" w:themeFill="background1"/>
            <w:noWrap/>
            <w:vAlign w:val="center"/>
            <w:hideMark/>
          </w:tcPr>
          <w:p w14:paraId="57D5453E" w14:textId="77777777" w:rsidR="00574918" w:rsidRPr="00574918" w:rsidRDefault="00574918" w:rsidP="00574918">
            <w:pPr>
              <w:keepNext/>
              <w:keepLines/>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Viscosity</w:t>
            </w:r>
          </w:p>
        </w:tc>
        <w:tc>
          <w:tcPr>
            <w:tcW w:w="1080" w:type="dxa"/>
            <w:shd w:val="clear" w:color="auto" w:fill="FFFFFF" w:themeFill="background1"/>
            <w:noWrap/>
            <w:vAlign w:val="bottom"/>
            <w:hideMark/>
          </w:tcPr>
          <w:p w14:paraId="2BCE3B95"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0.771</w:t>
            </w:r>
          </w:p>
        </w:tc>
        <w:tc>
          <w:tcPr>
            <w:tcW w:w="1080" w:type="dxa"/>
            <w:shd w:val="clear" w:color="auto" w:fill="FFFFFF" w:themeFill="background1"/>
            <w:noWrap/>
            <w:vAlign w:val="bottom"/>
            <w:hideMark/>
          </w:tcPr>
          <w:p w14:paraId="21D097BA"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0.476</w:t>
            </w:r>
          </w:p>
        </w:tc>
        <w:tc>
          <w:tcPr>
            <w:tcW w:w="1080" w:type="dxa"/>
            <w:shd w:val="clear" w:color="auto" w:fill="FFFFFF" w:themeFill="background1"/>
            <w:noWrap/>
            <w:vAlign w:val="bottom"/>
            <w:hideMark/>
          </w:tcPr>
          <w:p w14:paraId="5A5970D1"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0.109</w:t>
            </w:r>
          </w:p>
        </w:tc>
        <w:tc>
          <w:tcPr>
            <w:tcW w:w="1080" w:type="dxa"/>
            <w:shd w:val="clear" w:color="auto" w:fill="FFFFFF" w:themeFill="background1"/>
            <w:noWrap/>
            <w:vAlign w:val="bottom"/>
            <w:hideMark/>
          </w:tcPr>
          <w:p w14:paraId="3449EF3F"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0.746</w:t>
            </w:r>
          </w:p>
        </w:tc>
      </w:tr>
      <w:tr w:rsidR="00574918" w:rsidRPr="00574918" w14:paraId="5FF591E8" w14:textId="77777777" w:rsidTr="00132860">
        <w:trPr>
          <w:trHeight w:val="22"/>
        </w:trPr>
        <w:tc>
          <w:tcPr>
            <w:tcW w:w="2070" w:type="dxa"/>
            <w:vMerge w:val="restart"/>
            <w:shd w:val="clear" w:color="auto" w:fill="BFBFBF" w:themeFill="background1" w:themeFillShade="BF"/>
            <w:noWrap/>
            <w:vAlign w:val="center"/>
            <w:hideMark/>
          </w:tcPr>
          <w:p w14:paraId="35D15956" w14:textId="77777777" w:rsidR="00574918" w:rsidRPr="00574918" w:rsidRDefault="00574918" w:rsidP="00574918">
            <w:pPr>
              <w:keepNext/>
              <w:keepLines/>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Lower Extremity Function</w:t>
            </w:r>
          </w:p>
        </w:tc>
        <w:tc>
          <w:tcPr>
            <w:tcW w:w="1710" w:type="dxa"/>
            <w:shd w:val="clear" w:color="auto" w:fill="BFBFBF" w:themeFill="background1" w:themeFillShade="BF"/>
            <w:noWrap/>
            <w:vAlign w:val="center"/>
            <w:hideMark/>
          </w:tcPr>
          <w:p w14:paraId="3B5D1B26" w14:textId="77777777" w:rsidR="00574918" w:rsidRPr="00574918" w:rsidRDefault="00574918" w:rsidP="00574918">
            <w:pPr>
              <w:keepNext/>
              <w:keepLines/>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CMJ Height</w:t>
            </w:r>
          </w:p>
        </w:tc>
        <w:tc>
          <w:tcPr>
            <w:tcW w:w="1080" w:type="dxa"/>
            <w:shd w:val="clear" w:color="auto" w:fill="BFBFBF" w:themeFill="background1" w:themeFillShade="BF"/>
            <w:noWrap/>
            <w:vAlign w:val="bottom"/>
            <w:hideMark/>
          </w:tcPr>
          <w:p w14:paraId="7DE751A6"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3.608</w:t>
            </w:r>
          </w:p>
        </w:tc>
        <w:tc>
          <w:tcPr>
            <w:tcW w:w="1080" w:type="dxa"/>
            <w:shd w:val="clear" w:color="auto" w:fill="BFBFBF" w:themeFill="background1" w:themeFillShade="BF"/>
            <w:noWrap/>
            <w:vAlign w:val="bottom"/>
            <w:hideMark/>
          </w:tcPr>
          <w:p w14:paraId="2E344D22" w14:textId="77777777" w:rsidR="00574918" w:rsidRPr="00574918" w:rsidRDefault="00574918" w:rsidP="00574918">
            <w:pPr>
              <w:keepNext/>
              <w:keepLines/>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0.046</w:t>
            </w:r>
          </w:p>
        </w:tc>
        <w:tc>
          <w:tcPr>
            <w:tcW w:w="1080" w:type="dxa"/>
            <w:shd w:val="clear" w:color="auto" w:fill="BFBFBF" w:themeFill="background1" w:themeFillShade="BF"/>
            <w:noWrap/>
            <w:vAlign w:val="bottom"/>
            <w:hideMark/>
          </w:tcPr>
          <w:p w14:paraId="277FE6B2"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0.011</w:t>
            </w:r>
          </w:p>
        </w:tc>
        <w:tc>
          <w:tcPr>
            <w:tcW w:w="1080" w:type="dxa"/>
            <w:shd w:val="clear" w:color="auto" w:fill="BFBFBF" w:themeFill="background1" w:themeFillShade="BF"/>
            <w:noWrap/>
            <w:vAlign w:val="bottom"/>
            <w:hideMark/>
          </w:tcPr>
          <w:p w14:paraId="70C2103B"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0.918</w:t>
            </w:r>
          </w:p>
        </w:tc>
      </w:tr>
      <w:tr w:rsidR="00574918" w:rsidRPr="00574918" w14:paraId="67A5173B" w14:textId="77777777" w:rsidTr="00132860">
        <w:trPr>
          <w:trHeight w:val="22"/>
        </w:trPr>
        <w:tc>
          <w:tcPr>
            <w:tcW w:w="2070" w:type="dxa"/>
            <w:vMerge/>
            <w:shd w:val="clear" w:color="auto" w:fill="BFBFBF" w:themeFill="background1" w:themeFillShade="BF"/>
            <w:noWrap/>
            <w:vAlign w:val="center"/>
            <w:hideMark/>
          </w:tcPr>
          <w:p w14:paraId="6AEB4F77" w14:textId="77777777" w:rsidR="00574918" w:rsidRPr="00574918" w:rsidRDefault="00574918" w:rsidP="00574918">
            <w:pPr>
              <w:keepNext/>
              <w:keepLines/>
              <w:spacing w:after="0" w:line="240" w:lineRule="auto"/>
              <w:rPr>
                <w:rFonts w:ascii="Times New Roman" w:eastAsia="Times New Roman" w:hAnsi="Times New Roman" w:cs="Times New Roman"/>
                <w:b/>
                <w:color w:val="000000"/>
                <w:sz w:val="20"/>
                <w:szCs w:val="20"/>
              </w:rPr>
            </w:pPr>
          </w:p>
        </w:tc>
        <w:tc>
          <w:tcPr>
            <w:tcW w:w="1710" w:type="dxa"/>
            <w:shd w:val="clear" w:color="auto" w:fill="BFBFBF" w:themeFill="background1" w:themeFillShade="BF"/>
            <w:noWrap/>
            <w:vAlign w:val="center"/>
            <w:hideMark/>
          </w:tcPr>
          <w:p w14:paraId="60546E6E" w14:textId="77777777" w:rsidR="00574918" w:rsidRPr="00574918" w:rsidRDefault="00574918" w:rsidP="00574918">
            <w:pPr>
              <w:keepNext/>
              <w:keepLines/>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Drop CMJ Height</w:t>
            </w:r>
          </w:p>
        </w:tc>
        <w:tc>
          <w:tcPr>
            <w:tcW w:w="1080" w:type="dxa"/>
            <w:shd w:val="clear" w:color="auto" w:fill="BFBFBF" w:themeFill="background1" w:themeFillShade="BF"/>
            <w:noWrap/>
            <w:vAlign w:val="bottom"/>
            <w:hideMark/>
          </w:tcPr>
          <w:p w14:paraId="221D68E0"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0.370</w:t>
            </w:r>
          </w:p>
        </w:tc>
        <w:tc>
          <w:tcPr>
            <w:tcW w:w="1080" w:type="dxa"/>
            <w:shd w:val="clear" w:color="auto" w:fill="BFBFBF" w:themeFill="background1" w:themeFillShade="BF"/>
            <w:noWrap/>
            <w:vAlign w:val="bottom"/>
            <w:hideMark/>
          </w:tcPr>
          <w:p w14:paraId="5D4D16F7"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0.695</w:t>
            </w:r>
          </w:p>
        </w:tc>
        <w:tc>
          <w:tcPr>
            <w:tcW w:w="1080" w:type="dxa"/>
            <w:shd w:val="clear" w:color="auto" w:fill="BFBFBF" w:themeFill="background1" w:themeFillShade="BF"/>
            <w:noWrap/>
            <w:vAlign w:val="bottom"/>
            <w:hideMark/>
          </w:tcPr>
          <w:p w14:paraId="7176E768"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0.125</w:t>
            </w:r>
          </w:p>
        </w:tc>
        <w:tc>
          <w:tcPr>
            <w:tcW w:w="1080" w:type="dxa"/>
            <w:shd w:val="clear" w:color="auto" w:fill="BFBFBF" w:themeFill="background1" w:themeFillShade="BF"/>
            <w:noWrap/>
            <w:vAlign w:val="bottom"/>
            <w:hideMark/>
          </w:tcPr>
          <w:p w14:paraId="79986D46"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0.729</w:t>
            </w:r>
          </w:p>
        </w:tc>
      </w:tr>
      <w:tr w:rsidR="00574918" w:rsidRPr="00574918" w14:paraId="63092E3B" w14:textId="77777777" w:rsidTr="00132860">
        <w:trPr>
          <w:trHeight w:val="22"/>
        </w:trPr>
        <w:tc>
          <w:tcPr>
            <w:tcW w:w="2070" w:type="dxa"/>
            <w:vMerge w:val="restart"/>
            <w:tcBorders>
              <w:bottom w:val="single" w:sz="4" w:space="0" w:color="auto"/>
            </w:tcBorders>
            <w:shd w:val="clear" w:color="auto" w:fill="FFFFFF" w:themeFill="background1"/>
            <w:noWrap/>
            <w:vAlign w:val="center"/>
            <w:hideMark/>
          </w:tcPr>
          <w:p w14:paraId="43791590" w14:textId="77777777" w:rsidR="00574918" w:rsidRPr="00574918" w:rsidRDefault="00574918" w:rsidP="00574918">
            <w:pPr>
              <w:keepNext/>
              <w:keepLines/>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Quadriceps Muscle Performance</w:t>
            </w:r>
          </w:p>
        </w:tc>
        <w:tc>
          <w:tcPr>
            <w:tcW w:w="1710" w:type="dxa"/>
            <w:shd w:val="clear" w:color="auto" w:fill="FFFFFF" w:themeFill="background1"/>
            <w:noWrap/>
            <w:vAlign w:val="center"/>
            <w:hideMark/>
          </w:tcPr>
          <w:p w14:paraId="173D1B11" w14:textId="77777777" w:rsidR="00574918" w:rsidRPr="00574918" w:rsidRDefault="00574918" w:rsidP="00574918">
            <w:pPr>
              <w:keepNext/>
              <w:keepLines/>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MVIC</w:t>
            </w:r>
          </w:p>
        </w:tc>
        <w:tc>
          <w:tcPr>
            <w:tcW w:w="1080" w:type="dxa"/>
            <w:shd w:val="clear" w:color="auto" w:fill="FFFFFF" w:themeFill="background1"/>
            <w:noWrap/>
            <w:vAlign w:val="bottom"/>
            <w:hideMark/>
          </w:tcPr>
          <w:p w14:paraId="1E442848"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2.068</w:t>
            </w:r>
          </w:p>
        </w:tc>
        <w:tc>
          <w:tcPr>
            <w:tcW w:w="1080" w:type="dxa"/>
            <w:shd w:val="clear" w:color="auto" w:fill="FFFFFF" w:themeFill="background1"/>
            <w:noWrap/>
            <w:vAlign w:val="bottom"/>
            <w:hideMark/>
          </w:tcPr>
          <w:p w14:paraId="37CA021C"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0.150</w:t>
            </w:r>
          </w:p>
        </w:tc>
        <w:tc>
          <w:tcPr>
            <w:tcW w:w="1080" w:type="dxa"/>
            <w:shd w:val="clear" w:color="auto" w:fill="FFFFFF" w:themeFill="background1"/>
            <w:noWrap/>
            <w:vAlign w:val="bottom"/>
            <w:hideMark/>
          </w:tcPr>
          <w:p w14:paraId="5BBFCF9A"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3.743</w:t>
            </w:r>
          </w:p>
        </w:tc>
        <w:tc>
          <w:tcPr>
            <w:tcW w:w="1080" w:type="dxa"/>
            <w:shd w:val="clear" w:color="auto" w:fill="FFFFFF" w:themeFill="background1"/>
            <w:noWrap/>
            <w:vAlign w:val="bottom"/>
            <w:hideMark/>
          </w:tcPr>
          <w:p w14:paraId="688C2235"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0.078</w:t>
            </w:r>
          </w:p>
        </w:tc>
      </w:tr>
      <w:tr w:rsidR="00574918" w:rsidRPr="00574918" w14:paraId="7C3BE05C" w14:textId="77777777" w:rsidTr="00132860">
        <w:trPr>
          <w:trHeight w:val="22"/>
        </w:trPr>
        <w:tc>
          <w:tcPr>
            <w:tcW w:w="2070" w:type="dxa"/>
            <w:vMerge/>
            <w:tcBorders>
              <w:bottom w:val="single" w:sz="4" w:space="0" w:color="auto"/>
            </w:tcBorders>
            <w:shd w:val="clear" w:color="auto" w:fill="FFFFFF" w:themeFill="background1"/>
            <w:noWrap/>
            <w:vAlign w:val="bottom"/>
            <w:hideMark/>
          </w:tcPr>
          <w:p w14:paraId="723F8B9C" w14:textId="77777777" w:rsidR="00574918" w:rsidRPr="00574918" w:rsidRDefault="00574918" w:rsidP="00574918">
            <w:pPr>
              <w:keepNext/>
              <w:keepLines/>
              <w:spacing w:after="0" w:line="240" w:lineRule="auto"/>
              <w:jc w:val="right"/>
              <w:rPr>
                <w:rFonts w:ascii="Times New Roman" w:eastAsia="Times New Roman" w:hAnsi="Times New Roman" w:cs="Times New Roman"/>
                <w:color w:val="000000"/>
                <w:sz w:val="20"/>
                <w:szCs w:val="20"/>
              </w:rPr>
            </w:pPr>
          </w:p>
        </w:tc>
        <w:tc>
          <w:tcPr>
            <w:tcW w:w="1710" w:type="dxa"/>
            <w:tcBorders>
              <w:bottom w:val="single" w:sz="4" w:space="0" w:color="auto"/>
            </w:tcBorders>
            <w:shd w:val="clear" w:color="auto" w:fill="FFFFFF" w:themeFill="background1"/>
            <w:noWrap/>
            <w:vAlign w:val="center"/>
            <w:hideMark/>
          </w:tcPr>
          <w:p w14:paraId="0ADBDB62" w14:textId="77777777" w:rsidR="00574918" w:rsidRPr="00574918" w:rsidRDefault="00574918" w:rsidP="00574918">
            <w:pPr>
              <w:keepNext/>
              <w:keepLines/>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CAR</w:t>
            </w:r>
          </w:p>
        </w:tc>
        <w:tc>
          <w:tcPr>
            <w:tcW w:w="1080" w:type="dxa"/>
            <w:tcBorders>
              <w:bottom w:val="single" w:sz="4" w:space="0" w:color="auto"/>
            </w:tcBorders>
            <w:shd w:val="clear" w:color="auto" w:fill="FFFFFF" w:themeFill="background1"/>
            <w:noWrap/>
            <w:vAlign w:val="bottom"/>
            <w:hideMark/>
          </w:tcPr>
          <w:p w14:paraId="2F7BEDE2"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1.787</w:t>
            </w:r>
          </w:p>
        </w:tc>
        <w:tc>
          <w:tcPr>
            <w:tcW w:w="1080" w:type="dxa"/>
            <w:tcBorders>
              <w:bottom w:val="single" w:sz="4" w:space="0" w:color="auto"/>
            </w:tcBorders>
            <w:shd w:val="clear" w:color="auto" w:fill="FFFFFF" w:themeFill="background1"/>
            <w:noWrap/>
            <w:vAlign w:val="bottom"/>
            <w:hideMark/>
          </w:tcPr>
          <w:p w14:paraId="4061C22E"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0.199</w:t>
            </w:r>
          </w:p>
        </w:tc>
        <w:tc>
          <w:tcPr>
            <w:tcW w:w="1080" w:type="dxa"/>
            <w:tcBorders>
              <w:bottom w:val="single" w:sz="4" w:space="0" w:color="auto"/>
            </w:tcBorders>
            <w:shd w:val="clear" w:color="auto" w:fill="FFFFFF" w:themeFill="background1"/>
            <w:noWrap/>
            <w:vAlign w:val="bottom"/>
            <w:hideMark/>
          </w:tcPr>
          <w:p w14:paraId="016338B4"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3.326</w:t>
            </w:r>
          </w:p>
        </w:tc>
        <w:tc>
          <w:tcPr>
            <w:tcW w:w="1080" w:type="dxa"/>
            <w:tcBorders>
              <w:bottom w:val="single" w:sz="4" w:space="0" w:color="auto"/>
            </w:tcBorders>
            <w:shd w:val="clear" w:color="auto" w:fill="FFFFFF" w:themeFill="background1"/>
            <w:noWrap/>
            <w:vAlign w:val="bottom"/>
            <w:hideMark/>
          </w:tcPr>
          <w:p w14:paraId="56830AA3"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0.099</w:t>
            </w:r>
          </w:p>
        </w:tc>
      </w:tr>
    </w:tbl>
    <w:p w14:paraId="201B2A3A" w14:textId="77777777" w:rsidR="00574918" w:rsidRPr="00574918" w:rsidRDefault="00574918" w:rsidP="00574918">
      <w:pPr>
        <w:keepNext/>
        <w:keepLines/>
        <w:spacing w:after="0" w:line="480" w:lineRule="auto"/>
        <w:rPr>
          <w:rFonts w:ascii="Times New Roman" w:eastAsia="Times New Roman" w:hAnsi="Times New Roman" w:cs="Times New Roman"/>
          <w:sz w:val="24"/>
          <w:szCs w:val="24"/>
        </w:rPr>
        <w:sectPr w:rsidR="00574918" w:rsidRPr="00574918" w:rsidSect="00E25757">
          <w:endnotePr>
            <w:numFmt w:val="decimal"/>
          </w:endnotePr>
          <w:pgSz w:w="12240" w:h="15840"/>
          <w:pgMar w:top="1627" w:right="1584" w:bottom="2246" w:left="2304" w:header="1152" w:footer="1152" w:gutter="0"/>
          <w:cols w:space="720"/>
          <w:docGrid w:linePitch="326"/>
        </w:sectPr>
      </w:pPr>
      <w:r w:rsidRPr="00574918">
        <w:rPr>
          <w:rFonts w:ascii="Times New Roman" w:eastAsia="Times New Roman" w:hAnsi="Times New Roman" w:cs="Times New Roman"/>
          <w:sz w:val="24"/>
          <w:szCs w:val="24"/>
        </w:rPr>
        <w:t>CSA = cross-sectional area; CMJ = counter-movement jump; MVIC = maximal voluntary isometric contraction; CAR = central activation ratio</w:t>
      </w:r>
    </w:p>
    <w:p w14:paraId="4D2FAFD6" w14:textId="77777777" w:rsidR="00574918" w:rsidRDefault="00574918">
      <w:pPr>
        <w:rPr>
          <w:rFonts w:ascii="Times New Roman" w:eastAsia="Times New Roman" w:hAnsi="Times New Roman" w:cs="Times New Roman"/>
          <w:sz w:val="24"/>
          <w:szCs w:val="24"/>
        </w:rPr>
      </w:pPr>
    </w:p>
    <w:p w14:paraId="39798A7F" w14:textId="42FEC886" w:rsidR="00574918" w:rsidRPr="00574918" w:rsidRDefault="00574918" w:rsidP="00574918">
      <w:pPr>
        <w:spacing w:line="480" w:lineRule="auto"/>
        <w:rPr>
          <w:rFonts w:ascii="Times New Roman" w:hAnsi="Times New Roman" w:cs="Times New Roman"/>
        </w:rPr>
      </w:pPr>
      <w:bookmarkStart w:id="6" w:name="_Toc38475247"/>
      <w:r w:rsidRPr="00574918">
        <w:rPr>
          <w:rFonts w:ascii="Times New Roman" w:hAnsi="Times New Roman" w:cs="Times New Roman"/>
          <w:b/>
        </w:rPr>
        <w:t>Table S.</w:t>
      </w:r>
      <w:r w:rsidR="005F422D">
        <w:rPr>
          <w:rFonts w:ascii="Times New Roman" w:hAnsi="Times New Roman" w:cs="Times New Roman"/>
          <w:b/>
        </w:rPr>
        <w:t>3</w:t>
      </w:r>
      <w:r w:rsidRPr="00574918">
        <w:rPr>
          <w:rFonts w:ascii="Times New Roman" w:hAnsi="Times New Roman" w:cs="Times New Roman"/>
          <w:b/>
        </w:rPr>
        <w:t>.</w:t>
      </w:r>
      <w:r>
        <w:rPr>
          <w:rFonts w:ascii="Times New Roman" w:hAnsi="Times New Roman" w:cs="Times New Roman"/>
        </w:rPr>
        <w:t xml:space="preserve"> </w:t>
      </w:r>
      <w:r w:rsidRPr="00574918">
        <w:rPr>
          <w:rFonts w:ascii="Times New Roman" w:hAnsi="Times New Roman" w:cs="Times New Roman"/>
        </w:rPr>
        <w:t>Effects of group and time of generalized linear mixed model for outcome measures in Aim 4 after outlier removal.</w:t>
      </w:r>
      <w:bookmarkEnd w:id="6"/>
    </w:p>
    <w:tbl>
      <w:tblPr>
        <w:tblW w:w="8100" w:type="dxa"/>
        <w:tblLayout w:type="fixed"/>
        <w:tblCellMar>
          <w:top w:w="58" w:type="dxa"/>
          <w:left w:w="115" w:type="dxa"/>
          <w:bottom w:w="58" w:type="dxa"/>
          <w:right w:w="115" w:type="dxa"/>
        </w:tblCellMar>
        <w:tblLook w:val="04A0" w:firstRow="1" w:lastRow="0" w:firstColumn="1" w:lastColumn="0" w:noHBand="0" w:noVBand="1"/>
      </w:tblPr>
      <w:tblGrid>
        <w:gridCol w:w="2070"/>
        <w:gridCol w:w="1710"/>
        <w:gridCol w:w="1080"/>
        <w:gridCol w:w="1080"/>
        <w:gridCol w:w="1080"/>
        <w:gridCol w:w="1080"/>
      </w:tblGrid>
      <w:tr w:rsidR="00574918" w:rsidRPr="00574918" w14:paraId="21952A89" w14:textId="77777777" w:rsidTr="00E25757">
        <w:trPr>
          <w:trHeight w:val="33"/>
        </w:trPr>
        <w:tc>
          <w:tcPr>
            <w:tcW w:w="2070" w:type="dxa"/>
            <w:vMerge w:val="restart"/>
            <w:tcBorders>
              <w:top w:val="single" w:sz="4" w:space="0" w:color="auto"/>
            </w:tcBorders>
            <w:shd w:val="clear" w:color="auto" w:fill="auto"/>
            <w:noWrap/>
            <w:vAlign w:val="center"/>
            <w:hideMark/>
          </w:tcPr>
          <w:p w14:paraId="06C2F73E" w14:textId="77777777" w:rsidR="00574918" w:rsidRPr="00574918" w:rsidRDefault="00574918" w:rsidP="00574918">
            <w:pPr>
              <w:spacing w:after="0" w:line="240" w:lineRule="auto"/>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Category</w:t>
            </w:r>
          </w:p>
        </w:tc>
        <w:tc>
          <w:tcPr>
            <w:tcW w:w="1710" w:type="dxa"/>
            <w:vMerge w:val="restart"/>
            <w:tcBorders>
              <w:top w:val="single" w:sz="4" w:space="0" w:color="auto"/>
            </w:tcBorders>
            <w:shd w:val="clear" w:color="auto" w:fill="auto"/>
            <w:noWrap/>
            <w:vAlign w:val="center"/>
            <w:hideMark/>
          </w:tcPr>
          <w:p w14:paraId="0093B57B" w14:textId="77777777" w:rsidR="00574918" w:rsidRPr="00574918" w:rsidRDefault="00574918" w:rsidP="00574918">
            <w:pPr>
              <w:spacing w:after="0" w:line="240" w:lineRule="auto"/>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Outcome</w:t>
            </w:r>
          </w:p>
        </w:tc>
        <w:tc>
          <w:tcPr>
            <w:tcW w:w="2160" w:type="dxa"/>
            <w:gridSpan w:val="2"/>
            <w:tcBorders>
              <w:top w:val="single" w:sz="4" w:space="0" w:color="auto"/>
              <w:bottom w:val="single" w:sz="4" w:space="0" w:color="auto"/>
            </w:tcBorders>
            <w:shd w:val="clear" w:color="auto" w:fill="auto"/>
            <w:noWrap/>
            <w:vAlign w:val="bottom"/>
            <w:hideMark/>
          </w:tcPr>
          <w:p w14:paraId="3DA5ECC0"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Time</w:t>
            </w:r>
          </w:p>
        </w:tc>
        <w:tc>
          <w:tcPr>
            <w:tcW w:w="2160" w:type="dxa"/>
            <w:gridSpan w:val="2"/>
            <w:tcBorders>
              <w:top w:val="single" w:sz="4" w:space="0" w:color="auto"/>
              <w:bottom w:val="single" w:sz="4" w:space="0" w:color="auto"/>
            </w:tcBorders>
            <w:shd w:val="clear" w:color="auto" w:fill="auto"/>
            <w:noWrap/>
            <w:vAlign w:val="bottom"/>
            <w:hideMark/>
          </w:tcPr>
          <w:p w14:paraId="21785D04"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Group</w:t>
            </w:r>
          </w:p>
        </w:tc>
      </w:tr>
      <w:tr w:rsidR="00574918" w:rsidRPr="00574918" w14:paraId="53C62DC8" w14:textId="77777777" w:rsidTr="00E25757">
        <w:trPr>
          <w:trHeight w:val="20"/>
        </w:trPr>
        <w:tc>
          <w:tcPr>
            <w:tcW w:w="2070" w:type="dxa"/>
            <w:vMerge/>
            <w:shd w:val="clear" w:color="auto" w:fill="auto"/>
            <w:noWrap/>
            <w:vAlign w:val="bottom"/>
            <w:hideMark/>
          </w:tcPr>
          <w:p w14:paraId="728D9991" w14:textId="77777777" w:rsidR="00574918" w:rsidRPr="00574918" w:rsidRDefault="00574918" w:rsidP="00574918">
            <w:pPr>
              <w:spacing w:after="0" w:line="240" w:lineRule="auto"/>
              <w:jc w:val="center"/>
              <w:rPr>
                <w:rFonts w:ascii="Times New Roman" w:eastAsia="Times New Roman" w:hAnsi="Times New Roman" w:cs="Times New Roman"/>
                <w:sz w:val="20"/>
                <w:szCs w:val="20"/>
              </w:rPr>
            </w:pPr>
          </w:p>
        </w:tc>
        <w:tc>
          <w:tcPr>
            <w:tcW w:w="1710" w:type="dxa"/>
            <w:vMerge/>
            <w:shd w:val="clear" w:color="auto" w:fill="auto"/>
            <w:noWrap/>
            <w:vAlign w:val="bottom"/>
            <w:hideMark/>
          </w:tcPr>
          <w:p w14:paraId="3D493AAD" w14:textId="77777777" w:rsidR="00574918" w:rsidRPr="00574918" w:rsidRDefault="00574918" w:rsidP="00574918">
            <w:pPr>
              <w:spacing w:after="0" w:line="240" w:lineRule="auto"/>
              <w:jc w:val="center"/>
              <w:rPr>
                <w:rFonts w:ascii="Times New Roman" w:eastAsia="Times New Roman" w:hAnsi="Times New Roman" w:cs="Times New Roman"/>
                <w:sz w:val="20"/>
                <w:szCs w:val="20"/>
              </w:rPr>
            </w:pPr>
          </w:p>
        </w:tc>
        <w:tc>
          <w:tcPr>
            <w:tcW w:w="1080" w:type="dxa"/>
            <w:tcBorders>
              <w:top w:val="single" w:sz="4" w:space="0" w:color="auto"/>
            </w:tcBorders>
            <w:shd w:val="clear" w:color="auto" w:fill="auto"/>
            <w:noWrap/>
            <w:vAlign w:val="bottom"/>
            <w:hideMark/>
          </w:tcPr>
          <w:p w14:paraId="3D5CC103"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F</w:t>
            </w:r>
          </w:p>
        </w:tc>
        <w:tc>
          <w:tcPr>
            <w:tcW w:w="1080" w:type="dxa"/>
            <w:tcBorders>
              <w:top w:val="single" w:sz="4" w:space="0" w:color="auto"/>
            </w:tcBorders>
            <w:shd w:val="clear" w:color="auto" w:fill="auto"/>
            <w:noWrap/>
            <w:vAlign w:val="bottom"/>
            <w:hideMark/>
          </w:tcPr>
          <w:p w14:paraId="2A65527A"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p</w:t>
            </w:r>
          </w:p>
        </w:tc>
        <w:tc>
          <w:tcPr>
            <w:tcW w:w="1080" w:type="dxa"/>
            <w:tcBorders>
              <w:top w:val="single" w:sz="4" w:space="0" w:color="auto"/>
            </w:tcBorders>
            <w:shd w:val="clear" w:color="auto" w:fill="auto"/>
            <w:noWrap/>
            <w:vAlign w:val="bottom"/>
            <w:hideMark/>
          </w:tcPr>
          <w:p w14:paraId="0C19E99E"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F</w:t>
            </w:r>
          </w:p>
        </w:tc>
        <w:tc>
          <w:tcPr>
            <w:tcW w:w="1080" w:type="dxa"/>
            <w:tcBorders>
              <w:top w:val="single" w:sz="4" w:space="0" w:color="auto"/>
            </w:tcBorders>
            <w:shd w:val="clear" w:color="auto" w:fill="auto"/>
            <w:noWrap/>
            <w:vAlign w:val="bottom"/>
            <w:hideMark/>
          </w:tcPr>
          <w:p w14:paraId="5923F6F6"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p</w:t>
            </w:r>
          </w:p>
        </w:tc>
      </w:tr>
      <w:tr w:rsidR="00E25757" w:rsidRPr="00574918" w14:paraId="273DFC2E" w14:textId="77777777" w:rsidTr="00E25757">
        <w:trPr>
          <w:trHeight w:val="52"/>
        </w:trPr>
        <w:tc>
          <w:tcPr>
            <w:tcW w:w="2070" w:type="dxa"/>
            <w:vMerge w:val="restart"/>
            <w:shd w:val="clear" w:color="auto" w:fill="auto"/>
            <w:noWrap/>
            <w:vAlign w:val="center"/>
            <w:hideMark/>
          </w:tcPr>
          <w:p w14:paraId="74D73981" w14:textId="168F3327" w:rsidR="00E25757" w:rsidRPr="00574918" w:rsidRDefault="00E25757" w:rsidP="00E25757">
            <w:pPr>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Symptoms</w:t>
            </w:r>
          </w:p>
        </w:tc>
        <w:tc>
          <w:tcPr>
            <w:tcW w:w="1710" w:type="dxa"/>
            <w:shd w:val="clear" w:color="auto" w:fill="auto"/>
            <w:noWrap/>
            <w:vAlign w:val="center"/>
            <w:hideMark/>
          </w:tcPr>
          <w:p w14:paraId="7FC6009F" w14:textId="0EAA169E" w:rsidR="00E25757" w:rsidRPr="00574918" w:rsidRDefault="00E25757" w:rsidP="00E25757">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VISA-P</w:t>
            </w:r>
          </w:p>
        </w:tc>
        <w:tc>
          <w:tcPr>
            <w:tcW w:w="1080" w:type="dxa"/>
            <w:shd w:val="clear" w:color="auto" w:fill="auto"/>
            <w:noWrap/>
            <w:vAlign w:val="bottom"/>
            <w:hideMark/>
          </w:tcPr>
          <w:p w14:paraId="6A12D037" w14:textId="2E326EC3" w:rsidR="00E25757" w:rsidRPr="00574918" w:rsidRDefault="00E25757" w:rsidP="00E25757">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6.587</w:t>
            </w:r>
          </w:p>
        </w:tc>
        <w:tc>
          <w:tcPr>
            <w:tcW w:w="1080" w:type="dxa"/>
            <w:shd w:val="clear" w:color="auto" w:fill="auto"/>
            <w:noWrap/>
            <w:vAlign w:val="bottom"/>
            <w:hideMark/>
          </w:tcPr>
          <w:p w14:paraId="6ECAC2F1" w14:textId="5FCFEDA1" w:rsidR="00E25757" w:rsidRPr="00574918" w:rsidRDefault="00E25757" w:rsidP="00E25757">
            <w:pPr>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0.005</w:t>
            </w:r>
          </w:p>
        </w:tc>
        <w:tc>
          <w:tcPr>
            <w:tcW w:w="1080" w:type="dxa"/>
            <w:shd w:val="clear" w:color="auto" w:fill="auto"/>
            <w:noWrap/>
            <w:vAlign w:val="bottom"/>
            <w:hideMark/>
          </w:tcPr>
          <w:p w14:paraId="73A58624" w14:textId="46DC1B92" w:rsidR="00E25757" w:rsidRPr="00574918" w:rsidRDefault="00E25757" w:rsidP="00E25757">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6.064</w:t>
            </w:r>
          </w:p>
        </w:tc>
        <w:tc>
          <w:tcPr>
            <w:tcW w:w="1080" w:type="dxa"/>
            <w:shd w:val="clear" w:color="auto" w:fill="auto"/>
            <w:noWrap/>
            <w:vAlign w:val="bottom"/>
            <w:hideMark/>
          </w:tcPr>
          <w:p w14:paraId="3018172E" w14:textId="051A80F7" w:rsidR="00E25757" w:rsidRPr="00574918" w:rsidRDefault="00E25757" w:rsidP="00E25757">
            <w:pPr>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0.029</w:t>
            </w:r>
          </w:p>
        </w:tc>
      </w:tr>
      <w:tr w:rsidR="00E25757" w:rsidRPr="00574918" w14:paraId="762263F2" w14:textId="77777777" w:rsidTr="00E25757">
        <w:trPr>
          <w:trHeight w:val="52"/>
        </w:trPr>
        <w:tc>
          <w:tcPr>
            <w:tcW w:w="2070" w:type="dxa"/>
            <w:vMerge/>
            <w:shd w:val="clear" w:color="auto" w:fill="auto"/>
            <w:noWrap/>
            <w:vAlign w:val="center"/>
          </w:tcPr>
          <w:p w14:paraId="64F00C08" w14:textId="77777777" w:rsidR="00E25757" w:rsidRPr="00574918" w:rsidRDefault="00E25757" w:rsidP="00E25757">
            <w:pPr>
              <w:spacing w:after="0" w:line="240" w:lineRule="auto"/>
              <w:rPr>
                <w:rFonts w:ascii="Times New Roman" w:eastAsia="Times New Roman" w:hAnsi="Times New Roman" w:cs="Times New Roman"/>
                <w:b/>
                <w:color w:val="000000"/>
                <w:sz w:val="20"/>
                <w:szCs w:val="20"/>
              </w:rPr>
            </w:pPr>
          </w:p>
        </w:tc>
        <w:tc>
          <w:tcPr>
            <w:tcW w:w="1710" w:type="dxa"/>
            <w:shd w:val="clear" w:color="auto" w:fill="auto"/>
            <w:noWrap/>
            <w:vAlign w:val="center"/>
          </w:tcPr>
          <w:p w14:paraId="680A7555" w14:textId="20F00492" w:rsidR="00E25757" w:rsidRPr="00574918" w:rsidRDefault="00E25757" w:rsidP="00E2575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Palpatory Pain</w:t>
            </w:r>
          </w:p>
        </w:tc>
        <w:tc>
          <w:tcPr>
            <w:tcW w:w="1080" w:type="dxa"/>
            <w:shd w:val="clear" w:color="auto" w:fill="auto"/>
            <w:noWrap/>
            <w:vAlign w:val="bottom"/>
          </w:tcPr>
          <w:p w14:paraId="74442354" w14:textId="32EC163A" w:rsidR="00E25757" w:rsidRPr="00574918" w:rsidRDefault="00E25757" w:rsidP="00E2575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6.508</w:t>
            </w:r>
          </w:p>
        </w:tc>
        <w:tc>
          <w:tcPr>
            <w:tcW w:w="1080" w:type="dxa"/>
            <w:shd w:val="clear" w:color="auto" w:fill="auto"/>
            <w:noWrap/>
            <w:vAlign w:val="bottom"/>
          </w:tcPr>
          <w:p w14:paraId="750C4B78" w14:textId="261D89F6" w:rsidR="00E25757" w:rsidRPr="00574918" w:rsidRDefault="00E25757" w:rsidP="00E25757">
            <w:pPr>
              <w:spacing w:after="0" w:line="240"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0.007</w:t>
            </w:r>
          </w:p>
        </w:tc>
        <w:tc>
          <w:tcPr>
            <w:tcW w:w="1080" w:type="dxa"/>
            <w:shd w:val="clear" w:color="auto" w:fill="auto"/>
            <w:noWrap/>
            <w:vAlign w:val="bottom"/>
          </w:tcPr>
          <w:p w14:paraId="73B82178" w14:textId="56426281" w:rsidR="00E25757" w:rsidRPr="00574918" w:rsidRDefault="00E25757" w:rsidP="00E2575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0.90</w:t>
            </w:r>
          </w:p>
        </w:tc>
        <w:tc>
          <w:tcPr>
            <w:tcW w:w="1080" w:type="dxa"/>
            <w:shd w:val="clear" w:color="auto" w:fill="auto"/>
            <w:noWrap/>
            <w:vAlign w:val="bottom"/>
          </w:tcPr>
          <w:p w14:paraId="79E8E191" w14:textId="4BC9DB49" w:rsidR="00E25757" w:rsidRPr="00574918" w:rsidRDefault="00E25757" w:rsidP="00E25757">
            <w:pPr>
              <w:spacing w:after="0" w:line="240" w:lineRule="auto"/>
              <w:jc w:val="center"/>
              <w:rPr>
                <w:rFonts w:ascii="Times New Roman" w:eastAsia="Times New Roman" w:hAnsi="Times New Roman" w:cs="Times New Roman"/>
                <w:b/>
                <w:color w:val="000000"/>
                <w:sz w:val="20"/>
                <w:szCs w:val="20"/>
              </w:rPr>
            </w:pPr>
            <w:r w:rsidRPr="00F76DBA">
              <w:rPr>
                <w:rFonts w:ascii="Times New Roman" w:eastAsia="Times New Roman" w:hAnsi="Times New Roman" w:cs="Times New Roman"/>
                <w:color w:val="000000"/>
                <w:sz w:val="20"/>
                <w:szCs w:val="20"/>
              </w:rPr>
              <w:t>0.769</w:t>
            </w:r>
          </w:p>
        </w:tc>
      </w:tr>
      <w:tr w:rsidR="00E25757" w:rsidRPr="00574918" w14:paraId="58C00BB3" w14:textId="77777777" w:rsidTr="00132860">
        <w:trPr>
          <w:trHeight w:val="52"/>
        </w:trPr>
        <w:tc>
          <w:tcPr>
            <w:tcW w:w="2070" w:type="dxa"/>
            <w:shd w:val="clear" w:color="auto" w:fill="BFBFBF" w:themeFill="background1" w:themeFillShade="BF"/>
            <w:noWrap/>
            <w:vAlign w:val="center"/>
          </w:tcPr>
          <w:p w14:paraId="5ABA316B" w14:textId="19EE52FE" w:rsidR="00E25757" w:rsidRPr="00574918" w:rsidRDefault="00E25757" w:rsidP="00E25757">
            <w:pPr>
              <w:spacing w:after="0" w:line="240" w:lineRule="auto"/>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Quality of Life</w:t>
            </w:r>
          </w:p>
        </w:tc>
        <w:tc>
          <w:tcPr>
            <w:tcW w:w="1710" w:type="dxa"/>
            <w:shd w:val="clear" w:color="auto" w:fill="BFBFBF" w:themeFill="background1" w:themeFillShade="BF"/>
            <w:noWrap/>
            <w:vAlign w:val="center"/>
          </w:tcPr>
          <w:p w14:paraId="3406B7BA" w14:textId="66F29B16" w:rsidR="00E25757" w:rsidRPr="00574918" w:rsidRDefault="00E25757" w:rsidP="00E2575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KOOS – QOL</w:t>
            </w:r>
          </w:p>
        </w:tc>
        <w:tc>
          <w:tcPr>
            <w:tcW w:w="1080" w:type="dxa"/>
            <w:shd w:val="clear" w:color="auto" w:fill="BFBFBF" w:themeFill="background1" w:themeFillShade="BF"/>
            <w:noWrap/>
            <w:vAlign w:val="bottom"/>
          </w:tcPr>
          <w:p w14:paraId="00C33CF5" w14:textId="04347968" w:rsidR="00E25757" w:rsidRPr="00574918" w:rsidRDefault="00E25757" w:rsidP="00E2575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21.976</w:t>
            </w:r>
          </w:p>
        </w:tc>
        <w:tc>
          <w:tcPr>
            <w:tcW w:w="1080" w:type="dxa"/>
            <w:shd w:val="clear" w:color="auto" w:fill="BFBFBF" w:themeFill="background1" w:themeFillShade="BF"/>
            <w:noWrap/>
            <w:vAlign w:val="bottom"/>
          </w:tcPr>
          <w:p w14:paraId="5D062312" w14:textId="6C223929" w:rsidR="00E25757" w:rsidRPr="00574918" w:rsidRDefault="00E25757" w:rsidP="00E25757">
            <w:pPr>
              <w:spacing w:after="0" w:line="240"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&lt;0.001</w:t>
            </w:r>
          </w:p>
        </w:tc>
        <w:tc>
          <w:tcPr>
            <w:tcW w:w="1080" w:type="dxa"/>
            <w:shd w:val="clear" w:color="auto" w:fill="BFBFBF" w:themeFill="background1" w:themeFillShade="BF"/>
            <w:noWrap/>
            <w:vAlign w:val="bottom"/>
          </w:tcPr>
          <w:p w14:paraId="4F7C5FDA" w14:textId="77F7C471" w:rsidR="00E25757" w:rsidRPr="00574918" w:rsidRDefault="00E25757" w:rsidP="00E2575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5.136</w:t>
            </w:r>
          </w:p>
        </w:tc>
        <w:tc>
          <w:tcPr>
            <w:tcW w:w="1080" w:type="dxa"/>
            <w:shd w:val="clear" w:color="auto" w:fill="BFBFBF" w:themeFill="background1" w:themeFillShade="BF"/>
            <w:noWrap/>
            <w:vAlign w:val="bottom"/>
          </w:tcPr>
          <w:p w14:paraId="71760C3A" w14:textId="77380847" w:rsidR="00E25757" w:rsidRPr="00574918" w:rsidRDefault="00E25757" w:rsidP="00E25757">
            <w:pPr>
              <w:spacing w:after="0" w:line="240" w:lineRule="auto"/>
              <w:jc w:val="center"/>
              <w:rPr>
                <w:rFonts w:ascii="Times New Roman" w:eastAsia="Times New Roman" w:hAnsi="Times New Roman" w:cs="Times New Roman"/>
                <w:b/>
                <w:color w:val="000000"/>
                <w:sz w:val="20"/>
                <w:szCs w:val="20"/>
              </w:rPr>
            </w:pPr>
            <w:r w:rsidRPr="00F76DBA">
              <w:rPr>
                <w:rFonts w:ascii="Times New Roman" w:eastAsia="Times New Roman" w:hAnsi="Times New Roman" w:cs="Times New Roman"/>
                <w:b/>
                <w:color w:val="000000"/>
                <w:sz w:val="20"/>
                <w:szCs w:val="20"/>
              </w:rPr>
              <w:t>0.041</w:t>
            </w:r>
          </w:p>
        </w:tc>
      </w:tr>
      <w:tr w:rsidR="00574918" w:rsidRPr="00574918" w14:paraId="2769FF1E" w14:textId="77777777" w:rsidTr="00132860">
        <w:trPr>
          <w:trHeight w:val="22"/>
        </w:trPr>
        <w:tc>
          <w:tcPr>
            <w:tcW w:w="2070" w:type="dxa"/>
            <w:vMerge w:val="restart"/>
            <w:shd w:val="clear" w:color="auto" w:fill="FFFFFF" w:themeFill="background1"/>
            <w:noWrap/>
            <w:vAlign w:val="center"/>
            <w:hideMark/>
          </w:tcPr>
          <w:p w14:paraId="10003A98"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Psychological Factors</w:t>
            </w:r>
          </w:p>
        </w:tc>
        <w:tc>
          <w:tcPr>
            <w:tcW w:w="1710" w:type="dxa"/>
            <w:shd w:val="clear" w:color="auto" w:fill="FFFFFF" w:themeFill="background1"/>
            <w:noWrap/>
            <w:vAlign w:val="center"/>
            <w:hideMark/>
          </w:tcPr>
          <w:p w14:paraId="73D49070"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TSK</w:t>
            </w:r>
          </w:p>
        </w:tc>
        <w:tc>
          <w:tcPr>
            <w:tcW w:w="1080" w:type="dxa"/>
            <w:shd w:val="clear" w:color="auto" w:fill="FFFFFF" w:themeFill="background1"/>
            <w:noWrap/>
            <w:vAlign w:val="bottom"/>
            <w:hideMark/>
          </w:tcPr>
          <w:p w14:paraId="3CB613DF"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3.528</w:t>
            </w:r>
          </w:p>
        </w:tc>
        <w:tc>
          <w:tcPr>
            <w:tcW w:w="1080" w:type="dxa"/>
            <w:shd w:val="clear" w:color="auto" w:fill="FFFFFF" w:themeFill="background1"/>
            <w:noWrap/>
            <w:vAlign w:val="bottom"/>
            <w:hideMark/>
          </w:tcPr>
          <w:p w14:paraId="30251D2B" w14:textId="77777777" w:rsidR="00574918" w:rsidRPr="00574918" w:rsidRDefault="00574918" w:rsidP="00574918">
            <w:pPr>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0.045</w:t>
            </w:r>
          </w:p>
        </w:tc>
        <w:tc>
          <w:tcPr>
            <w:tcW w:w="1080" w:type="dxa"/>
            <w:shd w:val="clear" w:color="auto" w:fill="FFFFFF" w:themeFill="background1"/>
            <w:noWrap/>
            <w:vAlign w:val="bottom"/>
            <w:hideMark/>
          </w:tcPr>
          <w:p w14:paraId="1ADCB538"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1.428</w:t>
            </w:r>
          </w:p>
        </w:tc>
        <w:tc>
          <w:tcPr>
            <w:tcW w:w="1080" w:type="dxa"/>
            <w:shd w:val="clear" w:color="auto" w:fill="FFFFFF" w:themeFill="background1"/>
            <w:noWrap/>
            <w:vAlign w:val="bottom"/>
            <w:hideMark/>
          </w:tcPr>
          <w:p w14:paraId="2020DA78"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0.253</w:t>
            </w:r>
          </w:p>
        </w:tc>
      </w:tr>
      <w:tr w:rsidR="00574918" w:rsidRPr="00574918" w14:paraId="43EE6040" w14:textId="77777777" w:rsidTr="00132860">
        <w:trPr>
          <w:trHeight w:val="22"/>
        </w:trPr>
        <w:tc>
          <w:tcPr>
            <w:tcW w:w="2070" w:type="dxa"/>
            <w:vMerge/>
            <w:shd w:val="clear" w:color="auto" w:fill="FFFFFF" w:themeFill="background1"/>
            <w:noWrap/>
            <w:vAlign w:val="center"/>
            <w:hideMark/>
          </w:tcPr>
          <w:p w14:paraId="286CED5A"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p>
        </w:tc>
        <w:tc>
          <w:tcPr>
            <w:tcW w:w="1710" w:type="dxa"/>
            <w:shd w:val="clear" w:color="auto" w:fill="FFFFFF" w:themeFill="background1"/>
            <w:noWrap/>
            <w:vAlign w:val="center"/>
            <w:hideMark/>
          </w:tcPr>
          <w:p w14:paraId="75DA6C29"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DASS-21</w:t>
            </w:r>
          </w:p>
        </w:tc>
        <w:tc>
          <w:tcPr>
            <w:tcW w:w="1080" w:type="dxa"/>
            <w:shd w:val="clear" w:color="auto" w:fill="FFFFFF" w:themeFill="background1"/>
            <w:noWrap/>
            <w:vAlign w:val="bottom"/>
            <w:hideMark/>
          </w:tcPr>
          <w:p w14:paraId="57745243"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2.800</w:t>
            </w:r>
          </w:p>
        </w:tc>
        <w:tc>
          <w:tcPr>
            <w:tcW w:w="1080" w:type="dxa"/>
            <w:shd w:val="clear" w:color="auto" w:fill="FFFFFF" w:themeFill="background1"/>
            <w:noWrap/>
            <w:vAlign w:val="bottom"/>
            <w:hideMark/>
          </w:tcPr>
          <w:p w14:paraId="2484A770"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0.081</w:t>
            </w:r>
          </w:p>
        </w:tc>
        <w:tc>
          <w:tcPr>
            <w:tcW w:w="1080" w:type="dxa"/>
            <w:shd w:val="clear" w:color="auto" w:fill="FFFFFF" w:themeFill="background1"/>
            <w:noWrap/>
            <w:vAlign w:val="bottom"/>
            <w:hideMark/>
          </w:tcPr>
          <w:p w14:paraId="10183806"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6.678</w:t>
            </w:r>
          </w:p>
        </w:tc>
        <w:tc>
          <w:tcPr>
            <w:tcW w:w="1080" w:type="dxa"/>
            <w:shd w:val="clear" w:color="auto" w:fill="FFFFFF" w:themeFill="background1"/>
            <w:noWrap/>
            <w:vAlign w:val="bottom"/>
            <w:hideMark/>
          </w:tcPr>
          <w:p w14:paraId="0C2A0AD6" w14:textId="77777777" w:rsidR="00574918" w:rsidRPr="00574918" w:rsidRDefault="00574918" w:rsidP="00574918">
            <w:pPr>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0.005</w:t>
            </w:r>
          </w:p>
        </w:tc>
      </w:tr>
      <w:tr w:rsidR="00574918" w:rsidRPr="00574918" w14:paraId="2A33EEEF" w14:textId="77777777" w:rsidTr="00132860">
        <w:trPr>
          <w:trHeight w:val="22"/>
        </w:trPr>
        <w:tc>
          <w:tcPr>
            <w:tcW w:w="2070" w:type="dxa"/>
            <w:vMerge w:val="restart"/>
            <w:shd w:val="clear" w:color="auto" w:fill="BFBFBF" w:themeFill="background1" w:themeFillShade="BF"/>
            <w:noWrap/>
            <w:vAlign w:val="center"/>
            <w:hideMark/>
          </w:tcPr>
          <w:p w14:paraId="2AEF4D0B"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Morphology</w:t>
            </w:r>
          </w:p>
        </w:tc>
        <w:tc>
          <w:tcPr>
            <w:tcW w:w="1710" w:type="dxa"/>
            <w:shd w:val="clear" w:color="auto" w:fill="BFBFBF" w:themeFill="background1" w:themeFillShade="BF"/>
            <w:noWrap/>
            <w:vAlign w:val="center"/>
            <w:hideMark/>
          </w:tcPr>
          <w:p w14:paraId="396B7803"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Thickness</w:t>
            </w:r>
          </w:p>
        </w:tc>
        <w:tc>
          <w:tcPr>
            <w:tcW w:w="1080" w:type="dxa"/>
            <w:shd w:val="clear" w:color="auto" w:fill="BFBFBF" w:themeFill="background1" w:themeFillShade="BF"/>
            <w:noWrap/>
            <w:vAlign w:val="bottom"/>
            <w:hideMark/>
          </w:tcPr>
          <w:p w14:paraId="6AE7DCD6"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0.618</w:t>
            </w:r>
          </w:p>
        </w:tc>
        <w:tc>
          <w:tcPr>
            <w:tcW w:w="1080" w:type="dxa"/>
            <w:shd w:val="clear" w:color="auto" w:fill="BFBFBF" w:themeFill="background1" w:themeFillShade="BF"/>
            <w:noWrap/>
            <w:vAlign w:val="bottom"/>
            <w:hideMark/>
          </w:tcPr>
          <w:p w14:paraId="5C0FDE19"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0.549</w:t>
            </w:r>
          </w:p>
        </w:tc>
        <w:tc>
          <w:tcPr>
            <w:tcW w:w="1080" w:type="dxa"/>
            <w:shd w:val="clear" w:color="auto" w:fill="BFBFBF" w:themeFill="background1" w:themeFillShade="BF"/>
            <w:noWrap/>
            <w:vAlign w:val="bottom"/>
            <w:hideMark/>
          </w:tcPr>
          <w:p w14:paraId="67C855B2"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0.074</w:t>
            </w:r>
          </w:p>
        </w:tc>
        <w:tc>
          <w:tcPr>
            <w:tcW w:w="1080" w:type="dxa"/>
            <w:shd w:val="clear" w:color="auto" w:fill="BFBFBF" w:themeFill="background1" w:themeFillShade="BF"/>
            <w:noWrap/>
            <w:vAlign w:val="bottom"/>
            <w:hideMark/>
          </w:tcPr>
          <w:p w14:paraId="0B8C8E18"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0.790</w:t>
            </w:r>
          </w:p>
        </w:tc>
      </w:tr>
      <w:tr w:rsidR="00574918" w:rsidRPr="00574918" w14:paraId="4667FE6F" w14:textId="77777777" w:rsidTr="00132860">
        <w:trPr>
          <w:trHeight w:val="22"/>
        </w:trPr>
        <w:tc>
          <w:tcPr>
            <w:tcW w:w="2070" w:type="dxa"/>
            <w:vMerge/>
            <w:shd w:val="clear" w:color="auto" w:fill="BFBFBF" w:themeFill="background1" w:themeFillShade="BF"/>
            <w:noWrap/>
            <w:vAlign w:val="center"/>
            <w:hideMark/>
          </w:tcPr>
          <w:p w14:paraId="256213DA"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p>
        </w:tc>
        <w:tc>
          <w:tcPr>
            <w:tcW w:w="1710" w:type="dxa"/>
            <w:shd w:val="clear" w:color="auto" w:fill="BFBFBF" w:themeFill="background1" w:themeFillShade="BF"/>
            <w:noWrap/>
            <w:vAlign w:val="center"/>
            <w:hideMark/>
          </w:tcPr>
          <w:p w14:paraId="3EA0618B"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CSA</w:t>
            </w:r>
          </w:p>
        </w:tc>
        <w:tc>
          <w:tcPr>
            <w:tcW w:w="1080" w:type="dxa"/>
            <w:shd w:val="clear" w:color="auto" w:fill="BFBFBF" w:themeFill="background1" w:themeFillShade="BF"/>
            <w:noWrap/>
            <w:vAlign w:val="bottom"/>
            <w:hideMark/>
          </w:tcPr>
          <w:p w14:paraId="29CAF90C" w14:textId="77777777" w:rsidR="00574918" w:rsidRPr="00574918" w:rsidRDefault="00574918" w:rsidP="00574918">
            <w:pPr>
              <w:spacing w:after="0" w:line="240" w:lineRule="auto"/>
              <w:jc w:val="center"/>
              <w:rPr>
                <w:rFonts w:ascii="Times New Roman" w:eastAsia="Times New Roman" w:hAnsi="Times New Roman" w:cs="Times New Roman"/>
                <w:sz w:val="20"/>
                <w:szCs w:val="20"/>
              </w:rPr>
            </w:pPr>
            <w:r w:rsidRPr="00574918">
              <w:rPr>
                <w:rFonts w:ascii="Times New Roman" w:eastAsia="Times New Roman" w:hAnsi="Times New Roman" w:cs="Times New Roman"/>
                <w:sz w:val="20"/>
                <w:szCs w:val="20"/>
              </w:rPr>
              <w:t>0.579</w:t>
            </w:r>
          </w:p>
        </w:tc>
        <w:tc>
          <w:tcPr>
            <w:tcW w:w="1080" w:type="dxa"/>
            <w:shd w:val="clear" w:color="auto" w:fill="BFBFBF" w:themeFill="background1" w:themeFillShade="BF"/>
            <w:noWrap/>
            <w:vAlign w:val="bottom"/>
            <w:hideMark/>
          </w:tcPr>
          <w:p w14:paraId="6AC11C3F" w14:textId="77777777" w:rsidR="00574918" w:rsidRPr="00574918" w:rsidRDefault="00574918" w:rsidP="00574918">
            <w:pPr>
              <w:spacing w:after="0" w:line="240" w:lineRule="auto"/>
              <w:jc w:val="center"/>
              <w:rPr>
                <w:rFonts w:ascii="Times New Roman" w:eastAsia="Times New Roman" w:hAnsi="Times New Roman" w:cs="Times New Roman"/>
                <w:sz w:val="20"/>
                <w:szCs w:val="20"/>
              </w:rPr>
            </w:pPr>
            <w:r w:rsidRPr="00574918">
              <w:rPr>
                <w:rFonts w:ascii="Times New Roman" w:eastAsia="Times New Roman" w:hAnsi="Times New Roman" w:cs="Times New Roman"/>
                <w:sz w:val="20"/>
                <w:szCs w:val="20"/>
              </w:rPr>
              <w:t>0.570</w:t>
            </w:r>
          </w:p>
        </w:tc>
        <w:tc>
          <w:tcPr>
            <w:tcW w:w="1080" w:type="dxa"/>
            <w:shd w:val="clear" w:color="auto" w:fill="BFBFBF" w:themeFill="background1" w:themeFillShade="BF"/>
            <w:noWrap/>
            <w:vAlign w:val="bottom"/>
            <w:hideMark/>
          </w:tcPr>
          <w:p w14:paraId="0D658364" w14:textId="77777777" w:rsidR="00574918" w:rsidRPr="00574918" w:rsidRDefault="00574918" w:rsidP="00574918">
            <w:pPr>
              <w:spacing w:after="0" w:line="240" w:lineRule="auto"/>
              <w:jc w:val="center"/>
              <w:rPr>
                <w:rFonts w:ascii="Times New Roman" w:eastAsia="Times New Roman" w:hAnsi="Times New Roman" w:cs="Times New Roman"/>
                <w:sz w:val="20"/>
                <w:szCs w:val="20"/>
              </w:rPr>
            </w:pPr>
            <w:r w:rsidRPr="00574918">
              <w:rPr>
                <w:rFonts w:ascii="Times New Roman" w:eastAsia="Times New Roman" w:hAnsi="Times New Roman" w:cs="Times New Roman"/>
                <w:sz w:val="20"/>
                <w:szCs w:val="20"/>
              </w:rPr>
              <w:t>0.403</w:t>
            </w:r>
          </w:p>
        </w:tc>
        <w:tc>
          <w:tcPr>
            <w:tcW w:w="1080" w:type="dxa"/>
            <w:shd w:val="clear" w:color="auto" w:fill="BFBFBF" w:themeFill="background1" w:themeFillShade="BF"/>
            <w:noWrap/>
            <w:vAlign w:val="bottom"/>
            <w:hideMark/>
          </w:tcPr>
          <w:p w14:paraId="0A6E5964"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0.536</w:t>
            </w:r>
          </w:p>
        </w:tc>
      </w:tr>
      <w:tr w:rsidR="00574918" w:rsidRPr="00574918" w14:paraId="0F4C8DC6" w14:textId="77777777" w:rsidTr="00132860">
        <w:trPr>
          <w:trHeight w:val="22"/>
        </w:trPr>
        <w:tc>
          <w:tcPr>
            <w:tcW w:w="2070" w:type="dxa"/>
            <w:vMerge w:val="restart"/>
            <w:shd w:val="clear" w:color="auto" w:fill="FFFFFF" w:themeFill="background1"/>
            <w:noWrap/>
            <w:vAlign w:val="center"/>
            <w:hideMark/>
          </w:tcPr>
          <w:p w14:paraId="1E98CF81"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Mechanical Properties</w:t>
            </w:r>
          </w:p>
        </w:tc>
        <w:tc>
          <w:tcPr>
            <w:tcW w:w="1710" w:type="dxa"/>
            <w:shd w:val="clear" w:color="auto" w:fill="FFFFFF" w:themeFill="background1"/>
            <w:noWrap/>
            <w:vAlign w:val="center"/>
            <w:hideMark/>
          </w:tcPr>
          <w:p w14:paraId="675D3FE8"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Shear Modulus</w:t>
            </w:r>
          </w:p>
        </w:tc>
        <w:tc>
          <w:tcPr>
            <w:tcW w:w="1080" w:type="dxa"/>
            <w:shd w:val="clear" w:color="auto" w:fill="FFFFFF" w:themeFill="background1"/>
            <w:noWrap/>
            <w:vAlign w:val="bottom"/>
            <w:hideMark/>
          </w:tcPr>
          <w:p w14:paraId="7F69A263"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0.512</w:t>
            </w:r>
          </w:p>
        </w:tc>
        <w:tc>
          <w:tcPr>
            <w:tcW w:w="1080" w:type="dxa"/>
            <w:shd w:val="clear" w:color="auto" w:fill="FFFFFF" w:themeFill="background1"/>
            <w:noWrap/>
            <w:vAlign w:val="bottom"/>
            <w:hideMark/>
          </w:tcPr>
          <w:p w14:paraId="12879A84"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0.606</w:t>
            </w:r>
          </w:p>
        </w:tc>
        <w:tc>
          <w:tcPr>
            <w:tcW w:w="1080" w:type="dxa"/>
            <w:shd w:val="clear" w:color="auto" w:fill="FFFFFF" w:themeFill="background1"/>
            <w:noWrap/>
            <w:vAlign w:val="bottom"/>
            <w:hideMark/>
          </w:tcPr>
          <w:p w14:paraId="773F78D1"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0.487</w:t>
            </w:r>
          </w:p>
        </w:tc>
        <w:tc>
          <w:tcPr>
            <w:tcW w:w="1080" w:type="dxa"/>
            <w:shd w:val="clear" w:color="auto" w:fill="FFFFFF" w:themeFill="background1"/>
            <w:noWrap/>
            <w:vAlign w:val="bottom"/>
            <w:hideMark/>
          </w:tcPr>
          <w:p w14:paraId="590AD2F9"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0.496</w:t>
            </w:r>
          </w:p>
        </w:tc>
      </w:tr>
      <w:tr w:rsidR="00574918" w:rsidRPr="00574918" w14:paraId="5524C3A6" w14:textId="77777777" w:rsidTr="00132860">
        <w:trPr>
          <w:trHeight w:val="22"/>
        </w:trPr>
        <w:tc>
          <w:tcPr>
            <w:tcW w:w="2070" w:type="dxa"/>
            <w:vMerge/>
            <w:shd w:val="clear" w:color="auto" w:fill="FFFFFF" w:themeFill="background1"/>
            <w:noWrap/>
            <w:vAlign w:val="center"/>
            <w:hideMark/>
          </w:tcPr>
          <w:p w14:paraId="06E7AD50"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p>
        </w:tc>
        <w:tc>
          <w:tcPr>
            <w:tcW w:w="1710" w:type="dxa"/>
            <w:shd w:val="clear" w:color="auto" w:fill="FFFFFF" w:themeFill="background1"/>
            <w:noWrap/>
            <w:vAlign w:val="center"/>
            <w:hideMark/>
          </w:tcPr>
          <w:p w14:paraId="00F09B60"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Viscosity</w:t>
            </w:r>
          </w:p>
        </w:tc>
        <w:tc>
          <w:tcPr>
            <w:tcW w:w="1080" w:type="dxa"/>
            <w:shd w:val="clear" w:color="auto" w:fill="FFFFFF" w:themeFill="background1"/>
            <w:noWrap/>
            <w:vAlign w:val="bottom"/>
            <w:hideMark/>
          </w:tcPr>
          <w:p w14:paraId="29856607"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0.771</w:t>
            </w:r>
          </w:p>
        </w:tc>
        <w:tc>
          <w:tcPr>
            <w:tcW w:w="1080" w:type="dxa"/>
            <w:shd w:val="clear" w:color="auto" w:fill="FFFFFF" w:themeFill="background1"/>
            <w:noWrap/>
            <w:vAlign w:val="bottom"/>
            <w:hideMark/>
          </w:tcPr>
          <w:p w14:paraId="7DA7DE33"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0.476</w:t>
            </w:r>
          </w:p>
        </w:tc>
        <w:tc>
          <w:tcPr>
            <w:tcW w:w="1080" w:type="dxa"/>
            <w:shd w:val="clear" w:color="auto" w:fill="FFFFFF" w:themeFill="background1"/>
            <w:noWrap/>
            <w:vAlign w:val="bottom"/>
            <w:hideMark/>
          </w:tcPr>
          <w:p w14:paraId="2C04570F"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0.109</w:t>
            </w:r>
          </w:p>
        </w:tc>
        <w:tc>
          <w:tcPr>
            <w:tcW w:w="1080" w:type="dxa"/>
            <w:shd w:val="clear" w:color="auto" w:fill="FFFFFF" w:themeFill="background1"/>
            <w:noWrap/>
            <w:vAlign w:val="bottom"/>
            <w:hideMark/>
          </w:tcPr>
          <w:p w14:paraId="3D8C945F"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0.746</w:t>
            </w:r>
          </w:p>
        </w:tc>
      </w:tr>
      <w:tr w:rsidR="00574918" w:rsidRPr="00574918" w14:paraId="020BDFD5" w14:textId="77777777" w:rsidTr="00132860">
        <w:trPr>
          <w:trHeight w:val="22"/>
        </w:trPr>
        <w:tc>
          <w:tcPr>
            <w:tcW w:w="2070" w:type="dxa"/>
            <w:vMerge w:val="restart"/>
            <w:shd w:val="clear" w:color="auto" w:fill="BFBFBF" w:themeFill="background1" w:themeFillShade="BF"/>
            <w:noWrap/>
            <w:vAlign w:val="center"/>
            <w:hideMark/>
          </w:tcPr>
          <w:p w14:paraId="7E72878D"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Lower Extremity Function</w:t>
            </w:r>
          </w:p>
        </w:tc>
        <w:tc>
          <w:tcPr>
            <w:tcW w:w="1710" w:type="dxa"/>
            <w:shd w:val="clear" w:color="auto" w:fill="BFBFBF" w:themeFill="background1" w:themeFillShade="BF"/>
            <w:noWrap/>
            <w:vAlign w:val="center"/>
            <w:hideMark/>
          </w:tcPr>
          <w:p w14:paraId="0AC71AAC"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CMJ Height</w:t>
            </w:r>
          </w:p>
        </w:tc>
        <w:tc>
          <w:tcPr>
            <w:tcW w:w="1080" w:type="dxa"/>
            <w:shd w:val="clear" w:color="auto" w:fill="BFBFBF" w:themeFill="background1" w:themeFillShade="BF"/>
            <w:noWrap/>
            <w:vAlign w:val="bottom"/>
            <w:hideMark/>
          </w:tcPr>
          <w:p w14:paraId="1356E213"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3.608</w:t>
            </w:r>
          </w:p>
        </w:tc>
        <w:tc>
          <w:tcPr>
            <w:tcW w:w="1080" w:type="dxa"/>
            <w:shd w:val="clear" w:color="auto" w:fill="BFBFBF" w:themeFill="background1" w:themeFillShade="BF"/>
            <w:noWrap/>
            <w:vAlign w:val="bottom"/>
            <w:hideMark/>
          </w:tcPr>
          <w:p w14:paraId="072B9F1D" w14:textId="77777777" w:rsidR="00574918" w:rsidRPr="00574918" w:rsidRDefault="00574918" w:rsidP="00574918">
            <w:pPr>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0.046</w:t>
            </w:r>
          </w:p>
        </w:tc>
        <w:tc>
          <w:tcPr>
            <w:tcW w:w="1080" w:type="dxa"/>
            <w:shd w:val="clear" w:color="auto" w:fill="BFBFBF" w:themeFill="background1" w:themeFillShade="BF"/>
            <w:noWrap/>
            <w:vAlign w:val="bottom"/>
            <w:hideMark/>
          </w:tcPr>
          <w:p w14:paraId="2F83D575"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0.011</w:t>
            </w:r>
          </w:p>
        </w:tc>
        <w:tc>
          <w:tcPr>
            <w:tcW w:w="1080" w:type="dxa"/>
            <w:shd w:val="clear" w:color="auto" w:fill="BFBFBF" w:themeFill="background1" w:themeFillShade="BF"/>
            <w:noWrap/>
            <w:vAlign w:val="bottom"/>
            <w:hideMark/>
          </w:tcPr>
          <w:p w14:paraId="6FA0ACA3"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0.918</w:t>
            </w:r>
          </w:p>
        </w:tc>
      </w:tr>
      <w:tr w:rsidR="00574918" w:rsidRPr="00574918" w14:paraId="7092E876" w14:textId="77777777" w:rsidTr="00132860">
        <w:trPr>
          <w:trHeight w:val="22"/>
        </w:trPr>
        <w:tc>
          <w:tcPr>
            <w:tcW w:w="2070" w:type="dxa"/>
            <w:vMerge/>
            <w:shd w:val="clear" w:color="auto" w:fill="BFBFBF" w:themeFill="background1" w:themeFillShade="BF"/>
            <w:noWrap/>
            <w:vAlign w:val="center"/>
            <w:hideMark/>
          </w:tcPr>
          <w:p w14:paraId="1C96902D"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p>
        </w:tc>
        <w:tc>
          <w:tcPr>
            <w:tcW w:w="1710" w:type="dxa"/>
            <w:shd w:val="clear" w:color="auto" w:fill="BFBFBF" w:themeFill="background1" w:themeFillShade="BF"/>
            <w:noWrap/>
            <w:vAlign w:val="center"/>
            <w:hideMark/>
          </w:tcPr>
          <w:p w14:paraId="5725BEC1"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Drop CMJ Height</w:t>
            </w:r>
          </w:p>
        </w:tc>
        <w:tc>
          <w:tcPr>
            <w:tcW w:w="1080" w:type="dxa"/>
            <w:shd w:val="clear" w:color="auto" w:fill="BFBFBF" w:themeFill="background1" w:themeFillShade="BF"/>
            <w:noWrap/>
            <w:vAlign w:val="bottom"/>
            <w:hideMark/>
          </w:tcPr>
          <w:p w14:paraId="5E13C9A1"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0.370</w:t>
            </w:r>
          </w:p>
        </w:tc>
        <w:tc>
          <w:tcPr>
            <w:tcW w:w="1080" w:type="dxa"/>
            <w:shd w:val="clear" w:color="auto" w:fill="BFBFBF" w:themeFill="background1" w:themeFillShade="BF"/>
            <w:noWrap/>
            <w:vAlign w:val="bottom"/>
            <w:hideMark/>
          </w:tcPr>
          <w:p w14:paraId="382B0553"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0.695</w:t>
            </w:r>
          </w:p>
        </w:tc>
        <w:tc>
          <w:tcPr>
            <w:tcW w:w="1080" w:type="dxa"/>
            <w:shd w:val="clear" w:color="auto" w:fill="BFBFBF" w:themeFill="background1" w:themeFillShade="BF"/>
            <w:noWrap/>
            <w:vAlign w:val="bottom"/>
            <w:hideMark/>
          </w:tcPr>
          <w:p w14:paraId="657800D7"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0.125</w:t>
            </w:r>
          </w:p>
        </w:tc>
        <w:tc>
          <w:tcPr>
            <w:tcW w:w="1080" w:type="dxa"/>
            <w:shd w:val="clear" w:color="auto" w:fill="BFBFBF" w:themeFill="background1" w:themeFillShade="BF"/>
            <w:noWrap/>
            <w:vAlign w:val="bottom"/>
            <w:hideMark/>
          </w:tcPr>
          <w:p w14:paraId="47C52114"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0.729</w:t>
            </w:r>
          </w:p>
        </w:tc>
      </w:tr>
      <w:tr w:rsidR="00574918" w:rsidRPr="00574918" w14:paraId="6B8D7417" w14:textId="77777777" w:rsidTr="00132860">
        <w:trPr>
          <w:trHeight w:val="22"/>
        </w:trPr>
        <w:tc>
          <w:tcPr>
            <w:tcW w:w="2070" w:type="dxa"/>
            <w:vMerge w:val="restart"/>
            <w:tcBorders>
              <w:bottom w:val="single" w:sz="4" w:space="0" w:color="auto"/>
            </w:tcBorders>
            <w:shd w:val="clear" w:color="auto" w:fill="FFFFFF" w:themeFill="background1"/>
            <w:noWrap/>
            <w:vAlign w:val="center"/>
            <w:hideMark/>
          </w:tcPr>
          <w:p w14:paraId="4EECDBCC"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Quadriceps Muscle Performance</w:t>
            </w:r>
          </w:p>
        </w:tc>
        <w:tc>
          <w:tcPr>
            <w:tcW w:w="1710" w:type="dxa"/>
            <w:shd w:val="clear" w:color="auto" w:fill="FFFFFF" w:themeFill="background1"/>
            <w:noWrap/>
            <w:vAlign w:val="center"/>
            <w:hideMark/>
          </w:tcPr>
          <w:p w14:paraId="6FB8EE5C"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MVIC</w:t>
            </w:r>
          </w:p>
        </w:tc>
        <w:tc>
          <w:tcPr>
            <w:tcW w:w="1080" w:type="dxa"/>
            <w:shd w:val="clear" w:color="auto" w:fill="FFFFFF" w:themeFill="background1"/>
            <w:noWrap/>
            <w:vAlign w:val="bottom"/>
            <w:hideMark/>
          </w:tcPr>
          <w:p w14:paraId="249D23AE"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2.068</w:t>
            </w:r>
          </w:p>
        </w:tc>
        <w:tc>
          <w:tcPr>
            <w:tcW w:w="1080" w:type="dxa"/>
            <w:shd w:val="clear" w:color="auto" w:fill="FFFFFF" w:themeFill="background1"/>
            <w:noWrap/>
            <w:vAlign w:val="bottom"/>
            <w:hideMark/>
          </w:tcPr>
          <w:p w14:paraId="3B6E7F30"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0.150</w:t>
            </w:r>
          </w:p>
        </w:tc>
        <w:tc>
          <w:tcPr>
            <w:tcW w:w="1080" w:type="dxa"/>
            <w:shd w:val="clear" w:color="auto" w:fill="FFFFFF" w:themeFill="background1"/>
            <w:noWrap/>
            <w:vAlign w:val="bottom"/>
            <w:hideMark/>
          </w:tcPr>
          <w:p w14:paraId="19121807"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3.743</w:t>
            </w:r>
          </w:p>
        </w:tc>
        <w:tc>
          <w:tcPr>
            <w:tcW w:w="1080" w:type="dxa"/>
            <w:shd w:val="clear" w:color="auto" w:fill="FFFFFF" w:themeFill="background1"/>
            <w:noWrap/>
            <w:vAlign w:val="bottom"/>
            <w:hideMark/>
          </w:tcPr>
          <w:p w14:paraId="663071DF"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0.078</w:t>
            </w:r>
          </w:p>
        </w:tc>
      </w:tr>
      <w:tr w:rsidR="00574918" w:rsidRPr="00574918" w14:paraId="672C1F20" w14:textId="77777777" w:rsidTr="00132860">
        <w:trPr>
          <w:trHeight w:val="22"/>
        </w:trPr>
        <w:tc>
          <w:tcPr>
            <w:tcW w:w="2070" w:type="dxa"/>
            <w:vMerge/>
            <w:tcBorders>
              <w:bottom w:val="single" w:sz="4" w:space="0" w:color="auto"/>
            </w:tcBorders>
            <w:shd w:val="clear" w:color="auto" w:fill="FFFFFF" w:themeFill="background1"/>
            <w:noWrap/>
            <w:vAlign w:val="bottom"/>
            <w:hideMark/>
          </w:tcPr>
          <w:p w14:paraId="2CAB8EC4" w14:textId="77777777" w:rsidR="00574918" w:rsidRPr="00574918" w:rsidRDefault="00574918" w:rsidP="00574918">
            <w:pPr>
              <w:spacing w:after="0" w:line="240" w:lineRule="auto"/>
              <w:jc w:val="right"/>
              <w:rPr>
                <w:rFonts w:ascii="Times New Roman" w:eastAsia="Times New Roman" w:hAnsi="Times New Roman" w:cs="Times New Roman"/>
                <w:color w:val="000000"/>
                <w:sz w:val="20"/>
                <w:szCs w:val="20"/>
              </w:rPr>
            </w:pPr>
          </w:p>
        </w:tc>
        <w:tc>
          <w:tcPr>
            <w:tcW w:w="1710" w:type="dxa"/>
            <w:tcBorders>
              <w:bottom w:val="single" w:sz="4" w:space="0" w:color="auto"/>
            </w:tcBorders>
            <w:shd w:val="clear" w:color="auto" w:fill="FFFFFF" w:themeFill="background1"/>
            <w:noWrap/>
            <w:vAlign w:val="center"/>
            <w:hideMark/>
          </w:tcPr>
          <w:p w14:paraId="4C90CB25"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CAR</w:t>
            </w:r>
          </w:p>
        </w:tc>
        <w:tc>
          <w:tcPr>
            <w:tcW w:w="1080" w:type="dxa"/>
            <w:tcBorders>
              <w:bottom w:val="single" w:sz="4" w:space="0" w:color="auto"/>
            </w:tcBorders>
            <w:shd w:val="clear" w:color="auto" w:fill="FFFFFF" w:themeFill="background1"/>
            <w:noWrap/>
            <w:vAlign w:val="bottom"/>
            <w:hideMark/>
          </w:tcPr>
          <w:p w14:paraId="69CE3164"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1.787</w:t>
            </w:r>
          </w:p>
        </w:tc>
        <w:tc>
          <w:tcPr>
            <w:tcW w:w="1080" w:type="dxa"/>
            <w:tcBorders>
              <w:bottom w:val="single" w:sz="4" w:space="0" w:color="auto"/>
            </w:tcBorders>
            <w:shd w:val="clear" w:color="auto" w:fill="FFFFFF" w:themeFill="background1"/>
            <w:noWrap/>
            <w:vAlign w:val="bottom"/>
            <w:hideMark/>
          </w:tcPr>
          <w:p w14:paraId="2649B933"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0.199</w:t>
            </w:r>
          </w:p>
        </w:tc>
        <w:tc>
          <w:tcPr>
            <w:tcW w:w="1080" w:type="dxa"/>
            <w:tcBorders>
              <w:bottom w:val="single" w:sz="4" w:space="0" w:color="auto"/>
            </w:tcBorders>
            <w:shd w:val="clear" w:color="auto" w:fill="FFFFFF" w:themeFill="background1"/>
            <w:noWrap/>
            <w:vAlign w:val="bottom"/>
            <w:hideMark/>
          </w:tcPr>
          <w:p w14:paraId="75529445"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3.326</w:t>
            </w:r>
          </w:p>
        </w:tc>
        <w:tc>
          <w:tcPr>
            <w:tcW w:w="1080" w:type="dxa"/>
            <w:tcBorders>
              <w:bottom w:val="single" w:sz="4" w:space="0" w:color="auto"/>
            </w:tcBorders>
            <w:shd w:val="clear" w:color="auto" w:fill="FFFFFF" w:themeFill="background1"/>
            <w:noWrap/>
            <w:vAlign w:val="bottom"/>
            <w:hideMark/>
          </w:tcPr>
          <w:p w14:paraId="7C0F047D"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0.099</w:t>
            </w:r>
          </w:p>
        </w:tc>
      </w:tr>
    </w:tbl>
    <w:p w14:paraId="22B3083C" w14:textId="77777777" w:rsidR="00574918" w:rsidRDefault="00574918" w:rsidP="00574918">
      <w:pPr>
        <w:keepLines/>
        <w:spacing w:after="0" w:line="480" w:lineRule="auto"/>
        <w:rPr>
          <w:rFonts w:ascii="Times New Roman" w:eastAsia="Times New Roman" w:hAnsi="Times New Roman" w:cs="Times New Roman"/>
          <w:sz w:val="24"/>
          <w:szCs w:val="24"/>
        </w:rPr>
      </w:pPr>
      <w:bookmarkStart w:id="7" w:name="_Hlk38298780"/>
      <w:r w:rsidRPr="00574918">
        <w:rPr>
          <w:rFonts w:ascii="Times New Roman" w:eastAsia="Times New Roman" w:hAnsi="Times New Roman" w:cs="Times New Roman"/>
          <w:sz w:val="24"/>
          <w:szCs w:val="24"/>
        </w:rPr>
        <w:t>CSA = cross-sectional area; CMJ = counter-movement jump; MVIC = maximal voluntary isometric contraction; CAR = central activation ratio.</w:t>
      </w:r>
    </w:p>
    <w:p w14:paraId="494FB811" w14:textId="77777777" w:rsidR="00574918" w:rsidRDefault="00574918">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12554EF4" w14:textId="35A07163" w:rsidR="00574918" w:rsidRPr="00574918" w:rsidRDefault="00574918" w:rsidP="00574918">
      <w:pPr>
        <w:rPr>
          <w:rFonts w:ascii="Times New Roman" w:hAnsi="Times New Roman" w:cs="Times New Roman"/>
        </w:rPr>
      </w:pPr>
      <w:bookmarkStart w:id="8" w:name="_Toc40441914"/>
      <w:r w:rsidRPr="00574918">
        <w:rPr>
          <w:rFonts w:ascii="Times New Roman" w:hAnsi="Times New Roman" w:cs="Times New Roman"/>
          <w:b/>
        </w:rPr>
        <w:lastRenderedPageBreak/>
        <w:t>Table S.</w:t>
      </w:r>
      <w:r w:rsidR="006A5BB7">
        <w:rPr>
          <w:rFonts w:ascii="Times New Roman" w:hAnsi="Times New Roman" w:cs="Times New Roman"/>
          <w:b/>
        </w:rPr>
        <w:t>4</w:t>
      </w:r>
      <w:r w:rsidRPr="00574918">
        <w:rPr>
          <w:rFonts w:ascii="Times New Roman" w:hAnsi="Times New Roman" w:cs="Times New Roman"/>
          <w:b/>
        </w:rPr>
        <w:t>.</w:t>
      </w:r>
      <w:r w:rsidRPr="00574918">
        <w:rPr>
          <w:rFonts w:ascii="Times New Roman" w:hAnsi="Times New Roman" w:cs="Times New Roman"/>
        </w:rPr>
        <w:t xml:space="preserve"> Estimated marginal means, standard error and pair-wise comparisons of timepoints for the pooled sample prior to outlier removal.</w:t>
      </w:r>
      <w:bookmarkEnd w:id="8"/>
    </w:p>
    <w:tbl>
      <w:tblPr>
        <w:tblW w:w="11875" w:type="dxa"/>
        <w:tblLayout w:type="fixed"/>
        <w:tblCellMar>
          <w:top w:w="58" w:type="dxa"/>
          <w:left w:w="115" w:type="dxa"/>
          <w:bottom w:w="58" w:type="dxa"/>
          <w:right w:w="115" w:type="dxa"/>
        </w:tblCellMar>
        <w:tblLook w:val="04A0" w:firstRow="1" w:lastRow="0" w:firstColumn="1" w:lastColumn="0" w:noHBand="0" w:noVBand="1"/>
      </w:tblPr>
      <w:tblGrid>
        <w:gridCol w:w="1752"/>
        <w:gridCol w:w="1432"/>
        <w:gridCol w:w="804"/>
        <w:gridCol w:w="804"/>
        <w:gridCol w:w="805"/>
        <w:gridCol w:w="804"/>
        <w:gridCol w:w="804"/>
        <w:gridCol w:w="805"/>
        <w:gridCol w:w="1288"/>
        <w:gridCol w:w="1288"/>
        <w:gridCol w:w="1289"/>
      </w:tblGrid>
      <w:tr w:rsidR="00574918" w:rsidRPr="00574918" w14:paraId="1B40CC04" w14:textId="77777777" w:rsidTr="00E25757">
        <w:trPr>
          <w:trHeight w:val="139"/>
        </w:trPr>
        <w:tc>
          <w:tcPr>
            <w:tcW w:w="1752" w:type="dxa"/>
            <w:vMerge w:val="restart"/>
            <w:tcBorders>
              <w:top w:val="single" w:sz="4" w:space="0" w:color="auto"/>
            </w:tcBorders>
            <w:shd w:val="clear" w:color="auto" w:fill="auto"/>
            <w:noWrap/>
            <w:vAlign w:val="center"/>
            <w:hideMark/>
          </w:tcPr>
          <w:p w14:paraId="6DC293E5" w14:textId="77777777" w:rsidR="00574918" w:rsidRPr="00574918" w:rsidRDefault="00574918" w:rsidP="00574918">
            <w:pPr>
              <w:spacing w:after="0" w:line="240" w:lineRule="auto"/>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Category</w:t>
            </w:r>
          </w:p>
        </w:tc>
        <w:tc>
          <w:tcPr>
            <w:tcW w:w="1432" w:type="dxa"/>
            <w:vMerge w:val="restart"/>
            <w:tcBorders>
              <w:top w:val="single" w:sz="4" w:space="0" w:color="auto"/>
            </w:tcBorders>
            <w:shd w:val="clear" w:color="auto" w:fill="auto"/>
            <w:noWrap/>
            <w:vAlign w:val="center"/>
            <w:hideMark/>
          </w:tcPr>
          <w:p w14:paraId="5CB0AD4E" w14:textId="77777777" w:rsidR="00574918" w:rsidRPr="00574918" w:rsidRDefault="00574918" w:rsidP="00574918">
            <w:pPr>
              <w:spacing w:after="0" w:line="240" w:lineRule="auto"/>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Outcome</w:t>
            </w:r>
          </w:p>
        </w:tc>
        <w:tc>
          <w:tcPr>
            <w:tcW w:w="1608" w:type="dxa"/>
            <w:gridSpan w:val="2"/>
            <w:tcBorders>
              <w:top w:val="single" w:sz="4" w:space="0" w:color="auto"/>
              <w:bottom w:val="single" w:sz="4" w:space="0" w:color="auto"/>
            </w:tcBorders>
            <w:shd w:val="clear" w:color="auto" w:fill="auto"/>
            <w:noWrap/>
            <w:vAlign w:val="center"/>
            <w:hideMark/>
          </w:tcPr>
          <w:p w14:paraId="00F55F95"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Baseline</w:t>
            </w:r>
          </w:p>
        </w:tc>
        <w:tc>
          <w:tcPr>
            <w:tcW w:w="1609" w:type="dxa"/>
            <w:gridSpan w:val="2"/>
            <w:tcBorders>
              <w:top w:val="single" w:sz="4" w:space="0" w:color="auto"/>
              <w:bottom w:val="single" w:sz="4" w:space="0" w:color="auto"/>
            </w:tcBorders>
            <w:shd w:val="clear" w:color="auto" w:fill="auto"/>
            <w:noWrap/>
            <w:vAlign w:val="center"/>
            <w:hideMark/>
          </w:tcPr>
          <w:p w14:paraId="60608D3A"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6-Weeks</w:t>
            </w:r>
          </w:p>
        </w:tc>
        <w:tc>
          <w:tcPr>
            <w:tcW w:w="1609" w:type="dxa"/>
            <w:gridSpan w:val="2"/>
            <w:tcBorders>
              <w:top w:val="single" w:sz="4" w:space="0" w:color="auto"/>
              <w:bottom w:val="single" w:sz="4" w:space="0" w:color="auto"/>
            </w:tcBorders>
            <w:shd w:val="clear" w:color="auto" w:fill="auto"/>
            <w:noWrap/>
            <w:vAlign w:val="center"/>
            <w:hideMark/>
          </w:tcPr>
          <w:p w14:paraId="7316C974"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12-Weeks</w:t>
            </w:r>
          </w:p>
        </w:tc>
        <w:tc>
          <w:tcPr>
            <w:tcW w:w="3865" w:type="dxa"/>
            <w:gridSpan w:val="3"/>
            <w:tcBorders>
              <w:top w:val="single" w:sz="4" w:space="0" w:color="auto"/>
              <w:bottom w:val="single" w:sz="4" w:space="0" w:color="auto"/>
            </w:tcBorders>
            <w:shd w:val="clear" w:color="auto" w:fill="auto"/>
            <w:noWrap/>
            <w:vAlign w:val="center"/>
            <w:hideMark/>
          </w:tcPr>
          <w:p w14:paraId="4C3B5536"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p-values</w:t>
            </w:r>
          </w:p>
        </w:tc>
      </w:tr>
      <w:tr w:rsidR="00574918" w:rsidRPr="00574918" w14:paraId="580D07DE" w14:textId="77777777" w:rsidTr="00E25757">
        <w:trPr>
          <w:trHeight w:val="20"/>
        </w:trPr>
        <w:tc>
          <w:tcPr>
            <w:tcW w:w="1752" w:type="dxa"/>
            <w:vMerge/>
            <w:tcBorders>
              <w:bottom w:val="single" w:sz="4" w:space="0" w:color="auto"/>
            </w:tcBorders>
            <w:shd w:val="clear" w:color="auto" w:fill="auto"/>
            <w:noWrap/>
            <w:vAlign w:val="bottom"/>
            <w:hideMark/>
          </w:tcPr>
          <w:p w14:paraId="1FDF6F4D"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p>
        </w:tc>
        <w:tc>
          <w:tcPr>
            <w:tcW w:w="1432" w:type="dxa"/>
            <w:vMerge/>
            <w:tcBorders>
              <w:bottom w:val="single" w:sz="4" w:space="0" w:color="auto"/>
            </w:tcBorders>
            <w:shd w:val="clear" w:color="auto" w:fill="auto"/>
            <w:noWrap/>
            <w:vAlign w:val="bottom"/>
            <w:hideMark/>
          </w:tcPr>
          <w:p w14:paraId="59BD9924" w14:textId="77777777" w:rsidR="00574918" w:rsidRPr="00574918" w:rsidRDefault="00574918" w:rsidP="00574918">
            <w:pPr>
              <w:spacing w:after="0" w:line="240" w:lineRule="auto"/>
              <w:jc w:val="center"/>
              <w:rPr>
                <w:rFonts w:ascii="Times New Roman" w:eastAsia="Times New Roman" w:hAnsi="Times New Roman" w:cs="Times New Roman"/>
                <w:sz w:val="20"/>
                <w:szCs w:val="20"/>
              </w:rPr>
            </w:pPr>
          </w:p>
        </w:tc>
        <w:tc>
          <w:tcPr>
            <w:tcW w:w="804" w:type="dxa"/>
            <w:tcBorders>
              <w:top w:val="single" w:sz="4" w:space="0" w:color="auto"/>
              <w:bottom w:val="single" w:sz="4" w:space="0" w:color="auto"/>
            </w:tcBorders>
            <w:shd w:val="clear" w:color="auto" w:fill="auto"/>
            <w:noWrap/>
            <w:vAlign w:val="bottom"/>
            <w:hideMark/>
          </w:tcPr>
          <w:p w14:paraId="59A8CE72"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M</w:t>
            </w:r>
          </w:p>
        </w:tc>
        <w:tc>
          <w:tcPr>
            <w:tcW w:w="804" w:type="dxa"/>
            <w:tcBorders>
              <w:top w:val="single" w:sz="4" w:space="0" w:color="auto"/>
              <w:bottom w:val="single" w:sz="4" w:space="0" w:color="auto"/>
            </w:tcBorders>
            <w:shd w:val="clear" w:color="auto" w:fill="auto"/>
            <w:noWrap/>
            <w:vAlign w:val="bottom"/>
            <w:hideMark/>
          </w:tcPr>
          <w:p w14:paraId="3C04D97C"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SE</w:t>
            </w:r>
          </w:p>
        </w:tc>
        <w:tc>
          <w:tcPr>
            <w:tcW w:w="805" w:type="dxa"/>
            <w:tcBorders>
              <w:top w:val="single" w:sz="4" w:space="0" w:color="auto"/>
              <w:bottom w:val="single" w:sz="4" w:space="0" w:color="auto"/>
            </w:tcBorders>
            <w:shd w:val="clear" w:color="auto" w:fill="auto"/>
            <w:noWrap/>
            <w:vAlign w:val="bottom"/>
            <w:hideMark/>
          </w:tcPr>
          <w:p w14:paraId="21183D5F"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M</w:t>
            </w:r>
          </w:p>
        </w:tc>
        <w:tc>
          <w:tcPr>
            <w:tcW w:w="804" w:type="dxa"/>
            <w:tcBorders>
              <w:top w:val="single" w:sz="4" w:space="0" w:color="auto"/>
              <w:bottom w:val="single" w:sz="4" w:space="0" w:color="auto"/>
            </w:tcBorders>
            <w:shd w:val="clear" w:color="auto" w:fill="auto"/>
            <w:noWrap/>
            <w:vAlign w:val="bottom"/>
            <w:hideMark/>
          </w:tcPr>
          <w:p w14:paraId="39F71864"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SE</w:t>
            </w:r>
          </w:p>
        </w:tc>
        <w:tc>
          <w:tcPr>
            <w:tcW w:w="804" w:type="dxa"/>
            <w:tcBorders>
              <w:top w:val="single" w:sz="4" w:space="0" w:color="auto"/>
              <w:bottom w:val="single" w:sz="4" w:space="0" w:color="auto"/>
            </w:tcBorders>
            <w:shd w:val="clear" w:color="auto" w:fill="auto"/>
            <w:noWrap/>
            <w:vAlign w:val="bottom"/>
            <w:hideMark/>
          </w:tcPr>
          <w:p w14:paraId="576F749E"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M</w:t>
            </w:r>
          </w:p>
        </w:tc>
        <w:tc>
          <w:tcPr>
            <w:tcW w:w="805" w:type="dxa"/>
            <w:tcBorders>
              <w:top w:val="single" w:sz="4" w:space="0" w:color="auto"/>
              <w:bottom w:val="single" w:sz="4" w:space="0" w:color="auto"/>
            </w:tcBorders>
            <w:shd w:val="clear" w:color="auto" w:fill="auto"/>
            <w:noWrap/>
            <w:vAlign w:val="bottom"/>
            <w:hideMark/>
          </w:tcPr>
          <w:p w14:paraId="69D9A564"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SE</w:t>
            </w:r>
          </w:p>
        </w:tc>
        <w:tc>
          <w:tcPr>
            <w:tcW w:w="1288" w:type="dxa"/>
            <w:tcBorders>
              <w:top w:val="single" w:sz="4" w:space="0" w:color="auto"/>
              <w:bottom w:val="single" w:sz="4" w:space="0" w:color="auto"/>
            </w:tcBorders>
            <w:shd w:val="clear" w:color="auto" w:fill="auto"/>
            <w:noWrap/>
            <w:vAlign w:val="bottom"/>
            <w:hideMark/>
          </w:tcPr>
          <w:p w14:paraId="5DAADEEB"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Baseline to 6-Weeks</w:t>
            </w:r>
          </w:p>
        </w:tc>
        <w:tc>
          <w:tcPr>
            <w:tcW w:w="1288" w:type="dxa"/>
            <w:tcBorders>
              <w:top w:val="single" w:sz="4" w:space="0" w:color="auto"/>
              <w:bottom w:val="single" w:sz="4" w:space="0" w:color="auto"/>
            </w:tcBorders>
            <w:shd w:val="clear" w:color="auto" w:fill="auto"/>
            <w:noWrap/>
            <w:vAlign w:val="bottom"/>
            <w:hideMark/>
          </w:tcPr>
          <w:p w14:paraId="7F36C54B"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Baseline to 12-Weeks</w:t>
            </w:r>
          </w:p>
        </w:tc>
        <w:tc>
          <w:tcPr>
            <w:tcW w:w="1289" w:type="dxa"/>
            <w:tcBorders>
              <w:top w:val="single" w:sz="4" w:space="0" w:color="auto"/>
              <w:bottom w:val="single" w:sz="4" w:space="0" w:color="auto"/>
            </w:tcBorders>
            <w:shd w:val="clear" w:color="auto" w:fill="auto"/>
            <w:noWrap/>
            <w:vAlign w:val="bottom"/>
            <w:hideMark/>
          </w:tcPr>
          <w:p w14:paraId="733BCBF9"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6-Weeks to 12-Weeks</w:t>
            </w:r>
          </w:p>
        </w:tc>
      </w:tr>
      <w:tr w:rsidR="007516DD" w:rsidRPr="00574918" w14:paraId="2F8477FE" w14:textId="77777777" w:rsidTr="00E01C77">
        <w:trPr>
          <w:trHeight w:val="94"/>
        </w:trPr>
        <w:tc>
          <w:tcPr>
            <w:tcW w:w="1752" w:type="dxa"/>
            <w:vMerge w:val="restart"/>
            <w:tcBorders>
              <w:top w:val="single" w:sz="4" w:space="0" w:color="auto"/>
            </w:tcBorders>
            <w:shd w:val="clear" w:color="auto" w:fill="auto"/>
            <w:noWrap/>
            <w:vAlign w:val="center"/>
            <w:hideMark/>
          </w:tcPr>
          <w:p w14:paraId="06F3A598" w14:textId="77777777" w:rsidR="007516DD" w:rsidRPr="00574918" w:rsidRDefault="007516DD" w:rsidP="00574918">
            <w:pPr>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Symptoms</w:t>
            </w:r>
          </w:p>
        </w:tc>
        <w:tc>
          <w:tcPr>
            <w:tcW w:w="1432" w:type="dxa"/>
            <w:tcBorders>
              <w:top w:val="single" w:sz="4" w:space="0" w:color="auto"/>
            </w:tcBorders>
            <w:shd w:val="clear" w:color="auto" w:fill="auto"/>
            <w:noWrap/>
            <w:vAlign w:val="center"/>
            <w:hideMark/>
          </w:tcPr>
          <w:p w14:paraId="4C2478CE" w14:textId="77777777" w:rsidR="007516DD" w:rsidRPr="00574918" w:rsidRDefault="007516DD"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VISA-P (points)</w:t>
            </w:r>
          </w:p>
        </w:tc>
        <w:tc>
          <w:tcPr>
            <w:tcW w:w="804" w:type="dxa"/>
            <w:tcBorders>
              <w:top w:val="single" w:sz="4" w:space="0" w:color="auto"/>
            </w:tcBorders>
            <w:shd w:val="clear" w:color="auto" w:fill="auto"/>
            <w:noWrap/>
            <w:vAlign w:val="center"/>
            <w:hideMark/>
          </w:tcPr>
          <w:p w14:paraId="2E3B66B5" w14:textId="77777777"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59.6</w:t>
            </w:r>
          </w:p>
        </w:tc>
        <w:tc>
          <w:tcPr>
            <w:tcW w:w="804" w:type="dxa"/>
            <w:tcBorders>
              <w:top w:val="single" w:sz="4" w:space="0" w:color="auto"/>
            </w:tcBorders>
            <w:shd w:val="clear" w:color="auto" w:fill="auto"/>
            <w:noWrap/>
            <w:vAlign w:val="center"/>
            <w:hideMark/>
          </w:tcPr>
          <w:p w14:paraId="37DFE880" w14:textId="77777777"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3.8</w:t>
            </w:r>
          </w:p>
        </w:tc>
        <w:tc>
          <w:tcPr>
            <w:tcW w:w="805" w:type="dxa"/>
            <w:tcBorders>
              <w:top w:val="single" w:sz="4" w:space="0" w:color="auto"/>
            </w:tcBorders>
            <w:shd w:val="clear" w:color="auto" w:fill="auto"/>
            <w:noWrap/>
            <w:vAlign w:val="center"/>
            <w:hideMark/>
          </w:tcPr>
          <w:p w14:paraId="23E73990" w14:textId="77777777"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68.8</w:t>
            </w:r>
          </w:p>
        </w:tc>
        <w:tc>
          <w:tcPr>
            <w:tcW w:w="804" w:type="dxa"/>
            <w:tcBorders>
              <w:top w:val="single" w:sz="4" w:space="0" w:color="auto"/>
            </w:tcBorders>
            <w:shd w:val="clear" w:color="auto" w:fill="auto"/>
            <w:noWrap/>
            <w:vAlign w:val="center"/>
            <w:hideMark/>
          </w:tcPr>
          <w:p w14:paraId="78981297" w14:textId="77777777"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3.8</w:t>
            </w:r>
          </w:p>
        </w:tc>
        <w:tc>
          <w:tcPr>
            <w:tcW w:w="804" w:type="dxa"/>
            <w:tcBorders>
              <w:top w:val="single" w:sz="4" w:space="0" w:color="auto"/>
            </w:tcBorders>
            <w:shd w:val="clear" w:color="auto" w:fill="auto"/>
            <w:noWrap/>
            <w:vAlign w:val="center"/>
            <w:hideMark/>
          </w:tcPr>
          <w:p w14:paraId="7D0E1D6B" w14:textId="77777777"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75.6</w:t>
            </w:r>
          </w:p>
        </w:tc>
        <w:tc>
          <w:tcPr>
            <w:tcW w:w="805" w:type="dxa"/>
            <w:tcBorders>
              <w:top w:val="single" w:sz="4" w:space="0" w:color="auto"/>
            </w:tcBorders>
            <w:shd w:val="clear" w:color="auto" w:fill="auto"/>
            <w:noWrap/>
            <w:vAlign w:val="center"/>
            <w:hideMark/>
          </w:tcPr>
          <w:p w14:paraId="218B87BC" w14:textId="77777777"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4.0</w:t>
            </w:r>
          </w:p>
        </w:tc>
        <w:tc>
          <w:tcPr>
            <w:tcW w:w="1288" w:type="dxa"/>
            <w:tcBorders>
              <w:top w:val="single" w:sz="4" w:space="0" w:color="auto"/>
            </w:tcBorders>
            <w:shd w:val="clear" w:color="auto" w:fill="auto"/>
            <w:noWrap/>
            <w:vAlign w:val="center"/>
            <w:hideMark/>
          </w:tcPr>
          <w:p w14:paraId="00E30680" w14:textId="77777777" w:rsidR="007516DD" w:rsidRPr="00574918" w:rsidRDefault="007516DD" w:rsidP="00574918">
            <w:pPr>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0.043</w:t>
            </w:r>
          </w:p>
        </w:tc>
        <w:tc>
          <w:tcPr>
            <w:tcW w:w="1288" w:type="dxa"/>
            <w:tcBorders>
              <w:top w:val="single" w:sz="4" w:space="0" w:color="auto"/>
            </w:tcBorders>
            <w:shd w:val="clear" w:color="auto" w:fill="auto"/>
            <w:noWrap/>
            <w:vAlign w:val="center"/>
            <w:hideMark/>
          </w:tcPr>
          <w:p w14:paraId="207D0FC1" w14:textId="77777777" w:rsidR="007516DD" w:rsidRPr="00574918" w:rsidRDefault="007516DD" w:rsidP="00574918">
            <w:pPr>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0.001</w:t>
            </w:r>
          </w:p>
        </w:tc>
        <w:tc>
          <w:tcPr>
            <w:tcW w:w="1289" w:type="dxa"/>
            <w:tcBorders>
              <w:top w:val="single" w:sz="4" w:space="0" w:color="auto"/>
            </w:tcBorders>
            <w:shd w:val="clear" w:color="auto" w:fill="auto"/>
            <w:noWrap/>
            <w:vAlign w:val="center"/>
            <w:hideMark/>
          </w:tcPr>
          <w:p w14:paraId="78D21BE1" w14:textId="77777777"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0.136</w:t>
            </w:r>
          </w:p>
        </w:tc>
      </w:tr>
      <w:tr w:rsidR="007516DD" w:rsidRPr="00574918" w14:paraId="0EA1E4FD" w14:textId="77777777" w:rsidTr="00E01C77">
        <w:trPr>
          <w:trHeight w:val="94"/>
        </w:trPr>
        <w:tc>
          <w:tcPr>
            <w:tcW w:w="1752" w:type="dxa"/>
            <w:vMerge/>
            <w:shd w:val="clear" w:color="auto" w:fill="auto"/>
            <w:noWrap/>
            <w:vAlign w:val="center"/>
          </w:tcPr>
          <w:p w14:paraId="5EC7C624" w14:textId="77777777" w:rsidR="007516DD" w:rsidRPr="00574918" w:rsidRDefault="007516DD" w:rsidP="00574918">
            <w:pPr>
              <w:spacing w:after="0" w:line="240" w:lineRule="auto"/>
              <w:rPr>
                <w:rFonts w:ascii="Times New Roman" w:eastAsia="Times New Roman" w:hAnsi="Times New Roman" w:cs="Times New Roman"/>
                <w:b/>
                <w:color w:val="000000"/>
                <w:sz w:val="20"/>
                <w:szCs w:val="20"/>
              </w:rPr>
            </w:pPr>
          </w:p>
        </w:tc>
        <w:tc>
          <w:tcPr>
            <w:tcW w:w="1432" w:type="dxa"/>
            <w:shd w:val="clear" w:color="auto" w:fill="auto"/>
            <w:noWrap/>
            <w:vAlign w:val="center"/>
          </w:tcPr>
          <w:p w14:paraId="31092B58" w14:textId="16473183" w:rsidR="007516DD" w:rsidRPr="00574918" w:rsidRDefault="007516DD" w:rsidP="00574918">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Palpatory Pain (NPRS)</w:t>
            </w:r>
          </w:p>
        </w:tc>
        <w:tc>
          <w:tcPr>
            <w:tcW w:w="804" w:type="dxa"/>
            <w:shd w:val="clear" w:color="auto" w:fill="auto"/>
            <w:noWrap/>
            <w:vAlign w:val="center"/>
          </w:tcPr>
          <w:p w14:paraId="47D0A7C2" w14:textId="51896AB7"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3.8</w:t>
            </w:r>
          </w:p>
        </w:tc>
        <w:tc>
          <w:tcPr>
            <w:tcW w:w="804" w:type="dxa"/>
            <w:shd w:val="clear" w:color="auto" w:fill="auto"/>
            <w:noWrap/>
            <w:vAlign w:val="center"/>
          </w:tcPr>
          <w:p w14:paraId="2AC0A0AF" w14:textId="7EA89263"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0.5</w:t>
            </w:r>
          </w:p>
        </w:tc>
        <w:tc>
          <w:tcPr>
            <w:tcW w:w="805" w:type="dxa"/>
            <w:shd w:val="clear" w:color="auto" w:fill="auto"/>
            <w:noWrap/>
            <w:vAlign w:val="center"/>
          </w:tcPr>
          <w:p w14:paraId="3AE11FEF" w14:textId="0B05A039"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2.8</w:t>
            </w:r>
          </w:p>
        </w:tc>
        <w:tc>
          <w:tcPr>
            <w:tcW w:w="804" w:type="dxa"/>
            <w:shd w:val="clear" w:color="auto" w:fill="auto"/>
            <w:noWrap/>
            <w:vAlign w:val="center"/>
          </w:tcPr>
          <w:p w14:paraId="6992DCCD" w14:textId="0974969D"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0.6</w:t>
            </w:r>
          </w:p>
        </w:tc>
        <w:tc>
          <w:tcPr>
            <w:tcW w:w="804" w:type="dxa"/>
            <w:shd w:val="clear" w:color="auto" w:fill="auto"/>
            <w:noWrap/>
            <w:vAlign w:val="center"/>
          </w:tcPr>
          <w:p w14:paraId="422DA187" w14:textId="5827F2FF"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2.3</w:t>
            </w:r>
          </w:p>
        </w:tc>
        <w:tc>
          <w:tcPr>
            <w:tcW w:w="805" w:type="dxa"/>
            <w:shd w:val="clear" w:color="auto" w:fill="auto"/>
            <w:noWrap/>
            <w:vAlign w:val="center"/>
          </w:tcPr>
          <w:p w14:paraId="6B9A97F3" w14:textId="0DCCDB50"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0.6</w:t>
            </w:r>
          </w:p>
        </w:tc>
        <w:tc>
          <w:tcPr>
            <w:tcW w:w="1288" w:type="dxa"/>
            <w:shd w:val="clear" w:color="auto" w:fill="auto"/>
            <w:noWrap/>
            <w:vAlign w:val="center"/>
          </w:tcPr>
          <w:p w14:paraId="24C4324D" w14:textId="79666138" w:rsidR="007516DD" w:rsidRPr="007516DD" w:rsidRDefault="007516DD" w:rsidP="00574918">
            <w:pPr>
              <w:spacing w:after="0" w:line="240"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0.010</w:t>
            </w:r>
          </w:p>
        </w:tc>
        <w:tc>
          <w:tcPr>
            <w:tcW w:w="1288" w:type="dxa"/>
            <w:shd w:val="clear" w:color="auto" w:fill="auto"/>
            <w:noWrap/>
            <w:vAlign w:val="center"/>
          </w:tcPr>
          <w:p w14:paraId="15CA728A" w14:textId="62331BBD" w:rsidR="007516DD" w:rsidRPr="00574918" w:rsidRDefault="007516DD" w:rsidP="00574918">
            <w:pPr>
              <w:spacing w:after="0" w:line="240"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0.006</w:t>
            </w:r>
          </w:p>
        </w:tc>
        <w:tc>
          <w:tcPr>
            <w:tcW w:w="1289" w:type="dxa"/>
            <w:shd w:val="clear" w:color="auto" w:fill="auto"/>
            <w:noWrap/>
            <w:vAlign w:val="center"/>
          </w:tcPr>
          <w:p w14:paraId="1298E550" w14:textId="33057BEF"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0.347</w:t>
            </w:r>
          </w:p>
        </w:tc>
      </w:tr>
      <w:tr w:rsidR="007516DD" w:rsidRPr="00574918" w14:paraId="58362DBB" w14:textId="77777777" w:rsidTr="00132860">
        <w:trPr>
          <w:trHeight w:val="94"/>
        </w:trPr>
        <w:tc>
          <w:tcPr>
            <w:tcW w:w="1752" w:type="dxa"/>
            <w:shd w:val="clear" w:color="auto" w:fill="D9D9D9" w:themeFill="background1" w:themeFillShade="D9"/>
            <w:noWrap/>
            <w:vAlign w:val="center"/>
          </w:tcPr>
          <w:p w14:paraId="3769838A" w14:textId="1772AD22" w:rsidR="007516DD" w:rsidRPr="00574918" w:rsidRDefault="007516DD" w:rsidP="00574918">
            <w:pPr>
              <w:spacing w:after="0" w:line="240" w:lineRule="auto"/>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Quality of Life</w:t>
            </w:r>
          </w:p>
        </w:tc>
        <w:tc>
          <w:tcPr>
            <w:tcW w:w="1432" w:type="dxa"/>
            <w:shd w:val="clear" w:color="auto" w:fill="D9D9D9" w:themeFill="background1" w:themeFillShade="D9"/>
            <w:noWrap/>
            <w:vAlign w:val="center"/>
          </w:tcPr>
          <w:p w14:paraId="65E82497" w14:textId="03AB6BCD" w:rsidR="007516DD" w:rsidRPr="00574918" w:rsidRDefault="007516DD" w:rsidP="00574918">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KOOS-QOL (%)</w:t>
            </w:r>
          </w:p>
        </w:tc>
        <w:tc>
          <w:tcPr>
            <w:tcW w:w="804" w:type="dxa"/>
            <w:shd w:val="clear" w:color="auto" w:fill="D9D9D9" w:themeFill="background1" w:themeFillShade="D9"/>
            <w:noWrap/>
            <w:vAlign w:val="center"/>
          </w:tcPr>
          <w:p w14:paraId="15D09E6F" w14:textId="41310BA3"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42.4</w:t>
            </w:r>
          </w:p>
        </w:tc>
        <w:tc>
          <w:tcPr>
            <w:tcW w:w="804" w:type="dxa"/>
            <w:shd w:val="clear" w:color="auto" w:fill="D9D9D9" w:themeFill="background1" w:themeFillShade="D9"/>
            <w:noWrap/>
            <w:vAlign w:val="center"/>
          </w:tcPr>
          <w:p w14:paraId="7F5AB92D" w14:textId="32537C51"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3.7</w:t>
            </w:r>
          </w:p>
        </w:tc>
        <w:tc>
          <w:tcPr>
            <w:tcW w:w="805" w:type="dxa"/>
            <w:shd w:val="clear" w:color="auto" w:fill="D9D9D9" w:themeFill="background1" w:themeFillShade="D9"/>
            <w:noWrap/>
            <w:vAlign w:val="center"/>
          </w:tcPr>
          <w:p w14:paraId="567EDDAB" w14:textId="4C1AF680"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58.9</w:t>
            </w:r>
          </w:p>
        </w:tc>
        <w:tc>
          <w:tcPr>
            <w:tcW w:w="804" w:type="dxa"/>
            <w:shd w:val="clear" w:color="auto" w:fill="D9D9D9" w:themeFill="background1" w:themeFillShade="D9"/>
            <w:noWrap/>
            <w:vAlign w:val="center"/>
          </w:tcPr>
          <w:p w14:paraId="5C0ADFBB" w14:textId="730F8D3E"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3.7</w:t>
            </w:r>
          </w:p>
        </w:tc>
        <w:tc>
          <w:tcPr>
            <w:tcW w:w="804" w:type="dxa"/>
            <w:shd w:val="clear" w:color="auto" w:fill="D9D9D9" w:themeFill="background1" w:themeFillShade="D9"/>
            <w:noWrap/>
            <w:vAlign w:val="center"/>
          </w:tcPr>
          <w:p w14:paraId="2835F761" w14:textId="1BC8B26B"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68.0</w:t>
            </w:r>
          </w:p>
        </w:tc>
        <w:tc>
          <w:tcPr>
            <w:tcW w:w="805" w:type="dxa"/>
            <w:shd w:val="clear" w:color="auto" w:fill="D9D9D9" w:themeFill="background1" w:themeFillShade="D9"/>
            <w:noWrap/>
            <w:vAlign w:val="center"/>
          </w:tcPr>
          <w:p w14:paraId="3960140A" w14:textId="4E8001BC"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3.9</w:t>
            </w:r>
          </w:p>
        </w:tc>
        <w:tc>
          <w:tcPr>
            <w:tcW w:w="1288" w:type="dxa"/>
            <w:shd w:val="clear" w:color="auto" w:fill="D9D9D9" w:themeFill="background1" w:themeFillShade="D9"/>
            <w:noWrap/>
            <w:vAlign w:val="center"/>
          </w:tcPr>
          <w:p w14:paraId="35ED8845" w14:textId="317BA446" w:rsidR="007516DD" w:rsidRPr="00574918" w:rsidRDefault="007516DD" w:rsidP="00574918">
            <w:pPr>
              <w:spacing w:after="0" w:line="240"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&lt;0.001</w:t>
            </w:r>
          </w:p>
        </w:tc>
        <w:tc>
          <w:tcPr>
            <w:tcW w:w="1288" w:type="dxa"/>
            <w:shd w:val="clear" w:color="auto" w:fill="D9D9D9" w:themeFill="background1" w:themeFillShade="D9"/>
            <w:noWrap/>
            <w:vAlign w:val="center"/>
          </w:tcPr>
          <w:p w14:paraId="7491813A" w14:textId="1E512470" w:rsidR="007516DD" w:rsidRPr="00574918" w:rsidRDefault="007516DD" w:rsidP="00574918">
            <w:pPr>
              <w:spacing w:after="0" w:line="240"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&lt;0.001</w:t>
            </w:r>
          </w:p>
        </w:tc>
        <w:tc>
          <w:tcPr>
            <w:tcW w:w="1289" w:type="dxa"/>
            <w:shd w:val="clear" w:color="auto" w:fill="D9D9D9" w:themeFill="background1" w:themeFillShade="D9"/>
            <w:noWrap/>
            <w:vAlign w:val="center"/>
          </w:tcPr>
          <w:p w14:paraId="0D1776D3" w14:textId="21A738FE" w:rsidR="007516DD" w:rsidRPr="00132860" w:rsidRDefault="007516DD" w:rsidP="00574918">
            <w:pPr>
              <w:spacing w:after="0" w:line="240" w:lineRule="auto"/>
              <w:jc w:val="center"/>
              <w:rPr>
                <w:rFonts w:ascii="Times New Roman" w:eastAsia="Times New Roman" w:hAnsi="Times New Roman" w:cs="Times New Roman"/>
                <w:b/>
                <w:color w:val="000000"/>
                <w:sz w:val="20"/>
                <w:szCs w:val="20"/>
              </w:rPr>
            </w:pPr>
            <w:r w:rsidRPr="00132860">
              <w:rPr>
                <w:rFonts w:ascii="Times New Roman" w:eastAsia="Times New Roman" w:hAnsi="Times New Roman" w:cs="Times New Roman"/>
                <w:b/>
                <w:color w:val="000000"/>
                <w:sz w:val="20"/>
                <w:szCs w:val="20"/>
              </w:rPr>
              <w:t>0.029</w:t>
            </w:r>
          </w:p>
        </w:tc>
      </w:tr>
      <w:tr w:rsidR="00574918" w:rsidRPr="00574918" w14:paraId="7E632F96" w14:textId="77777777" w:rsidTr="00132860">
        <w:trPr>
          <w:trHeight w:val="68"/>
        </w:trPr>
        <w:tc>
          <w:tcPr>
            <w:tcW w:w="1752" w:type="dxa"/>
            <w:vMerge w:val="restart"/>
            <w:shd w:val="clear" w:color="auto" w:fill="FFFFFF" w:themeFill="background1"/>
            <w:noWrap/>
            <w:vAlign w:val="center"/>
            <w:hideMark/>
          </w:tcPr>
          <w:p w14:paraId="07FC2710"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Psychological Factors</w:t>
            </w:r>
          </w:p>
        </w:tc>
        <w:tc>
          <w:tcPr>
            <w:tcW w:w="1432" w:type="dxa"/>
            <w:shd w:val="clear" w:color="auto" w:fill="FFFFFF" w:themeFill="background1"/>
            <w:noWrap/>
            <w:vAlign w:val="center"/>
            <w:hideMark/>
          </w:tcPr>
          <w:p w14:paraId="6F7357D8"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TSK (points)</w:t>
            </w:r>
          </w:p>
        </w:tc>
        <w:tc>
          <w:tcPr>
            <w:tcW w:w="804" w:type="dxa"/>
            <w:shd w:val="clear" w:color="auto" w:fill="FFFFFF" w:themeFill="background1"/>
            <w:noWrap/>
            <w:vAlign w:val="center"/>
            <w:hideMark/>
          </w:tcPr>
          <w:p w14:paraId="36FDDACD"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36.4</w:t>
            </w:r>
          </w:p>
        </w:tc>
        <w:tc>
          <w:tcPr>
            <w:tcW w:w="804" w:type="dxa"/>
            <w:shd w:val="clear" w:color="auto" w:fill="FFFFFF" w:themeFill="background1"/>
            <w:noWrap/>
            <w:vAlign w:val="center"/>
            <w:hideMark/>
          </w:tcPr>
          <w:p w14:paraId="43BFC283"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1.1</w:t>
            </w:r>
          </w:p>
        </w:tc>
        <w:tc>
          <w:tcPr>
            <w:tcW w:w="805" w:type="dxa"/>
            <w:shd w:val="clear" w:color="auto" w:fill="FFFFFF" w:themeFill="background1"/>
            <w:noWrap/>
            <w:vAlign w:val="center"/>
            <w:hideMark/>
          </w:tcPr>
          <w:p w14:paraId="2E9605D7"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35.8</w:t>
            </w:r>
          </w:p>
        </w:tc>
        <w:tc>
          <w:tcPr>
            <w:tcW w:w="804" w:type="dxa"/>
            <w:shd w:val="clear" w:color="auto" w:fill="FFFFFF" w:themeFill="background1"/>
            <w:noWrap/>
            <w:vAlign w:val="center"/>
            <w:hideMark/>
          </w:tcPr>
          <w:p w14:paraId="4C6AD24F"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1.1</w:t>
            </w:r>
          </w:p>
        </w:tc>
        <w:tc>
          <w:tcPr>
            <w:tcW w:w="804" w:type="dxa"/>
            <w:shd w:val="clear" w:color="auto" w:fill="FFFFFF" w:themeFill="background1"/>
            <w:noWrap/>
            <w:vAlign w:val="center"/>
            <w:hideMark/>
          </w:tcPr>
          <w:p w14:paraId="39130C4C"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34.2</w:t>
            </w:r>
          </w:p>
        </w:tc>
        <w:tc>
          <w:tcPr>
            <w:tcW w:w="805" w:type="dxa"/>
            <w:shd w:val="clear" w:color="auto" w:fill="FFFFFF" w:themeFill="background1"/>
            <w:noWrap/>
            <w:vAlign w:val="center"/>
            <w:hideMark/>
          </w:tcPr>
          <w:p w14:paraId="2ACB9328"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1.1</w:t>
            </w:r>
          </w:p>
        </w:tc>
        <w:tc>
          <w:tcPr>
            <w:tcW w:w="1288" w:type="dxa"/>
            <w:shd w:val="clear" w:color="auto" w:fill="FFFFFF" w:themeFill="background1"/>
            <w:noWrap/>
            <w:vAlign w:val="center"/>
            <w:hideMark/>
          </w:tcPr>
          <w:p w14:paraId="5ED92D50"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0.448</w:t>
            </w:r>
          </w:p>
        </w:tc>
        <w:tc>
          <w:tcPr>
            <w:tcW w:w="1288" w:type="dxa"/>
            <w:shd w:val="clear" w:color="auto" w:fill="FFFFFF" w:themeFill="background1"/>
            <w:noWrap/>
            <w:vAlign w:val="center"/>
            <w:hideMark/>
          </w:tcPr>
          <w:p w14:paraId="4CAC305A" w14:textId="77777777" w:rsidR="00574918" w:rsidRPr="00574918" w:rsidRDefault="00574918" w:rsidP="00574918">
            <w:pPr>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0.015</w:t>
            </w:r>
          </w:p>
        </w:tc>
        <w:tc>
          <w:tcPr>
            <w:tcW w:w="1289" w:type="dxa"/>
            <w:shd w:val="clear" w:color="auto" w:fill="FFFFFF" w:themeFill="background1"/>
            <w:noWrap/>
            <w:vAlign w:val="center"/>
            <w:hideMark/>
          </w:tcPr>
          <w:p w14:paraId="04C7C1D1"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0.075</w:t>
            </w:r>
          </w:p>
        </w:tc>
      </w:tr>
      <w:tr w:rsidR="00574918" w:rsidRPr="00574918" w14:paraId="466E67B6" w14:textId="77777777" w:rsidTr="00132860">
        <w:trPr>
          <w:trHeight w:val="86"/>
        </w:trPr>
        <w:tc>
          <w:tcPr>
            <w:tcW w:w="1752" w:type="dxa"/>
            <w:vMerge/>
            <w:shd w:val="clear" w:color="auto" w:fill="FFFFFF" w:themeFill="background1"/>
            <w:noWrap/>
            <w:vAlign w:val="center"/>
            <w:hideMark/>
          </w:tcPr>
          <w:p w14:paraId="3E258454"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p>
        </w:tc>
        <w:tc>
          <w:tcPr>
            <w:tcW w:w="1432" w:type="dxa"/>
            <w:shd w:val="clear" w:color="auto" w:fill="FFFFFF" w:themeFill="background1"/>
            <w:noWrap/>
            <w:vAlign w:val="center"/>
            <w:hideMark/>
          </w:tcPr>
          <w:p w14:paraId="405267A7"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DASS-21 (points)</w:t>
            </w:r>
          </w:p>
        </w:tc>
        <w:tc>
          <w:tcPr>
            <w:tcW w:w="804" w:type="dxa"/>
            <w:shd w:val="clear" w:color="auto" w:fill="FFFFFF" w:themeFill="background1"/>
            <w:noWrap/>
            <w:vAlign w:val="center"/>
            <w:hideMark/>
          </w:tcPr>
          <w:p w14:paraId="345F430B"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3.2</w:t>
            </w:r>
          </w:p>
        </w:tc>
        <w:tc>
          <w:tcPr>
            <w:tcW w:w="804" w:type="dxa"/>
            <w:shd w:val="clear" w:color="auto" w:fill="FFFFFF" w:themeFill="background1"/>
            <w:noWrap/>
            <w:vAlign w:val="center"/>
            <w:hideMark/>
          </w:tcPr>
          <w:p w14:paraId="459BBA83"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1.4</w:t>
            </w:r>
          </w:p>
        </w:tc>
        <w:tc>
          <w:tcPr>
            <w:tcW w:w="805" w:type="dxa"/>
            <w:shd w:val="clear" w:color="auto" w:fill="FFFFFF" w:themeFill="background1"/>
            <w:noWrap/>
            <w:vAlign w:val="center"/>
            <w:hideMark/>
          </w:tcPr>
          <w:p w14:paraId="024F124E"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4.3</w:t>
            </w:r>
          </w:p>
        </w:tc>
        <w:tc>
          <w:tcPr>
            <w:tcW w:w="804" w:type="dxa"/>
            <w:shd w:val="clear" w:color="auto" w:fill="FFFFFF" w:themeFill="background1"/>
            <w:noWrap/>
            <w:vAlign w:val="center"/>
            <w:hideMark/>
          </w:tcPr>
          <w:p w14:paraId="2E7DDE3A"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1.4</w:t>
            </w:r>
          </w:p>
        </w:tc>
        <w:tc>
          <w:tcPr>
            <w:tcW w:w="804" w:type="dxa"/>
            <w:shd w:val="clear" w:color="auto" w:fill="FFFFFF" w:themeFill="background1"/>
            <w:noWrap/>
            <w:vAlign w:val="center"/>
            <w:hideMark/>
          </w:tcPr>
          <w:p w14:paraId="2DC33123"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6.2</w:t>
            </w:r>
          </w:p>
        </w:tc>
        <w:tc>
          <w:tcPr>
            <w:tcW w:w="805" w:type="dxa"/>
            <w:shd w:val="clear" w:color="auto" w:fill="FFFFFF" w:themeFill="background1"/>
            <w:noWrap/>
            <w:vAlign w:val="center"/>
            <w:hideMark/>
          </w:tcPr>
          <w:p w14:paraId="3440E2EF"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1.4</w:t>
            </w:r>
          </w:p>
        </w:tc>
        <w:tc>
          <w:tcPr>
            <w:tcW w:w="1288" w:type="dxa"/>
            <w:shd w:val="clear" w:color="auto" w:fill="FFFFFF" w:themeFill="background1"/>
            <w:noWrap/>
            <w:vAlign w:val="center"/>
            <w:hideMark/>
          </w:tcPr>
          <w:p w14:paraId="384EAEC9"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0.383</w:t>
            </w:r>
          </w:p>
        </w:tc>
        <w:tc>
          <w:tcPr>
            <w:tcW w:w="1288" w:type="dxa"/>
            <w:shd w:val="clear" w:color="auto" w:fill="FFFFFF" w:themeFill="background1"/>
            <w:noWrap/>
            <w:vAlign w:val="center"/>
            <w:hideMark/>
          </w:tcPr>
          <w:p w14:paraId="3D942531" w14:textId="77777777" w:rsidR="00574918" w:rsidRPr="00963FEE" w:rsidRDefault="00574918" w:rsidP="00574918">
            <w:pPr>
              <w:spacing w:after="0" w:line="240" w:lineRule="auto"/>
              <w:jc w:val="center"/>
              <w:rPr>
                <w:rFonts w:ascii="Times New Roman" w:eastAsia="Times New Roman" w:hAnsi="Times New Roman" w:cs="Times New Roman"/>
                <w:color w:val="000000"/>
                <w:sz w:val="20"/>
                <w:szCs w:val="20"/>
              </w:rPr>
            </w:pPr>
            <w:r w:rsidRPr="00963FEE">
              <w:rPr>
                <w:rFonts w:ascii="Times New Roman" w:eastAsia="Times New Roman" w:hAnsi="Times New Roman" w:cs="Times New Roman"/>
                <w:color w:val="000000"/>
                <w:sz w:val="20"/>
                <w:szCs w:val="20"/>
              </w:rPr>
              <w:t>0.027</w:t>
            </w:r>
          </w:p>
        </w:tc>
        <w:tc>
          <w:tcPr>
            <w:tcW w:w="1289" w:type="dxa"/>
            <w:shd w:val="clear" w:color="auto" w:fill="FFFFFF" w:themeFill="background1"/>
            <w:noWrap/>
            <w:vAlign w:val="center"/>
            <w:hideMark/>
          </w:tcPr>
          <w:p w14:paraId="7763B046"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0.146</w:t>
            </w:r>
          </w:p>
        </w:tc>
      </w:tr>
      <w:tr w:rsidR="007516DD" w:rsidRPr="00574918" w14:paraId="2EDA2812" w14:textId="77777777" w:rsidTr="007516DD">
        <w:trPr>
          <w:trHeight w:val="86"/>
        </w:trPr>
        <w:tc>
          <w:tcPr>
            <w:tcW w:w="1752" w:type="dxa"/>
            <w:shd w:val="clear" w:color="auto" w:fill="FFFFFF" w:themeFill="background1"/>
            <w:noWrap/>
            <w:vAlign w:val="center"/>
          </w:tcPr>
          <w:p w14:paraId="05D7F2F3" w14:textId="77777777" w:rsidR="007516DD" w:rsidRPr="00574918" w:rsidRDefault="007516DD" w:rsidP="00574918">
            <w:pPr>
              <w:spacing w:after="0" w:line="240" w:lineRule="auto"/>
              <w:rPr>
                <w:rFonts w:ascii="Times New Roman" w:eastAsia="Times New Roman" w:hAnsi="Times New Roman" w:cs="Times New Roman"/>
                <w:b/>
                <w:color w:val="000000"/>
                <w:sz w:val="20"/>
                <w:szCs w:val="20"/>
              </w:rPr>
            </w:pPr>
          </w:p>
        </w:tc>
        <w:tc>
          <w:tcPr>
            <w:tcW w:w="1432" w:type="dxa"/>
            <w:shd w:val="clear" w:color="auto" w:fill="FFFFFF" w:themeFill="background1"/>
            <w:noWrap/>
            <w:vAlign w:val="center"/>
          </w:tcPr>
          <w:p w14:paraId="48900F3F" w14:textId="70DBC84C" w:rsidR="007516DD" w:rsidRPr="00132860" w:rsidRDefault="007516DD" w:rsidP="00574918">
            <w:pPr>
              <w:spacing w:after="0" w:line="240" w:lineRule="auto"/>
              <w:rPr>
                <w:rFonts w:ascii="Times New Roman" w:eastAsia="Times New Roman" w:hAnsi="Times New Roman" w:cs="Times New Roman"/>
                <w:color w:val="000000"/>
                <w:sz w:val="20"/>
                <w:szCs w:val="20"/>
                <w:vertAlign w:val="superscript"/>
              </w:rPr>
            </w:pPr>
            <w:r>
              <w:rPr>
                <w:rFonts w:ascii="Times New Roman" w:eastAsia="Times New Roman" w:hAnsi="Times New Roman" w:cs="Times New Roman"/>
                <w:color w:val="000000"/>
                <w:sz w:val="20"/>
                <w:szCs w:val="20"/>
              </w:rPr>
              <w:t>PCS (points)</w:t>
            </w:r>
            <w:r>
              <w:rPr>
                <w:rFonts w:ascii="Times New Roman" w:eastAsia="Times New Roman" w:hAnsi="Times New Roman" w:cs="Times New Roman"/>
                <w:color w:val="000000"/>
                <w:sz w:val="20"/>
                <w:szCs w:val="20"/>
                <w:vertAlign w:val="superscript"/>
              </w:rPr>
              <w:t>#</w:t>
            </w:r>
          </w:p>
        </w:tc>
        <w:tc>
          <w:tcPr>
            <w:tcW w:w="804" w:type="dxa"/>
            <w:shd w:val="clear" w:color="auto" w:fill="FFFFFF" w:themeFill="background1"/>
            <w:noWrap/>
            <w:vAlign w:val="center"/>
          </w:tcPr>
          <w:p w14:paraId="59A5BBDA" w14:textId="29C00D95"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2.0</w:t>
            </w:r>
          </w:p>
        </w:tc>
        <w:tc>
          <w:tcPr>
            <w:tcW w:w="804" w:type="dxa"/>
            <w:shd w:val="clear" w:color="auto" w:fill="FFFFFF" w:themeFill="background1"/>
            <w:noWrap/>
            <w:vAlign w:val="center"/>
          </w:tcPr>
          <w:p w14:paraId="46247D7A" w14:textId="47EAA536"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6.0</w:t>
            </w:r>
          </w:p>
        </w:tc>
        <w:tc>
          <w:tcPr>
            <w:tcW w:w="805" w:type="dxa"/>
            <w:shd w:val="clear" w:color="auto" w:fill="FFFFFF" w:themeFill="background1"/>
            <w:noWrap/>
            <w:vAlign w:val="center"/>
          </w:tcPr>
          <w:p w14:paraId="00EE7EA7" w14:textId="408EDEB3"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w:t>
            </w:r>
          </w:p>
        </w:tc>
        <w:tc>
          <w:tcPr>
            <w:tcW w:w="804" w:type="dxa"/>
            <w:shd w:val="clear" w:color="auto" w:fill="FFFFFF" w:themeFill="background1"/>
            <w:noWrap/>
            <w:vAlign w:val="center"/>
          </w:tcPr>
          <w:p w14:paraId="587D6B2A" w14:textId="24AEA4F8"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2.0</w:t>
            </w:r>
          </w:p>
        </w:tc>
        <w:tc>
          <w:tcPr>
            <w:tcW w:w="804" w:type="dxa"/>
            <w:shd w:val="clear" w:color="auto" w:fill="FFFFFF" w:themeFill="background1"/>
            <w:noWrap/>
            <w:vAlign w:val="center"/>
          </w:tcPr>
          <w:p w14:paraId="5E850153" w14:textId="08F46677"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w:t>
            </w:r>
          </w:p>
        </w:tc>
        <w:tc>
          <w:tcPr>
            <w:tcW w:w="805" w:type="dxa"/>
            <w:shd w:val="clear" w:color="auto" w:fill="FFFFFF" w:themeFill="background1"/>
            <w:noWrap/>
            <w:vAlign w:val="center"/>
          </w:tcPr>
          <w:p w14:paraId="2F90B501" w14:textId="22A4F4C9"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3.0</w:t>
            </w:r>
          </w:p>
        </w:tc>
        <w:tc>
          <w:tcPr>
            <w:tcW w:w="1288" w:type="dxa"/>
            <w:shd w:val="clear" w:color="auto" w:fill="FFFFFF" w:themeFill="background1"/>
            <w:noWrap/>
            <w:vAlign w:val="center"/>
          </w:tcPr>
          <w:p w14:paraId="5D7CB7C3" w14:textId="2D4F873E"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1288" w:type="dxa"/>
            <w:shd w:val="clear" w:color="auto" w:fill="FFFFFF" w:themeFill="background1"/>
            <w:noWrap/>
            <w:vAlign w:val="center"/>
          </w:tcPr>
          <w:p w14:paraId="14A289DC" w14:textId="5F042AE7"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1289" w:type="dxa"/>
            <w:shd w:val="clear" w:color="auto" w:fill="FFFFFF" w:themeFill="background1"/>
            <w:noWrap/>
            <w:vAlign w:val="center"/>
          </w:tcPr>
          <w:p w14:paraId="3A8F847B" w14:textId="3DEECC27" w:rsidR="007516DD" w:rsidRPr="00574918" w:rsidRDefault="007516DD" w:rsidP="0057491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r>
      <w:tr w:rsidR="00574918" w:rsidRPr="00574918" w14:paraId="2F9674A5" w14:textId="77777777" w:rsidTr="00132860">
        <w:trPr>
          <w:trHeight w:val="22"/>
        </w:trPr>
        <w:tc>
          <w:tcPr>
            <w:tcW w:w="1752" w:type="dxa"/>
            <w:vMerge w:val="restart"/>
            <w:shd w:val="clear" w:color="auto" w:fill="D9D9D9" w:themeFill="background1" w:themeFillShade="D9"/>
            <w:noWrap/>
            <w:vAlign w:val="center"/>
            <w:hideMark/>
          </w:tcPr>
          <w:p w14:paraId="148D9BBE"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Morphology</w:t>
            </w:r>
          </w:p>
        </w:tc>
        <w:tc>
          <w:tcPr>
            <w:tcW w:w="1432" w:type="dxa"/>
            <w:shd w:val="clear" w:color="auto" w:fill="D9D9D9" w:themeFill="background1" w:themeFillShade="D9"/>
            <w:noWrap/>
            <w:vAlign w:val="center"/>
            <w:hideMark/>
          </w:tcPr>
          <w:p w14:paraId="179C8DB6"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Thickness (mm)</w:t>
            </w:r>
          </w:p>
        </w:tc>
        <w:tc>
          <w:tcPr>
            <w:tcW w:w="804" w:type="dxa"/>
            <w:shd w:val="clear" w:color="auto" w:fill="D9D9D9" w:themeFill="background1" w:themeFillShade="D9"/>
            <w:noWrap/>
            <w:vAlign w:val="center"/>
            <w:hideMark/>
          </w:tcPr>
          <w:p w14:paraId="6BF52FBE"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6.9</w:t>
            </w:r>
          </w:p>
        </w:tc>
        <w:tc>
          <w:tcPr>
            <w:tcW w:w="804" w:type="dxa"/>
            <w:shd w:val="clear" w:color="auto" w:fill="D9D9D9" w:themeFill="background1" w:themeFillShade="D9"/>
            <w:noWrap/>
            <w:vAlign w:val="center"/>
            <w:hideMark/>
          </w:tcPr>
          <w:p w14:paraId="383587CE"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0.5</w:t>
            </w:r>
          </w:p>
        </w:tc>
        <w:tc>
          <w:tcPr>
            <w:tcW w:w="805" w:type="dxa"/>
            <w:shd w:val="clear" w:color="auto" w:fill="D9D9D9" w:themeFill="background1" w:themeFillShade="D9"/>
            <w:noWrap/>
            <w:vAlign w:val="center"/>
            <w:hideMark/>
          </w:tcPr>
          <w:p w14:paraId="78A7C65F"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6.8</w:t>
            </w:r>
          </w:p>
        </w:tc>
        <w:tc>
          <w:tcPr>
            <w:tcW w:w="804" w:type="dxa"/>
            <w:shd w:val="clear" w:color="auto" w:fill="D9D9D9" w:themeFill="background1" w:themeFillShade="D9"/>
            <w:noWrap/>
            <w:vAlign w:val="center"/>
            <w:hideMark/>
          </w:tcPr>
          <w:p w14:paraId="577210DD"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0.5</w:t>
            </w:r>
          </w:p>
        </w:tc>
        <w:tc>
          <w:tcPr>
            <w:tcW w:w="804" w:type="dxa"/>
            <w:shd w:val="clear" w:color="auto" w:fill="D9D9D9" w:themeFill="background1" w:themeFillShade="D9"/>
            <w:noWrap/>
            <w:vAlign w:val="center"/>
            <w:hideMark/>
          </w:tcPr>
          <w:p w14:paraId="4DFDCCEB"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6.6</w:t>
            </w:r>
          </w:p>
        </w:tc>
        <w:tc>
          <w:tcPr>
            <w:tcW w:w="805" w:type="dxa"/>
            <w:shd w:val="clear" w:color="auto" w:fill="D9D9D9" w:themeFill="background1" w:themeFillShade="D9"/>
            <w:noWrap/>
            <w:vAlign w:val="center"/>
            <w:hideMark/>
          </w:tcPr>
          <w:p w14:paraId="1CAB3D06"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0.6</w:t>
            </w:r>
          </w:p>
        </w:tc>
        <w:tc>
          <w:tcPr>
            <w:tcW w:w="1288" w:type="dxa"/>
            <w:shd w:val="clear" w:color="auto" w:fill="D9D9D9" w:themeFill="background1" w:themeFillShade="D9"/>
            <w:noWrap/>
            <w:vAlign w:val="center"/>
            <w:hideMark/>
          </w:tcPr>
          <w:p w14:paraId="7050C700"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0.427</w:t>
            </w:r>
          </w:p>
        </w:tc>
        <w:tc>
          <w:tcPr>
            <w:tcW w:w="1288" w:type="dxa"/>
            <w:shd w:val="clear" w:color="auto" w:fill="D9D9D9" w:themeFill="background1" w:themeFillShade="D9"/>
            <w:noWrap/>
            <w:vAlign w:val="center"/>
            <w:hideMark/>
          </w:tcPr>
          <w:p w14:paraId="65EF3133"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0.329</w:t>
            </w:r>
          </w:p>
        </w:tc>
        <w:tc>
          <w:tcPr>
            <w:tcW w:w="1289" w:type="dxa"/>
            <w:shd w:val="clear" w:color="auto" w:fill="D9D9D9" w:themeFill="background1" w:themeFillShade="D9"/>
            <w:noWrap/>
            <w:vAlign w:val="center"/>
            <w:hideMark/>
          </w:tcPr>
          <w:p w14:paraId="243F6871"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0.678</w:t>
            </w:r>
          </w:p>
        </w:tc>
      </w:tr>
      <w:tr w:rsidR="00574918" w:rsidRPr="00574918" w14:paraId="03DC0519" w14:textId="77777777" w:rsidTr="00132860">
        <w:trPr>
          <w:trHeight w:val="22"/>
        </w:trPr>
        <w:tc>
          <w:tcPr>
            <w:tcW w:w="1752" w:type="dxa"/>
            <w:vMerge/>
            <w:shd w:val="clear" w:color="auto" w:fill="D9D9D9" w:themeFill="background1" w:themeFillShade="D9"/>
            <w:noWrap/>
            <w:vAlign w:val="center"/>
            <w:hideMark/>
          </w:tcPr>
          <w:p w14:paraId="3A059D42"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p>
        </w:tc>
        <w:tc>
          <w:tcPr>
            <w:tcW w:w="1432" w:type="dxa"/>
            <w:shd w:val="clear" w:color="auto" w:fill="D9D9D9" w:themeFill="background1" w:themeFillShade="D9"/>
            <w:noWrap/>
            <w:vAlign w:val="center"/>
            <w:hideMark/>
          </w:tcPr>
          <w:p w14:paraId="046EB31D"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CSA (mm</w:t>
            </w:r>
            <w:r w:rsidRPr="00574918">
              <w:rPr>
                <w:rFonts w:ascii="Times New Roman" w:eastAsia="Times New Roman" w:hAnsi="Times New Roman" w:cs="Times New Roman"/>
                <w:color w:val="000000"/>
                <w:sz w:val="20"/>
                <w:szCs w:val="20"/>
                <w:vertAlign w:val="superscript"/>
              </w:rPr>
              <w:t>2</w:t>
            </w:r>
            <w:r w:rsidRPr="00574918">
              <w:rPr>
                <w:rFonts w:ascii="Times New Roman" w:eastAsia="Times New Roman" w:hAnsi="Times New Roman" w:cs="Times New Roman"/>
                <w:color w:val="000000"/>
                <w:sz w:val="20"/>
                <w:szCs w:val="20"/>
              </w:rPr>
              <w:t>)</w:t>
            </w:r>
          </w:p>
        </w:tc>
        <w:tc>
          <w:tcPr>
            <w:tcW w:w="804" w:type="dxa"/>
            <w:shd w:val="clear" w:color="auto" w:fill="D9D9D9" w:themeFill="background1" w:themeFillShade="D9"/>
            <w:noWrap/>
            <w:vAlign w:val="center"/>
            <w:hideMark/>
          </w:tcPr>
          <w:p w14:paraId="25DA139D"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115.3</w:t>
            </w:r>
          </w:p>
        </w:tc>
        <w:tc>
          <w:tcPr>
            <w:tcW w:w="804" w:type="dxa"/>
            <w:shd w:val="clear" w:color="auto" w:fill="D9D9D9" w:themeFill="background1" w:themeFillShade="D9"/>
            <w:noWrap/>
            <w:vAlign w:val="center"/>
            <w:hideMark/>
          </w:tcPr>
          <w:p w14:paraId="3A2F2ABA"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10.8</w:t>
            </w:r>
          </w:p>
        </w:tc>
        <w:tc>
          <w:tcPr>
            <w:tcW w:w="805" w:type="dxa"/>
            <w:shd w:val="clear" w:color="auto" w:fill="D9D9D9" w:themeFill="background1" w:themeFillShade="D9"/>
            <w:noWrap/>
            <w:vAlign w:val="center"/>
            <w:hideMark/>
          </w:tcPr>
          <w:p w14:paraId="3E87005B"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118.0</w:t>
            </w:r>
          </w:p>
        </w:tc>
        <w:tc>
          <w:tcPr>
            <w:tcW w:w="804" w:type="dxa"/>
            <w:shd w:val="clear" w:color="auto" w:fill="D9D9D9" w:themeFill="background1" w:themeFillShade="D9"/>
            <w:noWrap/>
            <w:vAlign w:val="center"/>
            <w:hideMark/>
          </w:tcPr>
          <w:p w14:paraId="5C257448"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10.8</w:t>
            </w:r>
          </w:p>
        </w:tc>
        <w:tc>
          <w:tcPr>
            <w:tcW w:w="804" w:type="dxa"/>
            <w:shd w:val="clear" w:color="auto" w:fill="D9D9D9" w:themeFill="background1" w:themeFillShade="D9"/>
            <w:noWrap/>
            <w:vAlign w:val="center"/>
            <w:hideMark/>
          </w:tcPr>
          <w:p w14:paraId="23EAC41A"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119.7</w:t>
            </w:r>
          </w:p>
        </w:tc>
        <w:tc>
          <w:tcPr>
            <w:tcW w:w="805" w:type="dxa"/>
            <w:shd w:val="clear" w:color="auto" w:fill="D9D9D9" w:themeFill="background1" w:themeFillShade="D9"/>
            <w:noWrap/>
            <w:vAlign w:val="center"/>
            <w:hideMark/>
          </w:tcPr>
          <w:p w14:paraId="0071DA0A"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12.0</w:t>
            </w:r>
          </w:p>
        </w:tc>
        <w:tc>
          <w:tcPr>
            <w:tcW w:w="1288" w:type="dxa"/>
            <w:shd w:val="clear" w:color="auto" w:fill="D9D9D9" w:themeFill="background1" w:themeFillShade="D9"/>
            <w:noWrap/>
            <w:vAlign w:val="center"/>
            <w:hideMark/>
          </w:tcPr>
          <w:p w14:paraId="2AC654C7"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0.613</w:t>
            </w:r>
          </w:p>
        </w:tc>
        <w:tc>
          <w:tcPr>
            <w:tcW w:w="1288" w:type="dxa"/>
            <w:shd w:val="clear" w:color="auto" w:fill="D9D9D9" w:themeFill="background1" w:themeFillShade="D9"/>
            <w:noWrap/>
            <w:vAlign w:val="center"/>
            <w:hideMark/>
          </w:tcPr>
          <w:p w14:paraId="15AF110A"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0.558</w:t>
            </w:r>
          </w:p>
        </w:tc>
        <w:tc>
          <w:tcPr>
            <w:tcW w:w="1289" w:type="dxa"/>
            <w:shd w:val="clear" w:color="auto" w:fill="D9D9D9" w:themeFill="background1" w:themeFillShade="D9"/>
            <w:noWrap/>
            <w:vAlign w:val="center"/>
            <w:hideMark/>
          </w:tcPr>
          <w:p w14:paraId="782D7B31"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0.821</w:t>
            </w:r>
          </w:p>
        </w:tc>
      </w:tr>
      <w:tr w:rsidR="00574918" w:rsidRPr="00574918" w14:paraId="7C955C2D" w14:textId="77777777" w:rsidTr="00132860">
        <w:trPr>
          <w:trHeight w:val="22"/>
        </w:trPr>
        <w:tc>
          <w:tcPr>
            <w:tcW w:w="1752" w:type="dxa"/>
            <w:vMerge w:val="restart"/>
            <w:shd w:val="clear" w:color="auto" w:fill="FFFFFF" w:themeFill="background1"/>
            <w:noWrap/>
            <w:vAlign w:val="center"/>
            <w:hideMark/>
          </w:tcPr>
          <w:p w14:paraId="2ABC365F"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 xml:space="preserve">Mechanical </w:t>
            </w:r>
          </w:p>
        </w:tc>
        <w:tc>
          <w:tcPr>
            <w:tcW w:w="1432" w:type="dxa"/>
            <w:shd w:val="clear" w:color="auto" w:fill="FFFFFF" w:themeFill="background1"/>
            <w:noWrap/>
            <w:vAlign w:val="center"/>
            <w:hideMark/>
          </w:tcPr>
          <w:p w14:paraId="117EAD63"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Shear Modulus (kPa)</w:t>
            </w:r>
          </w:p>
        </w:tc>
        <w:tc>
          <w:tcPr>
            <w:tcW w:w="804" w:type="dxa"/>
            <w:shd w:val="clear" w:color="auto" w:fill="FFFFFF" w:themeFill="background1"/>
            <w:noWrap/>
            <w:vAlign w:val="center"/>
            <w:hideMark/>
          </w:tcPr>
          <w:p w14:paraId="43CE5E65"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70.6</w:t>
            </w:r>
          </w:p>
        </w:tc>
        <w:tc>
          <w:tcPr>
            <w:tcW w:w="804" w:type="dxa"/>
            <w:shd w:val="clear" w:color="auto" w:fill="FFFFFF" w:themeFill="background1"/>
            <w:noWrap/>
            <w:vAlign w:val="center"/>
            <w:hideMark/>
          </w:tcPr>
          <w:p w14:paraId="5F0821B4"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6.3</w:t>
            </w:r>
          </w:p>
        </w:tc>
        <w:tc>
          <w:tcPr>
            <w:tcW w:w="805" w:type="dxa"/>
            <w:shd w:val="clear" w:color="auto" w:fill="FFFFFF" w:themeFill="background1"/>
            <w:noWrap/>
            <w:vAlign w:val="center"/>
            <w:hideMark/>
          </w:tcPr>
          <w:p w14:paraId="5601EE80"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77.1</w:t>
            </w:r>
          </w:p>
        </w:tc>
        <w:tc>
          <w:tcPr>
            <w:tcW w:w="804" w:type="dxa"/>
            <w:shd w:val="clear" w:color="auto" w:fill="FFFFFF" w:themeFill="background1"/>
            <w:noWrap/>
            <w:vAlign w:val="center"/>
            <w:hideMark/>
          </w:tcPr>
          <w:p w14:paraId="232784DC"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6.2</w:t>
            </w:r>
          </w:p>
        </w:tc>
        <w:tc>
          <w:tcPr>
            <w:tcW w:w="804" w:type="dxa"/>
            <w:shd w:val="clear" w:color="auto" w:fill="FFFFFF" w:themeFill="background1"/>
            <w:noWrap/>
            <w:vAlign w:val="center"/>
            <w:hideMark/>
          </w:tcPr>
          <w:p w14:paraId="3E20B607"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79.8</w:t>
            </w:r>
          </w:p>
        </w:tc>
        <w:tc>
          <w:tcPr>
            <w:tcW w:w="805" w:type="dxa"/>
            <w:shd w:val="clear" w:color="auto" w:fill="FFFFFF" w:themeFill="background1"/>
            <w:noWrap/>
            <w:vAlign w:val="center"/>
            <w:hideMark/>
          </w:tcPr>
          <w:p w14:paraId="07F3F6AD"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9.2</w:t>
            </w:r>
          </w:p>
        </w:tc>
        <w:tc>
          <w:tcPr>
            <w:tcW w:w="1288" w:type="dxa"/>
            <w:shd w:val="clear" w:color="auto" w:fill="FFFFFF" w:themeFill="background1"/>
            <w:noWrap/>
            <w:vAlign w:val="center"/>
            <w:hideMark/>
          </w:tcPr>
          <w:p w14:paraId="354AECF1"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0.427</w:t>
            </w:r>
          </w:p>
        </w:tc>
        <w:tc>
          <w:tcPr>
            <w:tcW w:w="1288" w:type="dxa"/>
            <w:shd w:val="clear" w:color="auto" w:fill="FFFFFF" w:themeFill="background1"/>
            <w:noWrap/>
            <w:vAlign w:val="center"/>
            <w:hideMark/>
          </w:tcPr>
          <w:p w14:paraId="1670A5D5"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0.391</w:t>
            </w:r>
          </w:p>
        </w:tc>
        <w:tc>
          <w:tcPr>
            <w:tcW w:w="1289" w:type="dxa"/>
            <w:shd w:val="clear" w:color="auto" w:fill="FFFFFF" w:themeFill="background1"/>
            <w:noWrap/>
            <w:vAlign w:val="center"/>
            <w:hideMark/>
          </w:tcPr>
          <w:p w14:paraId="7A968C68"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0.796</w:t>
            </w:r>
          </w:p>
        </w:tc>
      </w:tr>
      <w:tr w:rsidR="00574918" w:rsidRPr="00574918" w14:paraId="2617DA85" w14:textId="77777777" w:rsidTr="00132860">
        <w:trPr>
          <w:trHeight w:val="22"/>
        </w:trPr>
        <w:tc>
          <w:tcPr>
            <w:tcW w:w="1752" w:type="dxa"/>
            <w:vMerge/>
            <w:shd w:val="clear" w:color="auto" w:fill="FFFFFF" w:themeFill="background1"/>
            <w:noWrap/>
            <w:vAlign w:val="center"/>
            <w:hideMark/>
          </w:tcPr>
          <w:p w14:paraId="08FE27DB"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p>
        </w:tc>
        <w:tc>
          <w:tcPr>
            <w:tcW w:w="1432" w:type="dxa"/>
            <w:shd w:val="clear" w:color="auto" w:fill="FFFFFF" w:themeFill="background1"/>
            <w:noWrap/>
            <w:vAlign w:val="center"/>
            <w:hideMark/>
          </w:tcPr>
          <w:p w14:paraId="194BB9A1"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Viscosity (Pa*sec)</w:t>
            </w:r>
          </w:p>
        </w:tc>
        <w:tc>
          <w:tcPr>
            <w:tcW w:w="804" w:type="dxa"/>
            <w:shd w:val="clear" w:color="auto" w:fill="FFFFFF" w:themeFill="background1"/>
            <w:noWrap/>
            <w:vAlign w:val="center"/>
            <w:hideMark/>
          </w:tcPr>
          <w:p w14:paraId="091D0A64"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31.6</w:t>
            </w:r>
          </w:p>
        </w:tc>
        <w:tc>
          <w:tcPr>
            <w:tcW w:w="804" w:type="dxa"/>
            <w:shd w:val="clear" w:color="auto" w:fill="FFFFFF" w:themeFill="background1"/>
            <w:noWrap/>
            <w:vAlign w:val="center"/>
            <w:hideMark/>
          </w:tcPr>
          <w:p w14:paraId="3A245AF2"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2.4</w:t>
            </w:r>
          </w:p>
        </w:tc>
        <w:tc>
          <w:tcPr>
            <w:tcW w:w="805" w:type="dxa"/>
            <w:shd w:val="clear" w:color="auto" w:fill="FFFFFF" w:themeFill="background1"/>
            <w:noWrap/>
            <w:vAlign w:val="center"/>
            <w:hideMark/>
          </w:tcPr>
          <w:p w14:paraId="1FC1CDBB"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29.7</w:t>
            </w:r>
          </w:p>
        </w:tc>
        <w:tc>
          <w:tcPr>
            <w:tcW w:w="804" w:type="dxa"/>
            <w:shd w:val="clear" w:color="auto" w:fill="FFFFFF" w:themeFill="background1"/>
            <w:noWrap/>
            <w:vAlign w:val="center"/>
            <w:hideMark/>
          </w:tcPr>
          <w:p w14:paraId="68FE5446"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2.3</w:t>
            </w:r>
          </w:p>
        </w:tc>
        <w:tc>
          <w:tcPr>
            <w:tcW w:w="804" w:type="dxa"/>
            <w:shd w:val="clear" w:color="auto" w:fill="FFFFFF" w:themeFill="background1"/>
            <w:noWrap/>
            <w:vAlign w:val="center"/>
            <w:hideMark/>
          </w:tcPr>
          <w:p w14:paraId="7FF3FD5C"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33.0</w:t>
            </w:r>
          </w:p>
        </w:tc>
        <w:tc>
          <w:tcPr>
            <w:tcW w:w="805" w:type="dxa"/>
            <w:shd w:val="clear" w:color="auto" w:fill="FFFFFF" w:themeFill="background1"/>
            <w:noWrap/>
            <w:vAlign w:val="center"/>
            <w:hideMark/>
          </w:tcPr>
          <w:p w14:paraId="4E4B9CE5"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3.1</w:t>
            </w:r>
          </w:p>
        </w:tc>
        <w:tc>
          <w:tcPr>
            <w:tcW w:w="1288" w:type="dxa"/>
            <w:shd w:val="clear" w:color="auto" w:fill="FFFFFF" w:themeFill="background1"/>
            <w:noWrap/>
            <w:vAlign w:val="center"/>
            <w:hideMark/>
          </w:tcPr>
          <w:p w14:paraId="45CEDB60"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0.396</w:t>
            </w:r>
          </w:p>
        </w:tc>
        <w:tc>
          <w:tcPr>
            <w:tcW w:w="1288" w:type="dxa"/>
            <w:shd w:val="clear" w:color="auto" w:fill="FFFFFF" w:themeFill="background1"/>
            <w:noWrap/>
            <w:vAlign w:val="center"/>
            <w:hideMark/>
          </w:tcPr>
          <w:p w14:paraId="2BC2D814"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0.628</w:t>
            </w:r>
          </w:p>
        </w:tc>
        <w:tc>
          <w:tcPr>
            <w:tcW w:w="1289" w:type="dxa"/>
            <w:shd w:val="clear" w:color="auto" w:fill="FFFFFF" w:themeFill="background1"/>
            <w:noWrap/>
            <w:vAlign w:val="center"/>
            <w:hideMark/>
          </w:tcPr>
          <w:p w14:paraId="6CE847D0"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0.268</w:t>
            </w:r>
          </w:p>
        </w:tc>
      </w:tr>
      <w:tr w:rsidR="00574918" w:rsidRPr="00574918" w14:paraId="0EE5EC68" w14:textId="77777777" w:rsidTr="00132860">
        <w:trPr>
          <w:trHeight w:val="22"/>
        </w:trPr>
        <w:tc>
          <w:tcPr>
            <w:tcW w:w="1752" w:type="dxa"/>
            <w:vMerge w:val="restart"/>
            <w:shd w:val="clear" w:color="auto" w:fill="D9D9D9" w:themeFill="background1" w:themeFillShade="D9"/>
            <w:noWrap/>
            <w:vAlign w:val="center"/>
            <w:hideMark/>
          </w:tcPr>
          <w:p w14:paraId="7C26DFC7"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Lower Extremity Function</w:t>
            </w:r>
          </w:p>
        </w:tc>
        <w:tc>
          <w:tcPr>
            <w:tcW w:w="1432" w:type="dxa"/>
            <w:shd w:val="clear" w:color="auto" w:fill="D9D9D9" w:themeFill="background1" w:themeFillShade="D9"/>
            <w:noWrap/>
            <w:vAlign w:val="center"/>
            <w:hideMark/>
          </w:tcPr>
          <w:p w14:paraId="7A63CFB9"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CMJ Height (cm)</w:t>
            </w:r>
          </w:p>
        </w:tc>
        <w:tc>
          <w:tcPr>
            <w:tcW w:w="804" w:type="dxa"/>
            <w:shd w:val="clear" w:color="auto" w:fill="D9D9D9" w:themeFill="background1" w:themeFillShade="D9"/>
            <w:noWrap/>
            <w:vAlign w:val="center"/>
            <w:hideMark/>
          </w:tcPr>
          <w:p w14:paraId="6224E4EA"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12.1</w:t>
            </w:r>
          </w:p>
        </w:tc>
        <w:tc>
          <w:tcPr>
            <w:tcW w:w="804" w:type="dxa"/>
            <w:shd w:val="clear" w:color="auto" w:fill="D9D9D9" w:themeFill="background1" w:themeFillShade="D9"/>
            <w:noWrap/>
            <w:vAlign w:val="center"/>
            <w:hideMark/>
          </w:tcPr>
          <w:p w14:paraId="3C6ED6D3"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1.2</w:t>
            </w:r>
          </w:p>
        </w:tc>
        <w:tc>
          <w:tcPr>
            <w:tcW w:w="805" w:type="dxa"/>
            <w:shd w:val="clear" w:color="auto" w:fill="D9D9D9" w:themeFill="background1" w:themeFillShade="D9"/>
            <w:noWrap/>
            <w:vAlign w:val="center"/>
            <w:hideMark/>
          </w:tcPr>
          <w:p w14:paraId="03343320"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13.3</w:t>
            </w:r>
          </w:p>
        </w:tc>
        <w:tc>
          <w:tcPr>
            <w:tcW w:w="804" w:type="dxa"/>
            <w:shd w:val="clear" w:color="auto" w:fill="D9D9D9" w:themeFill="background1" w:themeFillShade="D9"/>
            <w:noWrap/>
            <w:vAlign w:val="center"/>
            <w:hideMark/>
          </w:tcPr>
          <w:p w14:paraId="0499F745"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1.2</w:t>
            </w:r>
          </w:p>
        </w:tc>
        <w:tc>
          <w:tcPr>
            <w:tcW w:w="804" w:type="dxa"/>
            <w:shd w:val="clear" w:color="auto" w:fill="D9D9D9" w:themeFill="background1" w:themeFillShade="D9"/>
            <w:noWrap/>
            <w:vAlign w:val="center"/>
            <w:hideMark/>
          </w:tcPr>
          <w:p w14:paraId="21AFBEBA"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13.7</w:t>
            </w:r>
          </w:p>
        </w:tc>
        <w:tc>
          <w:tcPr>
            <w:tcW w:w="805" w:type="dxa"/>
            <w:shd w:val="clear" w:color="auto" w:fill="D9D9D9" w:themeFill="background1" w:themeFillShade="D9"/>
            <w:noWrap/>
            <w:vAlign w:val="center"/>
            <w:hideMark/>
          </w:tcPr>
          <w:p w14:paraId="6E34B9ED"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1.3</w:t>
            </w:r>
          </w:p>
        </w:tc>
        <w:tc>
          <w:tcPr>
            <w:tcW w:w="1288" w:type="dxa"/>
            <w:shd w:val="clear" w:color="auto" w:fill="D9D9D9" w:themeFill="background1" w:themeFillShade="D9"/>
            <w:noWrap/>
            <w:vAlign w:val="center"/>
            <w:hideMark/>
          </w:tcPr>
          <w:p w14:paraId="77CDBE48" w14:textId="77777777" w:rsidR="00574918" w:rsidRPr="00574918" w:rsidRDefault="00574918" w:rsidP="00574918">
            <w:pPr>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0.033</w:t>
            </w:r>
          </w:p>
        </w:tc>
        <w:tc>
          <w:tcPr>
            <w:tcW w:w="1288" w:type="dxa"/>
            <w:shd w:val="clear" w:color="auto" w:fill="D9D9D9" w:themeFill="background1" w:themeFillShade="D9"/>
            <w:noWrap/>
            <w:vAlign w:val="center"/>
            <w:hideMark/>
          </w:tcPr>
          <w:p w14:paraId="2B09B815" w14:textId="77777777" w:rsidR="00574918" w:rsidRPr="00574918" w:rsidRDefault="00574918" w:rsidP="00574918">
            <w:pPr>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0.045</w:t>
            </w:r>
          </w:p>
        </w:tc>
        <w:tc>
          <w:tcPr>
            <w:tcW w:w="1289" w:type="dxa"/>
            <w:shd w:val="clear" w:color="auto" w:fill="D9D9D9" w:themeFill="background1" w:themeFillShade="D9"/>
            <w:noWrap/>
            <w:vAlign w:val="center"/>
            <w:hideMark/>
          </w:tcPr>
          <w:p w14:paraId="2EE7D512"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0.620</w:t>
            </w:r>
          </w:p>
        </w:tc>
      </w:tr>
      <w:tr w:rsidR="00574918" w:rsidRPr="00574918" w14:paraId="793AEB26" w14:textId="77777777" w:rsidTr="00132860">
        <w:trPr>
          <w:trHeight w:val="22"/>
        </w:trPr>
        <w:tc>
          <w:tcPr>
            <w:tcW w:w="1752" w:type="dxa"/>
            <w:vMerge/>
            <w:shd w:val="clear" w:color="auto" w:fill="D9D9D9" w:themeFill="background1" w:themeFillShade="D9"/>
            <w:noWrap/>
            <w:vAlign w:val="center"/>
            <w:hideMark/>
          </w:tcPr>
          <w:p w14:paraId="25AB1598"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p>
        </w:tc>
        <w:tc>
          <w:tcPr>
            <w:tcW w:w="1432" w:type="dxa"/>
            <w:shd w:val="clear" w:color="auto" w:fill="D9D9D9" w:themeFill="background1" w:themeFillShade="D9"/>
            <w:noWrap/>
            <w:vAlign w:val="center"/>
            <w:hideMark/>
          </w:tcPr>
          <w:p w14:paraId="2F682A75"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Drop CMJ Height (cm)</w:t>
            </w:r>
          </w:p>
        </w:tc>
        <w:tc>
          <w:tcPr>
            <w:tcW w:w="804" w:type="dxa"/>
            <w:shd w:val="clear" w:color="auto" w:fill="D9D9D9" w:themeFill="background1" w:themeFillShade="D9"/>
            <w:noWrap/>
            <w:vAlign w:val="center"/>
            <w:hideMark/>
          </w:tcPr>
          <w:p w14:paraId="4A3193DC"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13.4</w:t>
            </w:r>
          </w:p>
        </w:tc>
        <w:tc>
          <w:tcPr>
            <w:tcW w:w="804" w:type="dxa"/>
            <w:shd w:val="clear" w:color="auto" w:fill="D9D9D9" w:themeFill="background1" w:themeFillShade="D9"/>
            <w:noWrap/>
            <w:vAlign w:val="center"/>
            <w:hideMark/>
          </w:tcPr>
          <w:p w14:paraId="6B023217"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1.2</w:t>
            </w:r>
          </w:p>
        </w:tc>
        <w:tc>
          <w:tcPr>
            <w:tcW w:w="805" w:type="dxa"/>
            <w:shd w:val="clear" w:color="auto" w:fill="D9D9D9" w:themeFill="background1" w:themeFillShade="D9"/>
            <w:noWrap/>
            <w:vAlign w:val="center"/>
            <w:hideMark/>
          </w:tcPr>
          <w:p w14:paraId="4E488E05"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13.9</w:t>
            </w:r>
          </w:p>
        </w:tc>
        <w:tc>
          <w:tcPr>
            <w:tcW w:w="804" w:type="dxa"/>
            <w:shd w:val="clear" w:color="auto" w:fill="D9D9D9" w:themeFill="background1" w:themeFillShade="D9"/>
            <w:noWrap/>
            <w:vAlign w:val="center"/>
            <w:hideMark/>
          </w:tcPr>
          <w:p w14:paraId="507D44C9"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1.3</w:t>
            </w:r>
          </w:p>
        </w:tc>
        <w:tc>
          <w:tcPr>
            <w:tcW w:w="804" w:type="dxa"/>
            <w:shd w:val="clear" w:color="auto" w:fill="D9D9D9" w:themeFill="background1" w:themeFillShade="D9"/>
            <w:noWrap/>
            <w:vAlign w:val="center"/>
            <w:hideMark/>
          </w:tcPr>
          <w:p w14:paraId="70C4AD3B"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13.4</w:t>
            </w:r>
          </w:p>
        </w:tc>
        <w:tc>
          <w:tcPr>
            <w:tcW w:w="805" w:type="dxa"/>
            <w:shd w:val="clear" w:color="auto" w:fill="D9D9D9" w:themeFill="background1" w:themeFillShade="D9"/>
            <w:noWrap/>
            <w:vAlign w:val="center"/>
            <w:hideMark/>
          </w:tcPr>
          <w:p w14:paraId="4436A4F2"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1.4</w:t>
            </w:r>
          </w:p>
        </w:tc>
        <w:tc>
          <w:tcPr>
            <w:tcW w:w="1288" w:type="dxa"/>
            <w:shd w:val="clear" w:color="auto" w:fill="D9D9D9" w:themeFill="background1" w:themeFillShade="D9"/>
            <w:noWrap/>
            <w:vAlign w:val="center"/>
            <w:hideMark/>
          </w:tcPr>
          <w:p w14:paraId="7F62C322"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0.423</w:t>
            </w:r>
          </w:p>
        </w:tc>
        <w:tc>
          <w:tcPr>
            <w:tcW w:w="1288" w:type="dxa"/>
            <w:shd w:val="clear" w:color="auto" w:fill="D9D9D9" w:themeFill="background1" w:themeFillShade="D9"/>
            <w:noWrap/>
            <w:vAlign w:val="center"/>
            <w:hideMark/>
          </w:tcPr>
          <w:p w14:paraId="0AE4ECC9"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0.953</w:t>
            </w:r>
          </w:p>
        </w:tc>
        <w:tc>
          <w:tcPr>
            <w:tcW w:w="1289" w:type="dxa"/>
            <w:shd w:val="clear" w:color="auto" w:fill="D9D9D9" w:themeFill="background1" w:themeFillShade="D9"/>
            <w:noWrap/>
            <w:vAlign w:val="center"/>
            <w:hideMark/>
          </w:tcPr>
          <w:p w14:paraId="0B5C9132"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0.588</w:t>
            </w:r>
          </w:p>
        </w:tc>
      </w:tr>
      <w:tr w:rsidR="00574918" w:rsidRPr="00574918" w14:paraId="35C9AD19" w14:textId="77777777" w:rsidTr="00132860">
        <w:trPr>
          <w:trHeight w:val="22"/>
        </w:trPr>
        <w:tc>
          <w:tcPr>
            <w:tcW w:w="1752" w:type="dxa"/>
            <w:vMerge w:val="restart"/>
            <w:shd w:val="clear" w:color="auto" w:fill="FFFFFF" w:themeFill="background1"/>
            <w:noWrap/>
            <w:vAlign w:val="center"/>
            <w:hideMark/>
          </w:tcPr>
          <w:p w14:paraId="645C15A7"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Quadriceps Muscle Performance</w:t>
            </w:r>
          </w:p>
        </w:tc>
        <w:tc>
          <w:tcPr>
            <w:tcW w:w="1432" w:type="dxa"/>
            <w:shd w:val="clear" w:color="auto" w:fill="FFFFFF" w:themeFill="background1"/>
            <w:noWrap/>
            <w:vAlign w:val="center"/>
            <w:hideMark/>
          </w:tcPr>
          <w:p w14:paraId="3BB78375"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MVIC (N)</w:t>
            </w:r>
          </w:p>
        </w:tc>
        <w:tc>
          <w:tcPr>
            <w:tcW w:w="804" w:type="dxa"/>
            <w:shd w:val="clear" w:color="auto" w:fill="FFFFFF" w:themeFill="background1"/>
            <w:noWrap/>
            <w:vAlign w:val="center"/>
            <w:hideMark/>
          </w:tcPr>
          <w:p w14:paraId="0A3AE68A"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860.9</w:t>
            </w:r>
          </w:p>
        </w:tc>
        <w:tc>
          <w:tcPr>
            <w:tcW w:w="804" w:type="dxa"/>
            <w:shd w:val="clear" w:color="auto" w:fill="FFFFFF" w:themeFill="background1"/>
            <w:noWrap/>
            <w:vAlign w:val="center"/>
            <w:hideMark/>
          </w:tcPr>
          <w:p w14:paraId="10AAF71B"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56.7</w:t>
            </w:r>
          </w:p>
        </w:tc>
        <w:tc>
          <w:tcPr>
            <w:tcW w:w="805" w:type="dxa"/>
            <w:shd w:val="clear" w:color="auto" w:fill="FFFFFF" w:themeFill="background1"/>
            <w:noWrap/>
            <w:vAlign w:val="center"/>
            <w:hideMark/>
          </w:tcPr>
          <w:p w14:paraId="09D6786A"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995.9</w:t>
            </w:r>
          </w:p>
        </w:tc>
        <w:tc>
          <w:tcPr>
            <w:tcW w:w="804" w:type="dxa"/>
            <w:shd w:val="clear" w:color="auto" w:fill="FFFFFF" w:themeFill="background1"/>
            <w:noWrap/>
            <w:vAlign w:val="center"/>
            <w:hideMark/>
          </w:tcPr>
          <w:p w14:paraId="03D6376E"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60.0</w:t>
            </w:r>
          </w:p>
        </w:tc>
        <w:tc>
          <w:tcPr>
            <w:tcW w:w="804" w:type="dxa"/>
            <w:shd w:val="clear" w:color="auto" w:fill="FFFFFF" w:themeFill="background1"/>
            <w:noWrap/>
            <w:vAlign w:val="center"/>
            <w:hideMark/>
          </w:tcPr>
          <w:p w14:paraId="4C191DEC"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1053.4</w:t>
            </w:r>
          </w:p>
        </w:tc>
        <w:tc>
          <w:tcPr>
            <w:tcW w:w="805" w:type="dxa"/>
            <w:shd w:val="clear" w:color="auto" w:fill="FFFFFF" w:themeFill="background1"/>
            <w:noWrap/>
            <w:vAlign w:val="center"/>
            <w:hideMark/>
          </w:tcPr>
          <w:p w14:paraId="7A9DD1F4"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85.6</w:t>
            </w:r>
          </w:p>
        </w:tc>
        <w:tc>
          <w:tcPr>
            <w:tcW w:w="1288" w:type="dxa"/>
            <w:shd w:val="clear" w:color="auto" w:fill="FFFFFF" w:themeFill="background1"/>
            <w:noWrap/>
            <w:vAlign w:val="center"/>
            <w:hideMark/>
          </w:tcPr>
          <w:p w14:paraId="138C7B13"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0.138</w:t>
            </w:r>
          </w:p>
        </w:tc>
        <w:tc>
          <w:tcPr>
            <w:tcW w:w="1288" w:type="dxa"/>
            <w:shd w:val="clear" w:color="auto" w:fill="FFFFFF" w:themeFill="background1"/>
            <w:noWrap/>
            <w:vAlign w:val="center"/>
            <w:hideMark/>
          </w:tcPr>
          <w:p w14:paraId="0F5A3E14"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0.082</w:t>
            </w:r>
          </w:p>
        </w:tc>
        <w:tc>
          <w:tcPr>
            <w:tcW w:w="1289" w:type="dxa"/>
            <w:shd w:val="clear" w:color="auto" w:fill="FFFFFF" w:themeFill="background1"/>
            <w:noWrap/>
            <w:vAlign w:val="center"/>
            <w:hideMark/>
          </w:tcPr>
          <w:p w14:paraId="140C4542"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0.601</w:t>
            </w:r>
          </w:p>
        </w:tc>
      </w:tr>
      <w:tr w:rsidR="00574918" w:rsidRPr="00574918" w14:paraId="7829BF2A" w14:textId="77777777" w:rsidTr="00132860">
        <w:trPr>
          <w:trHeight w:val="300"/>
        </w:trPr>
        <w:tc>
          <w:tcPr>
            <w:tcW w:w="1752" w:type="dxa"/>
            <w:vMerge/>
            <w:tcBorders>
              <w:bottom w:val="single" w:sz="4" w:space="0" w:color="auto"/>
            </w:tcBorders>
            <w:shd w:val="clear" w:color="auto" w:fill="FFFFFF" w:themeFill="background1"/>
            <w:noWrap/>
            <w:vAlign w:val="center"/>
            <w:hideMark/>
          </w:tcPr>
          <w:p w14:paraId="150273CC"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p>
        </w:tc>
        <w:tc>
          <w:tcPr>
            <w:tcW w:w="1432" w:type="dxa"/>
            <w:tcBorders>
              <w:bottom w:val="single" w:sz="4" w:space="0" w:color="auto"/>
            </w:tcBorders>
            <w:shd w:val="clear" w:color="auto" w:fill="FFFFFF" w:themeFill="background1"/>
            <w:noWrap/>
            <w:vAlign w:val="center"/>
            <w:hideMark/>
          </w:tcPr>
          <w:p w14:paraId="1A21192D"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CAR (%)</w:t>
            </w:r>
          </w:p>
        </w:tc>
        <w:tc>
          <w:tcPr>
            <w:tcW w:w="804" w:type="dxa"/>
            <w:tcBorders>
              <w:bottom w:val="single" w:sz="4" w:space="0" w:color="auto"/>
            </w:tcBorders>
            <w:shd w:val="clear" w:color="auto" w:fill="FFFFFF" w:themeFill="background1"/>
            <w:noWrap/>
            <w:vAlign w:val="center"/>
            <w:hideMark/>
          </w:tcPr>
          <w:p w14:paraId="02CF9271"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80.6</w:t>
            </w:r>
          </w:p>
        </w:tc>
        <w:tc>
          <w:tcPr>
            <w:tcW w:w="804" w:type="dxa"/>
            <w:tcBorders>
              <w:bottom w:val="single" w:sz="4" w:space="0" w:color="auto"/>
            </w:tcBorders>
            <w:shd w:val="clear" w:color="auto" w:fill="FFFFFF" w:themeFill="background1"/>
            <w:noWrap/>
            <w:vAlign w:val="center"/>
            <w:hideMark/>
          </w:tcPr>
          <w:p w14:paraId="7031AA47"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3.3</w:t>
            </w:r>
          </w:p>
        </w:tc>
        <w:tc>
          <w:tcPr>
            <w:tcW w:w="805" w:type="dxa"/>
            <w:tcBorders>
              <w:bottom w:val="single" w:sz="4" w:space="0" w:color="auto"/>
            </w:tcBorders>
            <w:shd w:val="clear" w:color="auto" w:fill="FFFFFF" w:themeFill="background1"/>
            <w:noWrap/>
            <w:vAlign w:val="center"/>
            <w:hideMark/>
          </w:tcPr>
          <w:p w14:paraId="3C5E4C99"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84.1</w:t>
            </w:r>
          </w:p>
        </w:tc>
        <w:tc>
          <w:tcPr>
            <w:tcW w:w="804" w:type="dxa"/>
            <w:tcBorders>
              <w:bottom w:val="single" w:sz="4" w:space="0" w:color="auto"/>
            </w:tcBorders>
            <w:shd w:val="clear" w:color="auto" w:fill="FFFFFF" w:themeFill="background1"/>
            <w:noWrap/>
            <w:vAlign w:val="center"/>
            <w:hideMark/>
          </w:tcPr>
          <w:p w14:paraId="08AD5C3B"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3.8</w:t>
            </w:r>
          </w:p>
        </w:tc>
        <w:tc>
          <w:tcPr>
            <w:tcW w:w="804" w:type="dxa"/>
            <w:tcBorders>
              <w:bottom w:val="single" w:sz="4" w:space="0" w:color="auto"/>
            </w:tcBorders>
            <w:shd w:val="clear" w:color="auto" w:fill="FFFFFF" w:themeFill="background1"/>
            <w:noWrap/>
            <w:vAlign w:val="center"/>
            <w:hideMark/>
          </w:tcPr>
          <w:p w14:paraId="7DB80451"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90.7</w:t>
            </w:r>
          </w:p>
        </w:tc>
        <w:tc>
          <w:tcPr>
            <w:tcW w:w="805" w:type="dxa"/>
            <w:tcBorders>
              <w:bottom w:val="single" w:sz="4" w:space="0" w:color="auto"/>
            </w:tcBorders>
            <w:shd w:val="clear" w:color="auto" w:fill="FFFFFF" w:themeFill="background1"/>
            <w:noWrap/>
            <w:vAlign w:val="center"/>
            <w:hideMark/>
          </w:tcPr>
          <w:p w14:paraId="178AA32B"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4.9</w:t>
            </w:r>
          </w:p>
        </w:tc>
        <w:tc>
          <w:tcPr>
            <w:tcW w:w="1288" w:type="dxa"/>
            <w:tcBorders>
              <w:bottom w:val="single" w:sz="4" w:space="0" w:color="auto"/>
            </w:tcBorders>
            <w:shd w:val="clear" w:color="auto" w:fill="FFFFFF" w:themeFill="background1"/>
            <w:noWrap/>
            <w:vAlign w:val="center"/>
            <w:hideMark/>
          </w:tcPr>
          <w:p w14:paraId="3CA27952"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0.440</w:t>
            </w:r>
          </w:p>
        </w:tc>
        <w:tc>
          <w:tcPr>
            <w:tcW w:w="1288" w:type="dxa"/>
            <w:tcBorders>
              <w:bottom w:val="single" w:sz="4" w:space="0" w:color="auto"/>
            </w:tcBorders>
            <w:shd w:val="clear" w:color="auto" w:fill="FFFFFF" w:themeFill="background1"/>
            <w:noWrap/>
            <w:vAlign w:val="center"/>
            <w:hideMark/>
          </w:tcPr>
          <w:p w14:paraId="40150A51"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0.076</w:t>
            </w:r>
          </w:p>
        </w:tc>
        <w:tc>
          <w:tcPr>
            <w:tcW w:w="1289" w:type="dxa"/>
            <w:tcBorders>
              <w:bottom w:val="single" w:sz="4" w:space="0" w:color="auto"/>
            </w:tcBorders>
            <w:shd w:val="clear" w:color="auto" w:fill="FFFFFF" w:themeFill="background1"/>
            <w:noWrap/>
            <w:vAlign w:val="center"/>
            <w:hideMark/>
          </w:tcPr>
          <w:p w14:paraId="0239A2DE"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0.250</w:t>
            </w:r>
          </w:p>
        </w:tc>
      </w:tr>
    </w:tbl>
    <w:p w14:paraId="27241472" w14:textId="77777777" w:rsidR="007516DD" w:rsidRPr="007516DD" w:rsidRDefault="007516DD" w:rsidP="007516DD">
      <w:pPr>
        <w:keepLines/>
        <w:spacing w:after="0" w:line="480" w:lineRule="auto"/>
        <w:rPr>
          <w:rFonts w:ascii="Times New Roman" w:eastAsia="Times New Roman" w:hAnsi="Times New Roman" w:cs="Times New Roman"/>
          <w:sz w:val="24"/>
          <w:szCs w:val="24"/>
        </w:rPr>
        <w:sectPr w:rsidR="007516DD" w:rsidRPr="007516DD" w:rsidSect="00D93722">
          <w:endnotePr>
            <w:numFmt w:val="decimal"/>
          </w:endnotePr>
          <w:pgSz w:w="15840" w:h="12240" w:orient="landscape"/>
          <w:pgMar w:top="1440" w:right="1440" w:bottom="1440" w:left="1440" w:header="1152" w:footer="1152" w:gutter="0"/>
          <w:lnNumType w:countBy="1" w:start="390" w:restart="continuous"/>
          <w:cols w:space="720"/>
          <w:docGrid w:linePitch="326"/>
        </w:sectPr>
      </w:pPr>
      <w:bookmarkStart w:id="9" w:name="_Hlk57897875"/>
      <w:bookmarkStart w:id="10" w:name="_Hlk57897892"/>
      <w:r w:rsidRPr="007516DD">
        <w:rPr>
          <w:rFonts w:ascii="Times New Roman" w:eastAsia="Times New Roman" w:hAnsi="Times New Roman" w:cs="Times New Roman"/>
          <w:sz w:val="24"/>
          <w:szCs w:val="24"/>
        </w:rPr>
        <w:lastRenderedPageBreak/>
        <w:t xml:space="preserve">CSA = cross-sectional area; CMJ = counter-movement jump; MVIC = maximal voluntary isometric contraction; CAR = central activation ratio. NPRS = numeric pain rating scale. </w:t>
      </w:r>
      <w:r w:rsidRPr="007516DD">
        <w:rPr>
          <w:rFonts w:ascii="Times New Roman" w:eastAsia="Times New Roman" w:hAnsi="Times New Roman" w:cs="Times New Roman"/>
          <w:sz w:val="24"/>
          <w:szCs w:val="24"/>
          <w:vertAlign w:val="superscript"/>
        </w:rPr>
        <w:t>#</w:t>
      </w:r>
      <w:r w:rsidRPr="007516DD">
        <w:rPr>
          <w:rFonts w:ascii="Times New Roman" w:eastAsia="Times New Roman" w:hAnsi="Times New Roman" w:cs="Times New Roman"/>
          <w:sz w:val="24"/>
          <w:szCs w:val="24"/>
        </w:rPr>
        <w:t xml:space="preserve">PCS did not meet assumption of linearity so model significance was not tested and values reported are median and interquartile range, respectively. </w:t>
      </w:r>
      <w:bookmarkEnd w:id="9"/>
      <w:r w:rsidRPr="007516DD">
        <w:rPr>
          <w:rFonts w:ascii="Times New Roman" w:eastAsia="Times New Roman" w:hAnsi="Times New Roman" w:cs="Times New Roman"/>
          <w:sz w:val="24"/>
          <w:szCs w:val="24"/>
        </w:rPr>
        <w:t xml:space="preserve">*n = 14 for patient reported outcome measures at 12-weeks (VISA-P, TSK, PCS, DASS-21) due to participant drop-out. n = 8 for all other measures at 12-weeks due to inability to complete in-person follow-ups because of COVID-19. </w:t>
      </w:r>
      <w:r w:rsidRPr="007516DD">
        <w:rPr>
          <w:rFonts w:ascii="Times New Roman" w:eastAsia="Times New Roman" w:hAnsi="Times New Roman" w:cs="Times New Roman"/>
          <w:b/>
          <w:bCs/>
          <w:sz w:val="24"/>
          <w:szCs w:val="24"/>
        </w:rPr>
        <w:t>Bold</w:t>
      </w:r>
      <w:r w:rsidRPr="007516DD">
        <w:rPr>
          <w:rFonts w:ascii="Times New Roman" w:eastAsia="Times New Roman" w:hAnsi="Times New Roman" w:cs="Times New Roman"/>
          <w:sz w:val="24"/>
          <w:szCs w:val="24"/>
        </w:rPr>
        <w:t xml:space="preserve"> indicates statistically significant differences between timepoints. </w:t>
      </w:r>
    </w:p>
    <w:bookmarkEnd w:id="7"/>
    <w:bookmarkEnd w:id="10"/>
    <w:p w14:paraId="791598A9" w14:textId="62AE794C" w:rsidR="00574918" w:rsidRDefault="00AB2CB6" w:rsidP="00D5146C">
      <w:pPr>
        <w:rPr>
          <w:rFonts w:ascii="Times New Roman" w:hAnsi="Times New Roman" w:cs="Times New Roman"/>
          <w:b/>
          <w:sz w:val="24"/>
          <w:szCs w:val="24"/>
        </w:rPr>
      </w:pPr>
      <w:r w:rsidRPr="00AB2CB6">
        <w:rPr>
          <w:rFonts w:ascii="Times New Roman" w:hAnsi="Times New Roman" w:cs="Times New Roman"/>
          <w:b/>
          <w:sz w:val="24"/>
          <w:szCs w:val="24"/>
        </w:rPr>
        <w:lastRenderedPageBreak/>
        <w:t>References:</w:t>
      </w:r>
    </w:p>
    <w:p w14:paraId="2DB60FFE" w14:textId="1DC593A4" w:rsidR="002465E4" w:rsidRPr="002465E4" w:rsidRDefault="004E6AAA" w:rsidP="002465E4">
      <w:pPr>
        <w:widowControl w:val="0"/>
        <w:autoSpaceDE w:val="0"/>
        <w:autoSpaceDN w:val="0"/>
        <w:adjustRightInd w:val="0"/>
        <w:spacing w:line="240" w:lineRule="auto"/>
        <w:ind w:left="640" w:hanging="640"/>
        <w:rPr>
          <w:rFonts w:ascii="Times New Roman" w:hAnsi="Times New Roman" w:cs="Times New Roman"/>
          <w:noProof/>
          <w:sz w:val="24"/>
          <w:szCs w:val="24"/>
        </w:rPr>
      </w:pPr>
      <w:r>
        <w:rPr>
          <w:rFonts w:ascii="Times New Roman" w:hAnsi="Times New Roman" w:cs="Times New Roman"/>
          <w:bCs/>
          <w:sz w:val="24"/>
          <w:szCs w:val="24"/>
        </w:rPr>
        <w:fldChar w:fldCharType="begin" w:fldLock="1"/>
      </w:r>
      <w:r>
        <w:rPr>
          <w:rFonts w:ascii="Times New Roman" w:hAnsi="Times New Roman" w:cs="Times New Roman"/>
          <w:bCs/>
          <w:sz w:val="24"/>
          <w:szCs w:val="24"/>
        </w:rPr>
        <w:instrText xml:space="preserve">ADDIN Mendeley Bibliography CSL_BIBLIOGRAPHY </w:instrText>
      </w:r>
      <w:r>
        <w:rPr>
          <w:rFonts w:ascii="Times New Roman" w:hAnsi="Times New Roman" w:cs="Times New Roman"/>
          <w:bCs/>
          <w:sz w:val="24"/>
          <w:szCs w:val="24"/>
        </w:rPr>
        <w:fldChar w:fldCharType="separate"/>
      </w:r>
      <w:r w:rsidR="002465E4" w:rsidRPr="002465E4">
        <w:rPr>
          <w:rFonts w:ascii="Times New Roman" w:hAnsi="Times New Roman" w:cs="Times New Roman"/>
          <w:noProof/>
          <w:sz w:val="24"/>
          <w:szCs w:val="24"/>
        </w:rPr>
        <w:t xml:space="preserve">1. </w:t>
      </w:r>
      <w:r w:rsidR="002465E4" w:rsidRPr="002465E4">
        <w:rPr>
          <w:rFonts w:ascii="Times New Roman" w:hAnsi="Times New Roman" w:cs="Times New Roman"/>
          <w:noProof/>
          <w:sz w:val="24"/>
          <w:szCs w:val="24"/>
        </w:rPr>
        <w:tab/>
        <w:t xml:space="preserve">Hernandez-Sanchez S, Hidalgo MD, Gomez  a. Responsiveness of the VISA-P scale for patellar tendinopathy in athletes. Br J Sports Med. 2012 Mar;3(6):453–7. </w:t>
      </w:r>
    </w:p>
    <w:p w14:paraId="3C904716" w14:textId="77777777" w:rsidR="002465E4" w:rsidRPr="002465E4" w:rsidRDefault="002465E4" w:rsidP="002465E4">
      <w:pPr>
        <w:widowControl w:val="0"/>
        <w:autoSpaceDE w:val="0"/>
        <w:autoSpaceDN w:val="0"/>
        <w:adjustRightInd w:val="0"/>
        <w:spacing w:line="240" w:lineRule="auto"/>
        <w:ind w:left="640" w:hanging="640"/>
        <w:rPr>
          <w:rFonts w:ascii="Times New Roman" w:hAnsi="Times New Roman" w:cs="Times New Roman"/>
          <w:noProof/>
          <w:sz w:val="24"/>
          <w:szCs w:val="24"/>
        </w:rPr>
      </w:pPr>
      <w:r w:rsidRPr="002465E4">
        <w:rPr>
          <w:rFonts w:ascii="Times New Roman" w:hAnsi="Times New Roman" w:cs="Times New Roman"/>
          <w:noProof/>
          <w:sz w:val="24"/>
          <w:szCs w:val="24"/>
        </w:rPr>
        <w:t xml:space="preserve">2. </w:t>
      </w:r>
      <w:r w:rsidRPr="002465E4">
        <w:rPr>
          <w:rFonts w:ascii="Times New Roman" w:hAnsi="Times New Roman" w:cs="Times New Roman"/>
          <w:noProof/>
          <w:sz w:val="24"/>
          <w:szCs w:val="24"/>
        </w:rPr>
        <w:tab/>
        <w:t>Alghadir AH, Anwer S, Iqbal A, Iqbal ZA. Test-retest reliability, validity, and minimum detectable change of visual analog, numerical rating, and verbal rating scales for measurement of osteoarthritic knee pain. J Pain Res [Internet]. 2018;11:851–6. Available from: http://www.ncbi.nlm.nih.gov/pubmed/29731662</w:t>
      </w:r>
    </w:p>
    <w:p w14:paraId="0603D93C" w14:textId="77777777" w:rsidR="002465E4" w:rsidRPr="002465E4" w:rsidRDefault="002465E4" w:rsidP="002465E4">
      <w:pPr>
        <w:widowControl w:val="0"/>
        <w:autoSpaceDE w:val="0"/>
        <w:autoSpaceDN w:val="0"/>
        <w:adjustRightInd w:val="0"/>
        <w:spacing w:line="240" w:lineRule="auto"/>
        <w:ind w:left="640" w:hanging="640"/>
        <w:rPr>
          <w:rFonts w:ascii="Times New Roman" w:hAnsi="Times New Roman" w:cs="Times New Roman"/>
          <w:noProof/>
          <w:sz w:val="24"/>
          <w:szCs w:val="24"/>
        </w:rPr>
      </w:pPr>
      <w:r w:rsidRPr="002465E4">
        <w:rPr>
          <w:rFonts w:ascii="Times New Roman" w:hAnsi="Times New Roman" w:cs="Times New Roman"/>
          <w:noProof/>
          <w:sz w:val="24"/>
          <w:szCs w:val="24"/>
        </w:rPr>
        <w:t xml:space="preserve">3. </w:t>
      </w:r>
      <w:r w:rsidRPr="002465E4">
        <w:rPr>
          <w:rFonts w:ascii="Times New Roman" w:hAnsi="Times New Roman" w:cs="Times New Roman"/>
          <w:noProof/>
          <w:sz w:val="24"/>
          <w:szCs w:val="24"/>
        </w:rPr>
        <w:tab/>
        <w:t>Farrar JT, Young JP, LaMoreaux L, Werth JL, Poole RM. Clinical importance of changes in chronic pain intensity measured on an 11-point numerical pain rating scale. Pain [Internet]. 2001 Nov;94(2):149–58. Available from: http://www.ncbi.nlm.nih.gov/pubmed/11690728</w:t>
      </w:r>
    </w:p>
    <w:p w14:paraId="5CB175C9" w14:textId="77777777" w:rsidR="002465E4" w:rsidRPr="002465E4" w:rsidRDefault="002465E4" w:rsidP="002465E4">
      <w:pPr>
        <w:widowControl w:val="0"/>
        <w:autoSpaceDE w:val="0"/>
        <w:autoSpaceDN w:val="0"/>
        <w:adjustRightInd w:val="0"/>
        <w:spacing w:line="240" w:lineRule="auto"/>
        <w:ind w:left="640" w:hanging="640"/>
        <w:rPr>
          <w:rFonts w:ascii="Times New Roman" w:hAnsi="Times New Roman" w:cs="Times New Roman"/>
          <w:noProof/>
          <w:sz w:val="24"/>
          <w:szCs w:val="24"/>
        </w:rPr>
      </w:pPr>
      <w:r w:rsidRPr="002465E4">
        <w:rPr>
          <w:rFonts w:ascii="Times New Roman" w:hAnsi="Times New Roman" w:cs="Times New Roman"/>
          <w:noProof/>
          <w:sz w:val="24"/>
          <w:szCs w:val="24"/>
        </w:rPr>
        <w:t xml:space="preserve">4. </w:t>
      </w:r>
      <w:r w:rsidRPr="002465E4">
        <w:rPr>
          <w:rFonts w:ascii="Times New Roman" w:hAnsi="Times New Roman" w:cs="Times New Roman"/>
          <w:noProof/>
          <w:sz w:val="24"/>
          <w:szCs w:val="24"/>
        </w:rPr>
        <w:tab/>
        <w:t>Bekkers JEJ, de Windt TS, Raijmakers NJH, Dhert WJA, Saris DBF. Validation of the Knee Injury and Osteoarthritis Outcome Score (KOOS) for the treatment of focal cartilage lesions. Osteoarthr Cartil [Internet]. 2009 Nov;17(11):1434–9. Available from: http://dx.doi.org/10.1016/j.joca.2009.04.019</w:t>
      </w:r>
    </w:p>
    <w:p w14:paraId="1F00998E" w14:textId="77777777" w:rsidR="002465E4" w:rsidRPr="002465E4" w:rsidRDefault="002465E4" w:rsidP="002465E4">
      <w:pPr>
        <w:widowControl w:val="0"/>
        <w:autoSpaceDE w:val="0"/>
        <w:autoSpaceDN w:val="0"/>
        <w:adjustRightInd w:val="0"/>
        <w:spacing w:line="240" w:lineRule="auto"/>
        <w:ind w:left="640" w:hanging="640"/>
        <w:rPr>
          <w:rFonts w:ascii="Times New Roman" w:hAnsi="Times New Roman" w:cs="Times New Roman"/>
          <w:noProof/>
          <w:sz w:val="24"/>
          <w:szCs w:val="24"/>
        </w:rPr>
      </w:pPr>
      <w:r w:rsidRPr="002465E4">
        <w:rPr>
          <w:rFonts w:ascii="Times New Roman" w:hAnsi="Times New Roman" w:cs="Times New Roman"/>
          <w:noProof/>
          <w:sz w:val="24"/>
          <w:szCs w:val="24"/>
        </w:rPr>
        <w:t xml:space="preserve">5. </w:t>
      </w:r>
      <w:r w:rsidRPr="002465E4">
        <w:rPr>
          <w:rFonts w:ascii="Times New Roman" w:hAnsi="Times New Roman" w:cs="Times New Roman"/>
          <w:noProof/>
          <w:sz w:val="24"/>
          <w:szCs w:val="24"/>
        </w:rPr>
        <w:tab/>
        <w:t xml:space="preserve">Lundberg M. Kinesiophobia - Various Aspects of Moving with Musculoskeletal Pain. Göteborg University; 2006. </w:t>
      </w:r>
    </w:p>
    <w:p w14:paraId="750FA7E3" w14:textId="77777777" w:rsidR="002465E4" w:rsidRPr="002465E4" w:rsidRDefault="002465E4" w:rsidP="002465E4">
      <w:pPr>
        <w:widowControl w:val="0"/>
        <w:autoSpaceDE w:val="0"/>
        <w:autoSpaceDN w:val="0"/>
        <w:adjustRightInd w:val="0"/>
        <w:spacing w:line="240" w:lineRule="auto"/>
        <w:ind w:left="640" w:hanging="640"/>
        <w:rPr>
          <w:rFonts w:ascii="Times New Roman" w:hAnsi="Times New Roman" w:cs="Times New Roman"/>
          <w:noProof/>
          <w:sz w:val="24"/>
          <w:szCs w:val="24"/>
        </w:rPr>
      </w:pPr>
      <w:r w:rsidRPr="002465E4">
        <w:rPr>
          <w:rFonts w:ascii="Times New Roman" w:hAnsi="Times New Roman" w:cs="Times New Roman"/>
          <w:noProof/>
          <w:sz w:val="24"/>
          <w:szCs w:val="24"/>
        </w:rPr>
        <w:t xml:space="preserve">6. </w:t>
      </w:r>
      <w:r w:rsidRPr="002465E4">
        <w:rPr>
          <w:rFonts w:ascii="Times New Roman" w:hAnsi="Times New Roman" w:cs="Times New Roman"/>
          <w:noProof/>
          <w:sz w:val="24"/>
          <w:szCs w:val="24"/>
        </w:rPr>
        <w:tab/>
        <w:t>Ostelo RWJG, Swinkels-Meewisse IJCM, Knol DL, Vlaeyen JWS, de Vet HCW. Assessing pain and pain-related fear in acute low back pain: what is the smallest detectable change? Int J Behav Med [Internet]. 2007;14(4):242–8. Available from: http://www.ncbi.nlm.nih.gov/pubmed/18001240</w:t>
      </w:r>
    </w:p>
    <w:p w14:paraId="74A89E5B" w14:textId="77777777" w:rsidR="002465E4" w:rsidRPr="002465E4" w:rsidRDefault="002465E4" w:rsidP="002465E4">
      <w:pPr>
        <w:widowControl w:val="0"/>
        <w:autoSpaceDE w:val="0"/>
        <w:autoSpaceDN w:val="0"/>
        <w:adjustRightInd w:val="0"/>
        <w:spacing w:line="240" w:lineRule="auto"/>
        <w:ind w:left="640" w:hanging="640"/>
        <w:rPr>
          <w:rFonts w:ascii="Times New Roman" w:hAnsi="Times New Roman" w:cs="Times New Roman"/>
          <w:noProof/>
          <w:sz w:val="24"/>
          <w:szCs w:val="24"/>
        </w:rPr>
      </w:pPr>
      <w:r w:rsidRPr="002465E4">
        <w:rPr>
          <w:rFonts w:ascii="Times New Roman" w:hAnsi="Times New Roman" w:cs="Times New Roman"/>
          <w:noProof/>
          <w:sz w:val="24"/>
          <w:szCs w:val="24"/>
        </w:rPr>
        <w:t xml:space="preserve">7. </w:t>
      </w:r>
      <w:r w:rsidRPr="002465E4">
        <w:rPr>
          <w:rFonts w:ascii="Times New Roman" w:hAnsi="Times New Roman" w:cs="Times New Roman"/>
          <w:noProof/>
          <w:sz w:val="24"/>
          <w:szCs w:val="24"/>
        </w:rPr>
        <w:tab/>
        <w:t xml:space="preserve">Pulles ANTD, Köke AJA, Strackke RP, Smeets RJEM. The responsiveness and interpretability of psychosocial patient-reported outcome measures in chronic musculoskeletal pain rehabilitation. Eur J Pain (United Kingdom). 2020;24(1):134–44. </w:t>
      </w:r>
    </w:p>
    <w:p w14:paraId="03D002AC" w14:textId="77777777" w:rsidR="002465E4" w:rsidRPr="002465E4" w:rsidRDefault="002465E4" w:rsidP="002465E4">
      <w:pPr>
        <w:widowControl w:val="0"/>
        <w:autoSpaceDE w:val="0"/>
        <w:autoSpaceDN w:val="0"/>
        <w:adjustRightInd w:val="0"/>
        <w:spacing w:line="240" w:lineRule="auto"/>
        <w:ind w:left="640" w:hanging="640"/>
        <w:rPr>
          <w:rFonts w:ascii="Times New Roman" w:hAnsi="Times New Roman" w:cs="Times New Roman"/>
          <w:noProof/>
          <w:sz w:val="24"/>
          <w:szCs w:val="24"/>
        </w:rPr>
      </w:pPr>
      <w:r w:rsidRPr="002465E4">
        <w:rPr>
          <w:rFonts w:ascii="Times New Roman" w:hAnsi="Times New Roman" w:cs="Times New Roman"/>
          <w:noProof/>
          <w:sz w:val="24"/>
          <w:szCs w:val="24"/>
        </w:rPr>
        <w:t xml:space="preserve">8. </w:t>
      </w:r>
      <w:r w:rsidRPr="002465E4">
        <w:rPr>
          <w:rFonts w:ascii="Times New Roman" w:hAnsi="Times New Roman" w:cs="Times New Roman"/>
          <w:noProof/>
          <w:sz w:val="24"/>
          <w:szCs w:val="24"/>
        </w:rPr>
        <w:tab/>
        <w:t>Ruwaard J, Lange A, Schrieken B, Dolan C V., Emmelkamp P. The effectiveness of online cognitive behavioral treatment in routine clinical practice. PLoS One [Internet]. 2012;7(7):e40089. Available from: http://www.ncbi.nlm.nih.gov/pubmed/22792217</w:t>
      </w:r>
    </w:p>
    <w:p w14:paraId="5E032C77" w14:textId="77777777" w:rsidR="002465E4" w:rsidRPr="002465E4" w:rsidRDefault="002465E4" w:rsidP="002465E4">
      <w:pPr>
        <w:widowControl w:val="0"/>
        <w:autoSpaceDE w:val="0"/>
        <w:autoSpaceDN w:val="0"/>
        <w:adjustRightInd w:val="0"/>
        <w:spacing w:line="240" w:lineRule="auto"/>
        <w:ind w:left="640" w:hanging="640"/>
        <w:rPr>
          <w:rFonts w:ascii="Times New Roman" w:hAnsi="Times New Roman" w:cs="Times New Roman"/>
          <w:noProof/>
          <w:sz w:val="24"/>
          <w:szCs w:val="24"/>
        </w:rPr>
      </w:pPr>
      <w:r w:rsidRPr="002465E4">
        <w:rPr>
          <w:rFonts w:ascii="Times New Roman" w:hAnsi="Times New Roman" w:cs="Times New Roman"/>
          <w:noProof/>
          <w:sz w:val="24"/>
          <w:szCs w:val="24"/>
        </w:rPr>
        <w:t xml:space="preserve">9. </w:t>
      </w:r>
      <w:r w:rsidRPr="002465E4">
        <w:rPr>
          <w:rFonts w:ascii="Times New Roman" w:hAnsi="Times New Roman" w:cs="Times New Roman"/>
          <w:noProof/>
          <w:sz w:val="24"/>
          <w:szCs w:val="24"/>
        </w:rPr>
        <w:tab/>
        <w:t>Del Baño-Aledo ME, Martínez-Payá JJ, Ríos-Díaz J, Mejías-Suárez S, Serrano-Carmona S, de Groot-Ferrando A. Ultrasound measures of tendon thickness: Intra-rater, Inter-rater and Inter-machine reliability. Muscles Ligaments Tendons J [Internet]. 2015;7(1):192–9. Available from: http://www.ncbi.nlm.nih.gov/pubmed/28717629</w:t>
      </w:r>
    </w:p>
    <w:p w14:paraId="3ACDC2F9" w14:textId="77777777" w:rsidR="002465E4" w:rsidRPr="002465E4" w:rsidRDefault="002465E4" w:rsidP="002465E4">
      <w:pPr>
        <w:widowControl w:val="0"/>
        <w:autoSpaceDE w:val="0"/>
        <w:autoSpaceDN w:val="0"/>
        <w:adjustRightInd w:val="0"/>
        <w:spacing w:line="240" w:lineRule="auto"/>
        <w:ind w:left="640" w:hanging="640"/>
        <w:rPr>
          <w:rFonts w:ascii="Times New Roman" w:hAnsi="Times New Roman" w:cs="Times New Roman"/>
          <w:noProof/>
          <w:sz w:val="24"/>
          <w:szCs w:val="24"/>
        </w:rPr>
      </w:pPr>
      <w:r w:rsidRPr="002465E4">
        <w:rPr>
          <w:rFonts w:ascii="Times New Roman" w:hAnsi="Times New Roman" w:cs="Times New Roman"/>
          <w:noProof/>
          <w:sz w:val="24"/>
          <w:szCs w:val="24"/>
        </w:rPr>
        <w:t xml:space="preserve">10. </w:t>
      </w:r>
      <w:r w:rsidRPr="002465E4">
        <w:rPr>
          <w:rFonts w:ascii="Times New Roman" w:hAnsi="Times New Roman" w:cs="Times New Roman"/>
          <w:noProof/>
          <w:sz w:val="24"/>
          <w:szCs w:val="24"/>
        </w:rPr>
        <w:tab/>
        <w:t>Silbernagel KG, Gustavsson A, Thomeé R, Karlsson J. Evaluation of lower leg function in patients with Achilles tendinopathy. Knee Surgery, Sport Traumatol Arthrosc [Internet]. 2006 Nov 3;14(11):1207–17. Available from: http://link.springer.com/10.1007/s00167-006-0150-6</w:t>
      </w:r>
    </w:p>
    <w:p w14:paraId="02BD99F6" w14:textId="77777777" w:rsidR="002465E4" w:rsidRPr="002465E4" w:rsidRDefault="002465E4" w:rsidP="002465E4">
      <w:pPr>
        <w:widowControl w:val="0"/>
        <w:autoSpaceDE w:val="0"/>
        <w:autoSpaceDN w:val="0"/>
        <w:adjustRightInd w:val="0"/>
        <w:spacing w:line="240" w:lineRule="auto"/>
        <w:ind w:left="640" w:hanging="640"/>
        <w:rPr>
          <w:rFonts w:ascii="Times New Roman" w:hAnsi="Times New Roman" w:cs="Times New Roman"/>
          <w:noProof/>
          <w:sz w:val="24"/>
          <w:szCs w:val="24"/>
        </w:rPr>
      </w:pPr>
      <w:r w:rsidRPr="002465E4">
        <w:rPr>
          <w:rFonts w:ascii="Times New Roman" w:hAnsi="Times New Roman" w:cs="Times New Roman"/>
          <w:noProof/>
          <w:sz w:val="24"/>
          <w:szCs w:val="24"/>
        </w:rPr>
        <w:t xml:space="preserve">11. </w:t>
      </w:r>
      <w:r w:rsidRPr="002465E4">
        <w:rPr>
          <w:rFonts w:ascii="Times New Roman" w:hAnsi="Times New Roman" w:cs="Times New Roman"/>
          <w:noProof/>
          <w:sz w:val="24"/>
          <w:szCs w:val="24"/>
        </w:rPr>
        <w:tab/>
        <w:t xml:space="preserve">Mentiplay BF, Perraton LG, Bower KJ, Adair B, Pua YH, Williams GP, et al. Assessment of lower limb muscle strength and power using hand-held and fixed dynamometry: A reliability and validity study. PLoS One. 2015;10(10):1–18. </w:t>
      </w:r>
    </w:p>
    <w:p w14:paraId="3EC81B21" w14:textId="77777777" w:rsidR="002465E4" w:rsidRPr="002465E4" w:rsidRDefault="002465E4" w:rsidP="002465E4">
      <w:pPr>
        <w:widowControl w:val="0"/>
        <w:autoSpaceDE w:val="0"/>
        <w:autoSpaceDN w:val="0"/>
        <w:adjustRightInd w:val="0"/>
        <w:spacing w:line="240" w:lineRule="auto"/>
        <w:ind w:left="640" w:hanging="640"/>
        <w:rPr>
          <w:rFonts w:ascii="Times New Roman" w:hAnsi="Times New Roman" w:cs="Times New Roman"/>
          <w:noProof/>
          <w:sz w:val="24"/>
        </w:rPr>
      </w:pPr>
      <w:r w:rsidRPr="002465E4">
        <w:rPr>
          <w:rFonts w:ascii="Times New Roman" w:hAnsi="Times New Roman" w:cs="Times New Roman"/>
          <w:noProof/>
          <w:sz w:val="24"/>
          <w:szCs w:val="24"/>
        </w:rPr>
        <w:t xml:space="preserve">12. </w:t>
      </w:r>
      <w:r w:rsidRPr="002465E4">
        <w:rPr>
          <w:rFonts w:ascii="Times New Roman" w:hAnsi="Times New Roman" w:cs="Times New Roman"/>
          <w:noProof/>
          <w:sz w:val="24"/>
          <w:szCs w:val="24"/>
        </w:rPr>
        <w:tab/>
        <w:t xml:space="preserve">Norte GE, Frye JL, Hart JM. Reliability of the superimposed-burst technique in patients </w:t>
      </w:r>
      <w:r w:rsidRPr="002465E4">
        <w:rPr>
          <w:rFonts w:ascii="Times New Roman" w:hAnsi="Times New Roman" w:cs="Times New Roman"/>
          <w:noProof/>
          <w:sz w:val="24"/>
          <w:szCs w:val="24"/>
        </w:rPr>
        <w:lastRenderedPageBreak/>
        <w:t xml:space="preserve">with patellofemoral pain: A technical report. J Athl Train. 2015;50(11):1207–11. </w:t>
      </w:r>
    </w:p>
    <w:p w14:paraId="5A703EBC" w14:textId="4D44AF5F" w:rsidR="00AB2CB6" w:rsidRPr="00AB2CB6" w:rsidRDefault="004E6AAA" w:rsidP="00D5146C">
      <w:pPr>
        <w:rPr>
          <w:rFonts w:ascii="Times New Roman" w:hAnsi="Times New Roman" w:cs="Times New Roman"/>
          <w:bCs/>
          <w:sz w:val="24"/>
          <w:szCs w:val="24"/>
        </w:rPr>
      </w:pPr>
      <w:r>
        <w:rPr>
          <w:rFonts w:ascii="Times New Roman" w:hAnsi="Times New Roman" w:cs="Times New Roman"/>
          <w:bCs/>
          <w:sz w:val="24"/>
          <w:szCs w:val="24"/>
        </w:rPr>
        <w:fldChar w:fldCharType="end"/>
      </w:r>
    </w:p>
    <w:sectPr w:rsidR="00AB2CB6" w:rsidRPr="00AB2C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E54FCE"/>
    <w:multiLevelType w:val="multilevel"/>
    <w:tmpl w:val="3782BF92"/>
    <w:styleLink w:val="Tables"/>
    <w:lvl w:ilvl="0">
      <w:start w:val="1"/>
      <w:numFmt w:val="none"/>
      <w:pStyle w:val="Table-caption"/>
      <w:suff w:val="nothing"/>
      <w:lvlText w:val="Table "/>
      <w:lvlJc w:val="left"/>
      <w:pPr>
        <w:ind w:left="0" w:firstLine="0"/>
      </w:pPr>
      <w:rPr>
        <w:rFonts w:hint="default"/>
      </w:rPr>
    </w:lvl>
    <w:lvl w:ilvl="1">
      <w:start w:val="1"/>
      <w:numFmt w:val="lowerLetter"/>
      <w:lvlText w:val="%2)"/>
      <w:lvlJc w:val="left"/>
      <w:pPr>
        <w:tabs>
          <w:tab w:val="num" w:pos="360"/>
        </w:tabs>
        <w:ind w:left="720" w:hanging="360"/>
      </w:pPr>
      <w:rPr>
        <w:rFonts w:hint="default"/>
      </w:rPr>
    </w:lvl>
    <w:lvl w:ilvl="2">
      <w:start w:val="1"/>
      <w:numFmt w:val="lowerRoman"/>
      <w:lvlRestart w:val="1"/>
      <w:lvlText w:val="%3)"/>
      <w:lvlJc w:val="left"/>
      <w:pPr>
        <w:tabs>
          <w:tab w:val="num" w:pos="720"/>
        </w:tabs>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23C875A2"/>
    <w:multiLevelType w:val="multilevel"/>
    <w:tmpl w:val="2174CBC2"/>
    <w:styleLink w:val="Figures"/>
    <w:lvl w:ilvl="0">
      <w:start w:val="1"/>
      <w:numFmt w:val="none"/>
      <w:pStyle w:val="Figurecaption"/>
      <w:suff w:val="nothing"/>
      <w:lvlText w:val="Figure "/>
      <w:lvlJc w:val="left"/>
      <w:pPr>
        <w:ind w:left="72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2BFD47C8"/>
    <w:multiLevelType w:val="multilevel"/>
    <w:tmpl w:val="2174CBC2"/>
    <w:numStyleLink w:val="Figures"/>
  </w:abstractNum>
  <w:abstractNum w:abstractNumId="3" w15:restartNumberingAfterBreak="0">
    <w:nsid w:val="604A42E8"/>
    <w:multiLevelType w:val="multilevel"/>
    <w:tmpl w:val="3782BF92"/>
    <w:numStyleLink w:val="Tables"/>
  </w:abstractNum>
  <w:num w:numId="1">
    <w:abstractNumId w:val="1"/>
  </w:num>
  <w:num w:numId="2">
    <w:abstractNumId w:val="2"/>
    <w:lvlOverride w:ilvl="0">
      <w:lvl w:ilvl="0">
        <w:start w:val="1"/>
        <w:numFmt w:val="none"/>
        <w:pStyle w:val="Figurecaption"/>
        <w:suff w:val="nothing"/>
        <w:lvlText w:val="Figure "/>
        <w:lvlJc w:val="left"/>
        <w:pPr>
          <w:ind w:left="720" w:firstLine="0"/>
        </w:pPr>
        <w:rPr>
          <w:rFonts w:hint="default"/>
        </w:rPr>
      </w:lvl>
    </w:lvlOverride>
  </w:num>
  <w:num w:numId="3">
    <w:abstractNumId w:val="0"/>
  </w:num>
  <w:num w:numId="4">
    <w:abstractNumId w:val="3"/>
    <w:lvlOverride w:ilvl="0">
      <w:lvl w:ilvl="0">
        <w:start w:val="1"/>
        <w:numFmt w:val="none"/>
        <w:pStyle w:val="Table-caption"/>
        <w:suff w:val="nothing"/>
        <w:lvlText w:val="Table "/>
        <w:lvlJc w:val="left"/>
        <w:pPr>
          <w:ind w:left="0" w:firstLine="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522"/>
    <w:rsid w:val="00113158"/>
    <w:rsid w:val="00132860"/>
    <w:rsid w:val="002465E4"/>
    <w:rsid w:val="003729BC"/>
    <w:rsid w:val="004E6AAA"/>
    <w:rsid w:val="00574918"/>
    <w:rsid w:val="005F422D"/>
    <w:rsid w:val="00692CE4"/>
    <w:rsid w:val="006A5BB7"/>
    <w:rsid w:val="007516DD"/>
    <w:rsid w:val="007E7F04"/>
    <w:rsid w:val="00866522"/>
    <w:rsid w:val="00960739"/>
    <w:rsid w:val="00963FEE"/>
    <w:rsid w:val="00AB2CB6"/>
    <w:rsid w:val="00BC2DCD"/>
    <w:rsid w:val="00C35ED0"/>
    <w:rsid w:val="00CC4C85"/>
    <w:rsid w:val="00D5146C"/>
    <w:rsid w:val="00E257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525BC"/>
  <w15:chartTrackingRefBased/>
  <w15:docId w15:val="{5EB33EC7-7FED-44F3-950A-A7F5DA6C8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6">
    <w:name w:val="heading 6"/>
    <w:basedOn w:val="Normal"/>
    <w:next w:val="Normal"/>
    <w:link w:val="Heading6Char"/>
    <w:uiPriority w:val="9"/>
    <w:semiHidden/>
    <w:unhideWhenUsed/>
    <w:qFormat/>
    <w:rsid w:val="00574918"/>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8">
    <w:name w:val="heading 8"/>
    <w:basedOn w:val="Normal"/>
    <w:next w:val="Normal"/>
    <w:link w:val="Heading8Char"/>
    <w:uiPriority w:val="9"/>
    <w:semiHidden/>
    <w:unhideWhenUsed/>
    <w:qFormat/>
    <w:rsid w:val="00574918"/>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igure-image">
    <w:name w:val="Figure - image"/>
    <w:basedOn w:val="Normal"/>
    <w:next w:val="Normal"/>
    <w:uiPriority w:val="1"/>
    <w:rsid w:val="00866522"/>
    <w:pPr>
      <w:keepNext/>
      <w:keepLines/>
      <w:spacing w:before="720" w:after="0" w:line="480" w:lineRule="auto"/>
      <w:jc w:val="center"/>
    </w:pPr>
    <w:rPr>
      <w:rFonts w:ascii="Times New Roman" w:eastAsia="Times New Roman" w:hAnsi="Times New Roman" w:cs="Times New Roman"/>
      <w:szCs w:val="24"/>
    </w:rPr>
  </w:style>
  <w:style w:type="paragraph" w:customStyle="1" w:styleId="Paragraph">
    <w:name w:val="Paragraph"/>
    <w:basedOn w:val="Normal"/>
    <w:link w:val="ParagraphChar"/>
    <w:qFormat/>
    <w:rsid w:val="00574918"/>
    <w:pPr>
      <w:spacing w:after="0" w:line="480" w:lineRule="atLeast"/>
      <w:ind w:firstLine="720"/>
    </w:pPr>
    <w:rPr>
      <w:rFonts w:ascii="Times New Roman" w:eastAsia="Times New Roman" w:hAnsi="Times New Roman" w:cs="Times New Roman"/>
      <w:sz w:val="24"/>
      <w:szCs w:val="24"/>
    </w:rPr>
  </w:style>
  <w:style w:type="numbering" w:customStyle="1" w:styleId="Figures">
    <w:name w:val="Figures"/>
    <w:uiPriority w:val="99"/>
    <w:rsid w:val="00574918"/>
    <w:pPr>
      <w:numPr>
        <w:numId w:val="1"/>
      </w:numPr>
    </w:pPr>
  </w:style>
  <w:style w:type="character" w:customStyle="1" w:styleId="ParagraphChar">
    <w:name w:val="Paragraph Char"/>
    <w:basedOn w:val="DefaultParagraphFont"/>
    <w:link w:val="Paragraph"/>
    <w:rsid w:val="00574918"/>
    <w:rPr>
      <w:rFonts w:ascii="Times New Roman" w:eastAsia="Times New Roman" w:hAnsi="Times New Roman" w:cs="Times New Roman"/>
      <w:sz w:val="24"/>
      <w:szCs w:val="24"/>
    </w:rPr>
  </w:style>
  <w:style w:type="paragraph" w:customStyle="1" w:styleId="APPENDIXTITLE">
    <w:name w:val="APPENDIX TITLE"/>
    <w:basedOn w:val="Normal"/>
    <w:next w:val="Paragraph"/>
    <w:link w:val="APPENDIXTITLEChar"/>
    <w:uiPriority w:val="2"/>
    <w:rsid w:val="00574918"/>
    <w:pPr>
      <w:spacing w:after="240" w:line="240" w:lineRule="auto"/>
      <w:jc w:val="center"/>
    </w:pPr>
    <w:rPr>
      <w:rFonts w:ascii="Times New Roman" w:eastAsia="Times New Roman" w:hAnsi="Times New Roman" w:cs="Times New Roman"/>
      <w:b/>
      <w:sz w:val="24"/>
      <w:szCs w:val="24"/>
    </w:rPr>
  </w:style>
  <w:style w:type="character" w:customStyle="1" w:styleId="APPENDIXTITLEChar">
    <w:name w:val="APPENDIX TITLE Char"/>
    <w:basedOn w:val="DefaultParagraphFont"/>
    <w:link w:val="APPENDIXTITLE"/>
    <w:uiPriority w:val="2"/>
    <w:rsid w:val="00574918"/>
    <w:rPr>
      <w:rFonts w:ascii="Times New Roman" w:eastAsia="Times New Roman" w:hAnsi="Times New Roman" w:cs="Times New Roman"/>
      <w:b/>
      <w:sz w:val="24"/>
      <w:szCs w:val="24"/>
    </w:rPr>
  </w:style>
  <w:style w:type="paragraph" w:customStyle="1" w:styleId="Figurecaption">
    <w:name w:val="Figure caption"/>
    <w:basedOn w:val="Heading8"/>
    <w:next w:val="Paragraph"/>
    <w:link w:val="FigurecaptionChar"/>
    <w:uiPriority w:val="1"/>
    <w:qFormat/>
    <w:rsid w:val="00574918"/>
    <w:pPr>
      <w:keepNext w:val="0"/>
      <w:numPr>
        <w:numId w:val="2"/>
      </w:numPr>
      <w:spacing w:before="240" w:after="720" w:line="240" w:lineRule="auto"/>
      <w:ind w:left="1260" w:hanging="1260"/>
    </w:pPr>
    <w:rPr>
      <w:rFonts w:ascii="Times New Roman" w:eastAsia="Times New Roman" w:hAnsi="Times New Roman" w:cs="Times New Roman"/>
      <w:color w:val="auto"/>
      <w:sz w:val="24"/>
      <w:szCs w:val="24"/>
    </w:rPr>
  </w:style>
  <w:style w:type="character" w:customStyle="1" w:styleId="FigurecaptionChar">
    <w:name w:val="Figure caption Char"/>
    <w:basedOn w:val="DefaultParagraphFont"/>
    <w:link w:val="Figurecaption"/>
    <w:uiPriority w:val="1"/>
    <w:rsid w:val="00574918"/>
    <w:rPr>
      <w:rFonts w:ascii="Times New Roman" w:eastAsia="Times New Roman" w:hAnsi="Times New Roman" w:cs="Times New Roman"/>
      <w:sz w:val="24"/>
      <w:szCs w:val="24"/>
    </w:rPr>
  </w:style>
  <w:style w:type="character" w:customStyle="1" w:styleId="Heading8Char">
    <w:name w:val="Heading 8 Char"/>
    <w:basedOn w:val="DefaultParagraphFont"/>
    <w:link w:val="Heading8"/>
    <w:uiPriority w:val="9"/>
    <w:semiHidden/>
    <w:rsid w:val="00574918"/>
    <w:rPr>
      <w:rFonts w:asciiTheme="majorHAnsi" w:eastAsiaTheme="majorEastAsia" w:hAnsiTheme="majorHAnsi" w:cstheme="majorBidi"/>
      <w:color w:val="272727" w:themeColor="text1" w:themeTint="D8"/>
      <w:sz w:val="21"/>
      <w:szCs w:val="21"/>
    </w:rPr>
  </w:style>
  <w:style w:type="numbering" w:customStyle="1" w:styleId="Tables">
    <w:name w:val="Tables"/>
    <w:uiPriority w:val="99"/>
    <w:rsid w:val="00574918"/>
    <w:pPr>
      <w:numPr>
        <w:numId w:val="3"/>
      </w:numPr>
    </w:pPr>
  </w:style>
  <w:style w:type="table" w:styleId="TableGrid">
    <w:name w:val="Table Grid"/>
    <w:basedOn w:val="TableNormal"/>
    <w:uiPriority w:val="39"/>
    <w:rsid w:val="0057491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ntent">
    <w:name w:val="Table content"/>
    <w:basedOn w:val="Normal"/>
    <w:next w:val="Normal"/>
    <w:link w:val="TablecontentChar"/>
    <w:uiPriority w:val="1"/>
    <w:rsid w:val="00574918"/>
    <w:pPr>
      <w:keepLines/>
      <w:spacing w:after="0" w:line="240" w:lineRule="auto"/>
    </w:pPr>
    <w:rPr>
      <w:rFonts w:ascii="Times New Roman" w:eastAsia="Times New Roman" w:hAnsi="Times New Roman" w:cs="Times New Roman"/>
      <w:sz w:val="24"/>
      <w:szCs w:val="24"/>
    </w:rPr>
  </w:style>
  <w:style w:type="character" w:customStyle="1" w:styleId="TablecontentChar">
    <w:name w:val="Table content Char"/>
    <w:basedOn w:val="DefaultParagraphFont"/>
    <w:link w:val="Tablecontent"/>
    <w:uiPriority w:val="1"/>
    <w:rsid w:val="00574918"/>
    <w:rPr>
      <w:rFonts w:ascii="Times New Roman" w:eastAsia="Times New Roman" w:hAnsi="Times New Roman" w:cs="Times New Roman"/>
      <w:sz w:val="24"/>
      <w:szCs w:val="24"/>
    </w:rPr>
  </w:style>
  <w:style w:type="paragraph" w:customStyle="1" w:styleId="Table-caption">
    <w:name w:val="Table - caption"/>
    <w:basedOn w:val="Heading6"/>
    <w:next w:val="Tablecontent"/>
    <w:link w:val="Table-captionChar"/>
    <w:uiPriority w:val="1"/>
    <w:rsid w:val="00574918"/>
    <w:pPr>
      <w:numPr>
        <w:numId w:val="4"/>
      </w:numPr>
      <w:spacing w:before="720" w:after="240" w:line="240" w:lineRule="auto"/>
      <w:ind w:left="1260" w:hanging="1260"/>
    </w:pPr>
    <w:rPr>
      <w:rFonts w:ascii="Times New Roman" w:eastAsia="Times New Roman" w:hAnsi="Times New Roman" w:cs="Times New Roman"/>
      <w:color w:val="auto"/>
      <w:sz w:val="24"/>
      <w:szCs w:val="24"/>
    </w:rPr>
  </w:style>
  <w:style w:type="character" w:customStyle="1" w:styleId="Table-captionChar">
    <w:name w:val="Table - caption Char"/>
    <w:basedOn w:val="DefaultParagraphFont"/>
    <w:link w:val="Table-caption"/>
    <w:uiPriority w:val="1"/>
    <w:rsid w:val="00574918"/>
    <w:rPr>
      <w:rFonts w:ascii="Times New Roman" w:eastAsia="Times New Roman" w:hAnsi="Times New Roman" w:cs="Times New Roman"/>
      <w:sz w:val="24"/>
      <w:szCs w:val="24"/>
    </w:rPr>
  </w:style>
  <w:style w:type="character" w:customStyle="1" w:styleId="Heading6Char">
    <w:name w:val="Heading 6 Char"/>
    <w:basedOn w:val="DefaultParagraphFont"/>
    <w:link w:val="Heading6"/>
    <w:uiPriority w:val="9"/>
    <w:semiHidden/>
    <w:rsid w:val="00574918"/>
    <w:rPr>
      <w:rFonts w:asciiTheme="majorHAnsi" w:eastAsiaTheme="majorEastAsia" w:hAnsiTheme="majorHAnsi" w:cstheme="majorBidi"/>
      <w:color w:val="1F3763" w:themeColor="accent1" w:themeShade="7F"/>
    </w:rPr>
  </w:style>
  <w:style w:type="paragraph" w:styleId="BalloonText">
    <w:name w:val="Balloon Text"/>
    <w:basedOn w:val="Normal"/>
    <w:link w:val="BalloonTextChar"/>
    <w:uiPriority w:val="99"/>
    <w:semiHidden/>
    <w:unhideWhenUsed/>
    <w:rsid w:val="003729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29BC"/>
    <w:rPr>
      <w:rFonts w:ascii="Segoe UI" w:hAnsi="Segoe UI" w:cs="Segoe UI"/>
      <w:sz w:val="18"/>
      <w:szCs w:val="18"/>
    </w:rPr>
  </w:style>
  <w:style w:type="character" w:styleId="LineNumber">
    <w:name w:val="line number"/>
    <w:basedOn w:val="DefaultParagraphFont"/>
    <w:uiPriority w:val="99"/>
    <w:semiHidden/>
    <w:unhideWhenUsed/>
    <w:rsid w:val="007516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 (1).xsl" StyleName="APA" Version="6"/>
</file>

<file path=customXml/itemProps1.xml><?xml version="1.0" encoding="utf-8"?>
<ds:datastoreItem xmlns:ds="http://schemas.openxmlformats.org/officeDocument/2006/customXml" ds:itemID="{BCF41C4B-B0A1-4E5E-AE71-1E9FE14D9C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7360</Words>
  <Characters>41956</Characters>
  <Application>Microsoft Office Word</Application>
  <DocSecurity>0</DocSecurity>
  <Lines>349</Lines>
  <Paragraphs>98</Paragraphs>
  <ScaleCrop>false</ScaleCrop>
  <HeadingPairs>
    <vt:vector size="2" baseType="variant">
      <vt:variant>
        <vt:lpstr>Title</vt:lpstr>
      </vt:variant>
      <vt:variant>
        <vt:i4>1</vt:i4>
      </vt:variant>
    </vt:vector>
  </HeadingPairs>
  <TitlesOfParts>
    <vt:vector size="1" baseType="lpstr">
      <vt:lpstr/>
    </vt:vector>
  </TitlesOfParts>
  <Company>University of Delaware</Company>
  <LinksUpToDate>false</LinksUpToDate>
  <CharactersWithSpaces>49218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Sprague</dc:creator>
  <cp:keywords/>
  <dc:description/>
  <cp:lastModifiedBy>Sprague, Andrew</cp:lastModifiedBy>
  <cp:revision>3</cp:revision>
  <dcterms:created xsi:type="dcterms:W3CDTF">2020-12-22T15:01:00Z</dcterms:created>
  <dcterms:modified xsi:type="dcterms:W3CDTF">2021-01-08T18:12:00Z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Citation Style_1">
    <vt:lpwstr>http://www.zotero.org/styles/vancouver</vt:lpwstr>
  </property>
  <property fmtid="{D5CDD505-2E9C-101B-9397-08002B2CF9AE}" pid="23" name="Mendeley Document_1">
    <vt:lpwstr>True</vt:lpwstr>
  </property>
  <property fmtid="{D5CDD505-2E9C-101B-9397-08002B2CF9AE}" pid="24" name="Mendeley Unique User Id_1">
    <vt:lpwstr>5f851a32-e0df-34dd-972f-08354ee8cc06</vt:lpwstr>
  </property>
</Properties>
</file>