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843F18" w14:textId="08634273" w:rsidR="00D5146C" w:rsidRPr="004E6AAA" w:rsidRDefault="00D5146C" w:rsidP="00D5146C">
      <w:pPr>
        <w:rPr>
          <w:rFonts w:ascii="Times New Roman" w:hAnsi="Times New Roman" w:cs="Times New Roman"/>
          <w:b/>
          <w:sz w:val="24"/>
          <w:szCs w:val="24"/>
        </w:rPr>
      </w:pPr>
      <w:r w:rsidRPr="004E6AAA">
        <w:rPr>
          <w:rFonts w:ascii="Times New Roman" w:hAnsi="Times New Roman" w:cs="Times New Roman"/>
          <w:b/>
          <w:sz w:val="24"/>
          <w:szCs w:val="24"/>
        </w:rPr>
        <w:t>Supplementary Material</w:t>
      </w:r>
    </w:p>
    <w:p w14:paraId="67754B37" w14:textId="77777777" w:rsidR="00574918" w:rsidRPr="00574918" w:rsidRDefault="00574918" w:rsidP="00574918">
      <w:pPr>
        <w:pStyle w:val="APPENDIXTITLE"/>
      </w:pPr>
      <w:bookmarkStart w:id="0" w:name="_Toc38475210"/>
      <w:r w:rsidRPr="00574918">
        <w:t xml:space="preserve">Recruitment Strategy For Pilot </w:t>
      </w:r>
      <w:r>
        <w:t>a</w:t>
      </w:r>
      <w:r w:rsidRPr="00574918">
        <w:t>nd Feasibility Study</w:t>
      </w:r>
      <w:bookmarkEnd w:id="0"/>
    </w:p>
    <w:p w14:paraId="19D37278" w14:textId="77777777" w:rsidR="00574918" w:rsidRDefault="00574918" w:rsidP="00574918">
      <w:pPr>
        <w:pStyle w:val="Paragraph"/>
        <w:ind w:firstLine="0"/>
      </w:pPr>
      <w:r>
        <w:tab/>
        <w:t>The recruitment strategy was developed to reach a wide audience through a variety of media formats to ensure a representative sample of participants with patellar tendinopathy. Beginning in January, 2019, local orthopedic and sports medicine physicians, as well as the University of Delaware Physical Therapy clinic, were notified of study initiation and provided with consent to contact forms and study flyers. The flyers directed interested individuals to an online REDCap survey where they could submit contact information and answer preliminary screening questions. On February 26</w:t>
      </w:r>
      <w:r w:rsidRPr="00B25942">
        <w:rPr>
          <w:vertAlign w:val="superscript"/>
        </w:rPr>
        <w:t>th</w:t>
      </w:r>
      <w:r>
        <w:t>, 2019, additional flyers were posted in athletic centers and gyms throughout New Castle County, DE. Facebook and Instagram advertisements were begun on May 9</w:t>
      </w:r>
      <w:r w:rsidRPr="00B25942">
        <w:rPr>
          <w:vertAlign w:val="superscript"/>
        </w:rPr>
        <w:t>th</w:t>
      </w:r>
      <w:r>
        <w:t>, 2019, with a target audience of sports medicine professionals, coaches, and adults within the target age range with interests in sports or recreational fitness. On September 1</w:t>
      </w:r>
      <w:r w:rsidRPr="00B25942">
        <w:rPr>
          <w:vertAlign w:val="superscript"/>
        </w:rPr>
        <w:t>st</w:t>
      </w:r>
      <w:r>
        <w:t>, 2019, advertisements were initiated with Delaware Sports League, an adult recreational sports league. These advertisements included monthly emails and dedicated social media posts. Delaware Sports League advertisements ran from September through November. The total number of interested individuals and the outcomes of screening are displayed in Figure S.1.</w:t>
      </w:r>
    </w:p>
    <w:p w14:paraId="5FDB383D" w14:textId="77777777" w:rsidR="00574918" w:rsidRDefault="00574918" w:rsidP="00574918">
      <w:pPr>
        <w:pStyle w:val="Figure-image"/>
      </w:pPr>
      <w:r>
        <w:rPr>
          <w:noProof/>
        </w:rPr>
        <w:lastRenderedPageBreak/>
        <w:drawing>
          <wp:inline distT="0" distB="0" distL="0" distR="0" wp14:anchorId="47C69A57" wp14:editId="291BD778">
            <wp:extent cx="4476585" cy="2487876"/>
            <wp:effectExtent l="0" t="0" r="635" b="825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05794" cy="2504109"/>
                    </a:xfrm>
                    <a:prstGeom prst="rect">
                      <a:avLst/>
                    </a:prstGeom>
                    <a:noFill/>
                  </pic:spPr>
                </pic:pic>
              </a:graphicData>
            </a:graphic>
          </wp:inline>
        </w:drawing>
      </w:r>
    </w:p>
    <w:p w14:paraId="78096369" w14:textId="77777777" w:rsidR="00574918" w:rsidRPr="00574918" w:rsidRDefault="00574918">
      <w:pPr>
        <w:rPr>
          <w:rFonts w:ascii="Times New Roman" w:hAnsi="Times New Roman" w:cs="Times New Roman"/>
        </w:rPr>
      </w:pPr>
      <w:bookmarkStart w:id="1" w:name="_Toc38475278"/>
      <w:r w:rsidRPr="00574918">
        <w:rPr>
          <w:rFonts w:ascii="Times New Roman" w:hAnsi="Times New Roman" w:cs="Times New Roman"/>
          <w:b/>
        </w:rPr>
        <w:t>Figure S.1.</w:t>
      </w:r>
      <w:r>
        <w:rPr>
          <w:rFonts w:ascii="Times New Roman" w:hAnsi="Times New Roman" w:cs="Times New Roman"/>
        </w:rPr>
        <w:t xml:space="preserve"> </w:t>
      </w:r>
      <w:r w:rsidRPr="00574918">
        <w:rPr>
          <w:rFonts w:ascii="Times New Roman" w:hAnsi="Times New Roman" w:cs="Times New Roman"/>
        </w:rPr>
        <w:t>Recruitment by month for pilot and feasibility randomized clinical trial.</w:t>
      </w:r>
      <w:bookmarkStart w:id="2" w:name="_Toc38475212"/>
      <w:bookmarkEnd w:id="1"/>
      <w:r>
        <w:br w:type="page"/>
      </w:r>
    </w:p>
    <w:p w14:paraId="6FF5AB75" w14:textId="77777777" w:rsidR="00574918" w:rsidRPr="00574918" w:rsidRDefault="00574918" w:rsidP="00574918">
      <w:pPr>
        <w:rPr>
          <w:rFonts w:ascii="Times New Roman" w:hAnsi="Times New Roman" w:cs="Times New Roman"/>
          <w:sz w:val="24"/>
          <w:szCs w:val="24"/>
        </w:rPr>
      </w:pPr>
      <w:bookmarkStart w:id="3" w:name="_Toc38475246"/>
      <w:bookmarkEnd w:id="2"/>
      <w:r w:rsidRPr="00574918">
        <w:rPr>
          <w:rFonts w:ascii="Times New Roman" w:hAnsi="Times New Roman" w:cs="Times New Roman"/>
          <w:b/>
          <w:sz w:val="24"/>
          <w:szCs w:val="24"/>
        </w:rPr>
        <w:lastRenderedPageBreak/>
        <w:t>Table S.1.</w:t>
      </w:r>
      <w:r w:rsidRPr="00574918">
        <w:rPr>
          <w:rFonts w:ascii="Times New Roman" w:hAnsi="Times New Roman" w:cs="Times New Roman"/>
          <w:sz w:val="24"/>
          <w:szCs w:val="24"/>
        </w:rPr>
        <w:t xml:space="preserve"> Reliability and responsiveness of outcome measures.</w:t>
      </w:r>
      <w:bookmarkEnd w:id="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8" w:type="dxa"/>
          <w:left w:w="115" w:type="dxa"/>
          <w:bottom w:w="58" w:type="dxa"/>
          <w:right w:w="115" w:type="dxa"/>
        </w:tblCellMar>
        <w:tblLook w:val="04A0" w:firstRow="1" w:lastRow="0" w:firstColumn="1" w:lastColumn="0" w:noHBand="0" w:noVBand="1"/>
      </w:tblPr>
      <w:tblGrid>
        <w:gridCol w:w="2245"/>
        <w:gridCol w:w="1440"/>
        <w:gridCol w:w="1341"/>
        <w:gridCol w:w="1357"/>
        <w:gridCol w:w="1183"/>
        <w:gridCol w:w="786"/>
      </w:tblGrid>
      <w:tr w:rsidR="00574918" w14:paraId="51442E8B" w14:textId="77777777" w:rsidTr="00C260F3">
        <w:tc>
          <w:tcPr>
            <w:tcW w:w="2245" w:type="dxa"/>
            <w:tcBorders>
              <w:top w:val="single" w:sz="4" w:space="0" w:color="auto"/>
            </w:tcBorders>
          </w:tcPr>
          <w:p w14:paraId="3EBFA143" w14:textId="77777777" w:rsidR="00574918" w:rsidRPr="00DD5F1E" w:rsidRDefault="00574918" w:rsidP="00C260F3">
            <w:pPr>
              <w:pStyle w:val="Paragraph"/>
              <w:spacing w:line="240" w:lineRule="auto"/>
              <w:ind w:firstLine="0"/>
              <w:rPr>
                <w:sz w:val="20"/>
                <w:szCs w:val="20"/>
              </w:rPr>
            </w:pPr>
            <w:bookmarkStart w:id="4" w:name="_Hlk37853105"/>
          </w:p>
        </w:tc>
        <w:tc>
          <w:tcPr>
            <w:tcW w:w="1440" w:type="dxa"/>
            <w:tcBorders>
              <w:top w:val="single" w:sz="4" w:space="0" w:color="auto"/>
              <w:bottom w:val="single" w:sz="4" w:space="0" w:color="auto"/>
            </w:tcBorders>
          </w:tcPr>
          <w:p w14:paraId="589A679F" w14:textId="77777777" w:rsidR="00574918" w:rsidRPr="00DD5F1E" w:rsidRDefault="00574918" w:rsidP="00C260F3">
            <w:pPr>
              <w:pStyle w:val="Paragraph"/>
              <w:spacing w:line="240" w:lineRule="auto"/>
              <w:ind w:firstLine="0"/>
              <w:jc w:val="center"/>
              <w:rPr>
                <w:b/>
                <w:sz w:val="20"/>
                <w:szCs w:val="20"/>
              </w:rPr>
            </w:pPr>
            <w:r w:rsidRPr="00DD5F1E">
              <w:rPr>
                <w:b/>
                <w:sz w:val="20"/>
                <w:szCs w:val="20"/>
              </w:rPr>
              <w:t>ICC</w:t>
            </w:r>
          </w:p>
        </w:tc>
        <w:tc>
          <w:tcPr>
            <w:tcW w:w="1341" w:type="dxa"/>
            <w:tcBorders>
              <w:top w:val="single" w:sz="4" w:space="0" w:color="auto"/>
              <w:bottom w:val="single" w:sz="4" w:space="0" w:color="auto"/>
            </w:tcBorders>
          </w:tcPr>
          <w:p w14:paraId="36862843" w14:textId="77777777" w:rsidR="00574918" w:rsidRPr="00DD5F1E" w:rsidRDefault="00574918" w:rsidP="00C260F3">
            <w:pPr>
              <w:pStyle w:val="Paragraph"/>
              <w:spacing w:line="240" w:lineRule="auto"/>
              <w:ind w:firstLine="0"/>
              <w:jc w:val="center"/>
              <w:rPr>
                <w:b/>
                <w:sz w:val="20"/>
                <w:szCs w:val="20"/>
              </w:rPr>
            </w:pPr>
            <w:r w:rsidRPr="00DD5F1E">
              <w:rPr>
                <w:b/>
                <w:sz w:val="20"/>
                <w:szCs w:val="20"/>
              </w:rPr>
              <w:t>SEM</w:t>
            </w:r>
          </w:p>
        </w:tc>
        <w:tc>
          <w:tcPr>
            <w:tcW w:w="0" w:type="auto"/>
            <w:tcBorders>
              <w:top w:val="single" w:sz="4" w:space="0" w:color="auto"/>
              <w:bottom w:val="single" w:sz="4" w:space="0" w:color="auto"/>
            </w:tcBorders>
          </w:tcPr>
          <w:p w14:paraId="53C36296" w14:textId="77777777" w:rsidR="00574918" w:rsidRPr="00DD5F1E" w:rsidRDefault="00574918" w:rsidP="00C260F3">
            <w:pPr>
              <w:pStyle w:val="Paragraph"/>
              <w:spacing w:line="240" w:lineRule="auto"/>
              <w:ind w:firstLine="0"/>
              <w:jc w:val="center"/>
              <w:rPr>
                <w:b/>
                <w:sz w:val="20"/>
                <w:szCs w:val="20"/>
                <w:vertAlign w:val="subscript"/>
              </w:rPr>
            </w:pPr>
            <w:r w:rsidRPr="00DD5F1E">
              <w:rPr>
                <w:b/>
                <w:sz w:val="20"/>
                <w:szCs w:val="20"/>
              </w:rPr>
              <w:t>SDC</w:t>
            </w:r>
            <w:r w:rsidRPr="00DD5F1E">
              <w:rPr>
                <w:b/>
                <w:sz w:val="20"/>
                <w:szCs w:val="20"/>
                <w:vertAlign w:val="subscript"/>
              </w:rPr>
              <w:t>95%-individual</w:t>
            </w:r>
          </w:p>
        </w:tc>
        <w:tc>
          <w:tcPr>
            <w:tcW w:w="0" w:type="auto"/>
            <w:tcBorders>
              <w:top w:val="single" w:sz="4" w:space="0" w:color="auto"/>
              <w:bottom w:val="single" w:sz="4" w:space="0" w:color="auto"/>
            </w:tcBorders>
          </w:tcPr>
          <w:p w14:paraId="09AA02F1" w14:textId="77777777" w:rsidR="00574918" w:rsidRPr="00DD5F1E" w:rsidRDefault="00574918" w:rsidP="00C260F3">
            <w:pPr>
              <w:pStyle w:val="Paragraph"/>
              <w:spacing w:line="240" w:lineRule="auto"/>
              <w:ind w:firstLine="0"/>
              <w:jc w:val="center"/>
              <w:rPr>
                <w:b/>
                <w:sz w:val="20"/>
                <w:szCs w:val="20"/>
                <w:vertAlign w:val="subscript"/>
              </w:rPr>
            </w:pPr>
            <w:r w:rsidRPr="00DD5F1E">
              <w:rPr>
                <w:b/>
                <w:sz w:val="20"/>
                <w:szCs w:val="20"/>
              </w:rPr>
              <w:t>SDC</w:t>
            </w:r>
            <w:r w:rsidRPr="00DD5F1E">
              <w:rPr>
                <w:b/>
                <w:sz w:val="20"/>
                <w:szCs w:val="20"/>
                <w:vertAlign w:val="subscript"/>
              </w:rPr>
              <w:t>95%-group</w:t>
            </w:r>
          </w:p>
        </w:tc>
        <w:tc>
          <w:tcPr>
            <w:tcW w:w="0" w:type="auto"/>
            <w:tcBorders>
              <w:top w:val="single" w:sz="4" w:space="0" w:color="auto"/>
              <w:bottom w:val="single" w:sz="4" w:space="0" w:color="auto"/>
            </w:tcBorders>
          </w:tcPr>
          <w:p w14:paraId="5A3F80FC" w14:textId="77777777" w:rsidR="00574918" w:rsidRPr="00DD5F1E" w:rsidRDefault="00574918" w:rsidP="00C260F3">
            <w:pPr>
              <w:pStyle w:val="Paragraph"/>
              <w:spacing w:line="240" w:lineRule="auto"/>
              <w:ind w:firstLine="0"/>
              <w:jc w:val="center"/>
              <w:rPr>
                <w:b/>
                <w:sz w:val="20"/>
                <w:szCs w:val="20"/>
              </w:rPr>
            </w:pPr>
            <w:r w:rsidRPr="00DD5F1E">
              <w:rPr>
                <w:b/>
                <w:sz w:val="20"/>
                <w:szCs w:val="20"/>
              </w:rPr>
              <w:t>MCID</w:t>
            </w:r>
          </w:p>
        </w:tc>
      </w:tr>
      <w:tr w:rsidR="00574918" w14:paraId="2CB36CF5" w14:textId="77777777" w:rsidTr="00C260F3">
        <w:tc>
          <w:tcPr>
            <w:tcW w:w="2245" w:type="dxa"/>
          </w:tcPr>
          <w:p w14:paraId="3FBA7305" w14:textId="57DEF2AB" w:rsidR="00574918" w:rsidRPr="00DD5F1E" w:rsidRDefault="00574918" w:rsidP="00C260F3">
            <w:pPr>
              <w:pStyle w:val="Paragraph"/>
              <w:spacing w:line="240" w:lineRule="auto"/>
              <w:ind w:firstLine="0"/>
              <w:rPr>
                <w:b/>
                <w:sz w:val="20"/>
                <w:szCs w:val="20"/>
              </w:rPr>
            </w:pPr>
            <w:r w:rsidRPr="00DD5F1E">
              <w:rPr>
                <w:b/>
                <w:sz w:val="20"/>
                <w:szCs w:val="20"/>
              </w:rPr>
              <w:t>VISA-P (points)</w:t>
            </w:r>
            <w:r w:rsidRPr="00DD5F1E">
              <w:rPr>
                <w:b/>
                <w:sz w:val="20"/>
                <w:szCs w:val="20"/>
              </w:rPr>
              <w:fldChar w:fldCharType="begin" w:fldLock="1"/>
            </w:r>
            <w:r w:rsidR="004E6AAA">
              <w:rPr>
                <w:b/>
                <w:sz w:val="20"/>
                <w:szCs w:val="20"/>
              </w:rPr>
              <w:instrText>ADDIN CSL_CITATION {"citationItems":[{"id":"ITEM-1","itemData":{"DOI":"10.1136/bjsports-2012-091163","ISBN":"1473-0480","ISSN":"0306-3674","PMID":"23012320","abstract":"BACKGROUND: Patient-reported outcome measures are increasingly used in sports medicine to assess results after treatment, but interpretability of change for many instruments remains unclear.\\n\\nOBJECTIVE: To define the minimum clinically important difference (MCID) for the Victorian Institute of Sport Assessment scale (VISA-P) in athletes with patellar tendinopathy (PT) who underwent conservative treatment.\\n\\nMETHODS: Ninety-eight athletes with PT were enrolled in the study. Each participant completed the VISA-P at admission, after 1 week, and at the final visit. Athletes also assessed their clinical change at discharge on a 15-point Likert scale. We equated important change with a score of ≥3 (somewhat better). Receiver-operating characteristic (ROC) curve analysis and mean change score were used to determine MCID. Minimal detectable change was calculated. The effect of baseline scores on MCID and different criteria used to define important change were investigated. A Bayesian analysis was used to establish the posterior probability of reporting clinical changes related to MCID value.\\n\\nRESULTS: Athletes with PT who showed an absolute change greater than 13 points in the VISA-P score or 15.4-27% of relative change achieved a minimal important change in their clinical status. This value depended on baseline scores. The probability of a clinical change in a patient was 98% when this threshold was achieved and 45% when MCID was not achieved.\\n\\nCONCLUSIONS: Definition of the MCID will enhance the interpretability of changes in the VISA-P score in the athletes with PT, but caution is required when these values are used.","author":[{"dropping-particle":"","family":"Hernandez-Sanchez","given":"S.","non-dropping-particle":"","parse-names":false,"suffix":""},{"dropping-particle":"","family":"Hidalgo","given":"M. D.","non-dropping-particle":"","parse-names":false,"suffix":""},{"dropping-particle":"","family":"Gomez","given":"a.","non-dropping-particle":"","parse-names":false,"suffix":""}],"container-title":"British Journal of Sports Medicine","id":"ITEM-1","issue":"6","issued":{"date-parts":[["2012","3"]]},"note":"From Duplicate 1 (Responsiveness of the VISA-P scale for patellar tendinopathy in athletes - Hernandez-Sanchez, S.; Hidalgo, M. D.; Gomez, a.)\n\nUsed athletic population\n\nMCID = 13 points or 15.4-27% improvement from baseline\n\nFrom Duplicate 2 (Responsiveness of the VISA-P scale for patellar tendinopathy in athletes - Hernandez-Sanchez, S.; Hidalgo, M. D.; Gomez, a.)\n\nFrom Duplicate 1 (Responsiveness of the VISA-P scale for patellar tendinopathy in athletes - Hernandez-Sanchez, S.; Hidalgo, M. D.; Gomez, a.)\n\nUsed athletic population\n\nMCID = 13 points or 15.4-27% improvement from baseline\n\nFrom Duplicate 2 (Responsiveness of the VISA-P scale for patellar tendinopathy in athletes - Hernandez-Sanchez, S; Hidalgo, M D; Gomez, A)\n\nLR: 20151119; JID: 0432520; OTO: NOTNLM; ppublish","page":"453-457","title":"Responsiveness of the VISA-P scale for patellar tendinopathy in athletes","type":"article-journal","volume":"3"},"uris":["http://www.mendeley.com/documents/?uuid=187380ac-91cc-49fb-adc2-e7d4f31b14fa"]}],"mendeley":{"formattedCitation":"(1)","plainTextFormattedCitation":"(1)","previouslyFormattedCitation":"&lt;sup&gt;1&lt;/sup&gt;"},"properties":{"noteIndex":0},"schema":"https://github.com/citation-style-language/schema/raw/master/csl-citation.json"}</w:instrText>
            </w:r>
            <w:r w:rsidRPr="00DD5F1E">
              <w:rPr>
                <w:b/>
                <w:sz w:val="20"/>
                <w:szCs w:val="20"/>
              </w:rPr>
              <w:fldChar w:fldCharType="separate"/>
            </w:r>
            <w:r w:rsidR="004E6AAA" w:rsidRPr="004E6AAA">
              <w:rPr>
                <w:noProof/>
                <w:sz w:val="20"/>
                <w:szCs w:val="20"/>
              </w:rPr>
              <w:t>(1)</w:t>
            </w:r>
            <w:r w:rsidRPr="00DD5F1E">
              <w:rPr>
                <w:b/>
                <w:sz w:val="20"/>
                <w:szCs w:val="20"/>
              </w:rPr>
              <w:fldChar w:fldCharType="end"/>
            </w:r>
          </w:p>
        </w:tc>
        <w:tc>
          <w:tcPr>
            <w:tcW w:w="1440" w:type="dxa"/>
            <w:tcBorders>
              <w:top w:val="single" w:sz="4" w:space="0" w:color="auto"/>
            </w:tcBorders>
          </w:tcPr>
          <w:p w14:paraId="6EDB6F90" w14:textId="77777777" w:rsidR="00574918" w:rsidRPr="00DD5F1E" w:rsidRDefault="00574918" w:rsidP="00C260F3">
            <w:pPr>
              <w:pStyle w:val="Paragraph"/>
              <w:spacing w:line="240" w:lineRule="auto"/>
              <w:ind w:firstLine="0"/>
              <w:jc w:val="center"/>
              <w:rPr>
                <w:sz w:val="20"/>
                <w:szCs w:val="20"/>
              </w:rPr>
            </w:pPr>
            <w:r w:rsidRPr="00DD5F1E">
              <w:rPr>
                <w:sz w:val="20"/>
                <w:szCs w:val="20"/>
              </w:rPr>
              <w:t>0.95</w:t>
            </w:r>
          </w:p>
        </w:tc>
        <w:tc>
          <w:tcPr>
            <w:tcW w:w="1341" w:type="dxa"/>
            <w:tcBorders>
              <w:top w:val="single" w:sz="4" w:space="0" w:color="auto"/>
            </w:tcBorders>
          </w:tcPr>
          <w:p w14:paraId="7353E4F7" w14:textId="77777777" w:rsidR="00574918" w:rsidRPr="00DD5F1E" w:rsidRDefault="00574918" w:rsidP="00C260F3">
            <w:pPr>
              <w:pStyle w:val="Paragraph"/>
              <w:spacing w:line="240" w:lineRule="auto"/>
              <w:ind w:firstLine="0"/>
              <w:jc w:val="center"/>
              <w:rPr>
                <w:sz w:val="20"/>
                <w:szCs w:val="20"/>
              </w:rPr>
            </w:pPr>
            <w:r w:rsidRPr="00DD5F1E">
              <w:rPr>
                <w:sz w:val="20"/>
                <w:szCs w:val="20"/>
              </w:rPr>
              <w:t>4.0</w:t>
            </w:r>
          </w:p>
        </w:tc>
        <w:tc>
          <w:tcPr>
            <w:tcW w:w="0" w:type="auto"/>
            <w:tcBorders>
              <w:top w:val="single" w:sz="4" w:space="0" w:color="auto"/>
            </w:tcBorders>
          </w:tcPr>
          <w:p w14:paraId="7483C918" w14:textId="77777777" w:rsidR="00574918" w:rsidRPr="00DD5F1E" w:rsidRDefault="00574918" w:rsidP="00C260F3">
            <w:pPr>
              <w:pStyle w:val="Paragraph"/>
              <w:spacing w:line="240" w:lineRule="auto"/>
              <w:ind w:firstLine="0"/>
              <w:jc w:val="center"/>
              <w:rPr>
                <w:sz w:val="20"/>
                <w:szCs w:val="20"/>
              </w:rPr>
            </w:pPr>
            <w:r w:rsidRPr="00DD5F1E">
              <w:rPr>
                <w:sz w:val="20"/>
                <w:szCs w:val="20"/>
              </w:rPr>
              <w:t>11.1</w:t>
            </w:r>
          </w:p>
        </w:tc>
        <w:tc>
          <w:tcPr>
            <w:tcW w:w="0" w:type="auto"/>
            <w:tcBorders>
              <w:top w:val="single" w:sz="4" w:space="0" w:color="auto"/>
            </w:tcBorders>
          </w:tcPr>
          <w:p w14:paraId="7EC6972D" w14:textId="77777777" w:rsidR="00574918" w:rsidRPr="00DD5F1E" w:rsidRDefault="00574918" w:rsidP="00C260F3">
            <w:pPr>
              <w:pStyle w:val="Paragraph"/>
              <w:spacing w:line="240" w:lineRule="auto"/>
              <w:ind w:firstLine="0"/>
              <w:jc w:val="center"/>
              <w:rPr>
                <w:sz w:val="20"/>
                <w:szCs w:val="20"/>
              </w:rPr>
            </w:pPr>
            <w:r w:rsidRPr="00DD5F1E">
              <w:rPr>
                <w:sz w:val="20"/>
                <w:szCs w:val="20"/>
              </w:rPr>
              <w:t>1.2</w:t>
            </w:r>
          </w:p>
        </w:tc>
        <w:tc>
          <w:tcPr>
            <w:tcW w:w="0" w:type="auto"/>
            <w:tcBorders>
              <w:top w:val="single" w:sz="4" w:space="0" w:color="auto"/>
            </w:tcBorders>
          </w:tcPr>
          <w:p w14:paraId="23A2841F" w14:textId="77777777" w:rsidR="00574918" w:rsidRPr="00DD5F1E" w:rsidRDefault="00574918" w:rsidP="00C260F3">
            <w:pPr>
              <w:pStyle w:val="Paragraph"/>
              <w:spacing w:line="240" w:lineRule="auto"/>
              <w:ind w:firstLine="0"/>
              <w:jc w:val="center"/>
              <w:rPr>
                <w:sz w:val="20"/>
                <w:szCs w:val="20"/>
              </w:rPr>
            </w:pPr>
            <w:r w:rsidRPr="00DD5F1E">
              <w:rPr>
                <w:sz w:val="20"/>
                <w:szCs w:val="20"/>
              </w:rPr>
              <w:t>13.0</w:t>
            </w:r>
          </w:p>
        </w:tc>
      </w:tr>
      <w:tr w:rsidR="00574918" w14:paraId="095BD24F" w14:textId="77777777" w:rsidTr="00C260F3">
        <w:tc>
          <w:tcPr>
            <w:tcW w:w="2245" w:type="dxa"/>
            <w:shd w:val="clear" w:color="auto" w:fill="BFBFBF" w:themeFill="background1" w:themeFillShade="BF"/>
          </w:tcPr>
          <w:p w14:paraId="7A67C8B8" w14:textId="51B1F4D0" w:rsidR="00574918" w:rsidRPr="00DD5F1E" w:rsidRDefault="00574918" w:rsidP="00C260F3">
            <w:pPr>
              <w:pStyle w:val="Paragraph"/>
              <w:spacing w:line="240" w:lineRule="auto"/>
              <w:ind w:firstLine="0"/>
              <w:rPr>
                <w:b/>
                <w:sz w:val="20"/>
                <w:szCs w:val="20"/>
              </w:rPr>
            </w:pPr>
            <w:r w:rsidRPr="00DD5F1E">
              <w:rPr>
                <w:b/>
                <w:sz w:val="20"/>
                <w:szCs w:val="20"/>
              </w:rPr>
              <w:t>TSK-17 (points)</w:t>
            </w:r>
            <w:r w:rsidRPr="00DD5F1E">
              <w:rPr>
                <w:b/>
                <w:sz w:val="20"/>
                <w:szCs w:val="20"/>
              </w:rPr>
              <w:fldChar w:fldCharType="begin" w:fldLock="1"/>
            </w:r>
            <w:r w:rsidR="004E6AAA">
              <w:rPr>
                <w:b/>
                <w:sz w:val="20"/>
                <w:szCs w:val="20"/>
              </w:rPr>
              <w:instrText>ADDIN CSL_CITATION {"citationItems":[{"id":"ITEM-1","itemData":{"ISBN":"9162867385","author":[{"dropping-particle":"","family":"Lundberg","given":"Mari","non-dropping-particle":"","parse-names":false,"suffix":""}],"id":"ITEM-1","issued":{"date-parts":[["2006"]]},"publisher":"Göteborg University","title":"Kinesiophobia - Various Aspects of Moving with Musculoskeletal Pain","type":"thesis"},"uris":["http://www.mendeley.com/documents/?uuid=5deca855-84ed-4554-a26a-ad8eca0e4286"]},{"id":"ITEM-2","itemData":{"DOI":"10.1007/bf03002999","ISSN":"1070-5503","PMID":"18001240","abstract":"BACKGROUND The Tampa Scale for Kinesiophobia (TSK) and the Fear-Avoidance Beliefs Questionnaire (FABQ) are frequently used questionnaires for pain-related fear, and the visual analogue scale (VAS) is for pain. PURPOSE This study aims to determine the smallest detectable change (SDC) of these questionnaires in patients with acute low back pain (LBP), as well as ceiling and/or floor effects. RESULTS The SDC for the TSK (scoring range: 17-68) was 9.2 (95% CI: 8.4; 10.3). The estimated SDC was 9.4 (95% CI: 8.5; 10.6) and 12.7 (95% CI: 11.5; 14.1) for the FABQ physical activity subscale (scoring range: 0-24) and/or work subscale (scoring range: 0-42), respectively. For the VAS for pain (0-100 mm), the SDC turned out to be 36.2 mm (95% CI: 32.4; 41.0). The FABQ physical activity subscale and pain (VAS) seem to have considerable problems in detecting improvement and deterioration. The TSK appears to be able to detect improvement as well as deterioration. CONCLUSION The SDCs of the (subscales of) questionnaires range from 18% to 40%. Floor and/or ceiling effects were detected for most scales, except the TSK total and the TSK activity avoidance subscale. These results should be considered when using these questionnaires as measures of therapeutic change in acute LBP.","author":[{"dropping-particle":"","family":"Ostelo","given":"Raymond W J G","non-dropping-particle":"","parse-names":false,"suffix":""},{"dropping-particle":"","family":"Swinkels-Meewisse","given":"Ilse J C M","non-dropping-particle":"","parse-names":false,"suffix":""},{"dropping-particle":"","family":"Knol","given":"Dirk L.","non-dropping-particle":"","parse-names":false,"suffix":""},{"dropping-particle":"","family":"Vlaeyen","given":"Johan W S","non-dropping-particle":"","parse-names":false,"suffix":""},{"dropping-particle":"","family":"Vet","given":"Henrica C W","non-dropping-particle":"de","parse-names":false,"suffix":""}],"container-title":"International journal of behavioral medicine","id":"ITEM-2","issue":"4","issued":{"date-parts":[["2007"]]},"page":"242-8","title":"Assessing pain and pain-related fear in acute low back pain: what is the smallest detectable change?","type":"article-journal","volume":"14"},"uris":["http://www.mendeley.com/documents/?uuid=ca8713a5-6d0d-4ce6-afca-2ded25a87057"]}],"mendeley":{"formattedCitation":"(2,3)","plainTextFormattedCitation":"(2,3)","previouslyFormattedCitation":"&lt;sup&gt;2,3&lt;/sup&gt;"},"properties":{"noteIndex":0},"schema":"https://github.com/citation-style-language/schema/raw/master/csl-citation.json"}</w:instrText>
            </w:r>
            <w:r w:rsidRPr="00DD5F1E">
              <w:rPr>
                <w:b/>
                <w:sz w:val="20"/>
                <w:szCs w:val="20"/>
              </w:rPr>
              <w:fldChar w:fldCharType="separate"/>
            </w:r>
            <w:r w:rsidR="004E6AAA" w:rsidRPr="004E6AAA">
              <w:rPr>
                <w:noProof/>
                <w:sz w:val="20"/>
                <w:szCs w:val="20"/>
              </w:rPr>
              <w:t>(2,3)</w:t>
            </w:r>
            <w:r w:rsidRPr="00DD5F1E">
              <w:rPr>
                <w:b/>
                <w:sz w:val="20"/>
                <w:szCs w:val="20"/>
              </w:rPr>
              <w:fldChar w:fldCharType="end"/>
            </w:r>
          </w:p>
        </w:tc>
        <w:tc>
          <w:tcPr>
            <w:tcW w:w="1440" w:type="dxa"/>
            <w:shd w:val="clear" w:color="auto" w:fill="BFBFBF" w:themeFill="background1" w:themeFillShade="BF"/>
          </w:tcPr>
          <w:p w14:paraId="7A8C3340" w14:textId="77777777" w:rsidR="00574918" w:rsidRPr="00DD5F1E" w:rsidRDefault="00574918" w:rsidP="00C260F3">
            <w:pPr>
              <w:pStyle w:val="Paragraph"/>
              <w:spacing w:line="240" w:lineRule="auto"/>
              <w:ind w:firstLine="0"/>
              <w:jc w:val="center"/>
              <w:rPr>
                <w:sz w:val="20"/>
                <w:szCs w:val="20"/>
              </w:rPr>
            </w:pPr>
            <w:r w:rsidRPr="00DD5F1E">
              <w:rPr>
                <w:sz w:val="20"/>
                <w:szCs w:val="20"/>
              </w:rPr>
              <w:t>0.91</w:t>
            </w:r>
          </w:p>
        </w:tc>
        <w:tc>
          <w:tcPr>
            <w:tcW w:w="1341" w:type="dxa"/>
            <w:shd w:val="clear" w:color="auto" w:fill="BFBFBF" w:themeFill="background1" w:themeFillShade="BF"/>
          </w:tcPr>
          <w:p w14:paraId="6F971A8E" w14:textId="77777777" w:rsidR="00574918" w:rsidRPr="00DD5F1E" w:rsidRDefault="00574918" w:rsidP="00C260F3">
            <w:pPr>
              <w:pStyle w:val="Paragraph"/>
              <w:spacing w:line="240" w:lineRule="auto"/>
              <w:ind w:firstLine="0"/>
              <w:jc w:val="center"/>
              <w:rPr>
                <w:sz w:val="20"/>
                <w:szCs w:val="20"/>
              </w:rPr>
            </w:pPr>
            <w:r w:rsidRPr="00DD5F1E">
              <w:rPr>
                <w:sz w:val="20"/>
                <w:szCs w:val="20"/>
              </w:rPr>
              <w:t>3.3</w:t>
            </w:r>
          </w:p>
        </w:tc>
        <w:tc>
          <w:tcPr>
            <w:tcW w:w="0" w:type="auto"/>
            <w:shd w:val="clear" w:color="auto" w:fill="BFBFBF" w:themeFill="background1" w:themeFillShade="BF"/>
          </w:tcPr>
          <w:p w14:paraId="12E2A09E" w14:textId="77777777" w:rsidR="00574918" w:rsidRPr="00DD5F1E" w:rsidRDefault="00574918" w:rsidP="00C260F3">
            <w:pPr>
              <w:pStyle w:val="Paragraph"/>
              <w:spacing w:line="240" w:lineRule="auto"/>
              <w:ind w:firstLine="0"/>
              <w:jc w:val="center"/>
              <w:rPr>
                <w:sz w:val="20"/>
                <w:szCs w:val="20"/>
              </w:rPr>
            </w:pPr>
            <w:r w:rsidRPr="00DD5F1E">
              <w:rPr>
                <w:sz w:val="20"/>
                <w:szCs w:val="20"/>
              </w:rPr>
              <w:t>9.2</w:t>
            </w:r>
          </w:p>
        </w:tc>
        <w:tc>
          <w:tcPr>
            <w:tcW w:w="0" w:type="auto"/>
            <w:shd w:val="clear" w:color="auto" w:fill="BFBFBF" w:themeFill="background1" w:themeFillShade="BF"/>
          </w:tcPr>
          <w:p w14:paraId="1B387796" w14:textId="77777777" w:rsidR="00574918" w:rsidRPr="00DD5F1E" w:rsidRDefault="00574918" w:rsidP="00C260F3">
            <w:pPr>
              <w:pStyle w:val="Paragraph"/>
              <w:spacing w:line="240" w:lineRule="auto"/>
              <w:ind w:firstLine="0"/>
              <w:jc w:val="center"/>
              <w:rPr>
                <w:sz w:val="20"/>
                <w:szCs w:val="20"/>
              </w:rPr>
            </w:pPr>
            <w:r w:rsidRPr="00DD5F1E">
              <w:rPr>
                <w:sz w:val="20"/>
                <w:szCs w:val="20"/>
              </w:rPr>
              <w:t>0.7</w:t>
            </w:r>
          </w:p>
        </w:tc>
        <w:tc>
          <w:tcPr>
            <w:tcW w:w="0" w:type="auto"/>
            <w:shd w:val="clear" w:color="auto" w:fill="BFBFBF" w:themeFill="background1" w:themeFillShade="BF"/>
          </w:tcPr>
          <w:p w14:paraId="60507315"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r>
      <w:tr w:rsidR="00574918" w14:paraId="2D42418C" w14:textId="77777777" w:rsidTr="00C260F3">
        <w:tc>
          <w:tcPr>
            <w:tcW w:w="2245" w:type="dxa"/>
          </w:tcPr>
          <w:p w14:paraId="229FE6D6" w14:textId="61B06407" w:rsidR="00574918" w:rsidRPr="00DD5F1E" w:rsidRDefault="00574918" w:rsidP="00C260F3">
            <w:pPr>
              <w:pStyle w:val="Paragraph"/>
              <w:spacing w:line="240" w:lineRule="auto"/>
              <w:ind w:firstLine="0"/>
              <w:rPr>
                <w:b/>
                <w:sz w:val="20"/>
                <w:szCs w:val="20"/>
              </w:rPr>
            </w:pPr>
            <w:r w:rsidRPr="00DD5F1E">
              <w:rPr>
                <w:b/>
                <w:sz w:val="20"/>
                <w:szCs w:val="20"/>
              </w:rPr>
              <w:t>DASS-21 (points)</w:t>
            </w:r>
            <w:r w:rsidRPr="00DD5F1E">
              <w:rPr>
                <w:b/>
                <w:sz w:val="20"/>
                <w:szCs w:val="20"/>
              </w:rPr>
              <w:fldChar w:fldCharType="begin" w:fldLock="1"/>
            </w:r>
            <w:r w:rsidR="004E6AAA">
              <w:rPr>
                <w:b/>
                <w:sz w:val="20"/>
                <w:szCs w:val="20"/>
              </w:rPr>
              <w:instrText>ADDIN CSL_CITATION {"citationItems":[{"id":"ITEM-1","itemData":{"DOI":"10.1371/journal.pone.0040089","ISSN":"1932-6203","PMID":"22792217","abstract":"CONTEXT Randomized controlled trails have identified online cognitive behavioral therapy as an efficacious intervention in the management of common mental health disorders. OBJECTIVE To assess the effectiveness of online CBT for different mental disorders in routine clinical practice. DESIGN An uncontrolled before-after study, with measurements at baseline, posttest, 6-week follow-up, and 1-year follow-up. PARTICIPANTS &amp; SETTING 1500 adult patients (female: 67%; mean age: 40 years) with a GP referral for psychotherapy were treated at a Dutch online mental health clinic for symptoms of depression (n = 413), panic disorder (n = 139), posttraumatic stress (n = 478), or burnout (n = 470). INTERVENTIONS Manualized, web-based, therapist-assisted CBT, of which the efficacy was previously demonstrated in a series of controlled trials. Standardized duration of treatment varied from 5 weeks (online CBT for Posttraumatic stress) to 16 weeks (online CBT for Depression). MAIN OUTCOME MEASURES Validated self-report questionnaires of specific and general psychopathology, including the Beck Depression Inventory, the Impact of Event Scale, the Panic Disorder Severity Scale-Self Report, the Oldenburg Burnout Inventory, and the Depression Anxiety Stress Scales. RESULTS Treatment adherence was 71% (n = 1071). Study attrition was 21% at posttest, 33% at 6-week FU and 65% at 1-year FU. Mixed-model repeated measures regression identified large short-term reductions in all measures of primary symptoms (d = 1.9±0.2 to d = 1.2±0.2; P&lt;.001), which sustained up to one year after treatment. At posttest, rates of reliable improvement and recovery were 71% and 52% in the completer sample (full sample: 55%/40%). Patient satisfaction was high. CONCLUSIONS Results suggest that online therapist-assisted CBT may be as effective in routine practice as it is in clinical trials. Although pre-treatment withdrawal and long-term outcomes require further study, results warrant continued implementation of online CBT.","author":[{"dropping-particle":"","family":"Ruwaard","given":"Jeroen","non-dropping-particle":"","parse-names":false,"suffix":""},{"dropping-particle":"","family":"Lange","given":"Alfred","non-dropping-particle":"","parse-names":false,"suffix":""},{"dropping-particle":"","family":"Schrieken","given":"Bart","non-dropping-particle":"","parse-names":false,"suffix":""},{"dropping-particle":"V.","family":"Dolan","given":"Conor","non-dropping-particle":"","parse-names":false,"suffix":""},{"dropping-particle":"","family":"Emmelkamp","given":"Paul","non-dropping-particle":"","parse-names":false,"suffix":""}],"container-title":"PloS one","id":"ITEM-1","issue":"7","issued":{"date-parts":[["2012"]]},"page":"e40089","title":"The effectiveness of online cognitive behavioral treatment in routine clinical practice.","type":"article-journal","volume":"7"},"uris":["http://www.mendeley.com/documents/?uuid=ab82a997-da9d-4d41-9054-b6d5faa90c86"]}],"mendeley":{"formattedCitation":"(4)","plainTextFormattedCitation":"(4)","previouslyFormattedCitation":"&lt;sup&gt;4&lt;/sup&gt;"},"properties":{"noteIndex":0},"schema":"https://github.com/citation-style-language/schema/raw/master/csl-citation.json"}</w:instrText>
            </w:r>
            <w:r w:rsidRPr="00DD5F1E">
              <w:rPr>
                <w:b/>
                <w:sz w:val="20"/>
                <w:szCs w:val="20"/>
              </w:rPr>
              <w:fldChar w:fldCharType="separate"/>
            </w:r>
            <w:r w:rsidR="004E6AAA" w:rsidRPr="004E6AAA">
              <w:rPr>
                <w:noProof/>
                <w:sz w:val="20"/>
                <w:szCs w:val="20"/>
              </w:rPr>
              <w:t>(4)</w:t>
            </w:r>
            <w:r w:rsidRPr="00DD5F1E">
              <w:rPr>
                <w:b/>
                <w:sz w:val="20"/>
                <w:szCs w:val="20"/>
              </w:rPr>
              <w:fldChar w:fldCharType="end"/>
            </w:r>
          </w:p>
        </w:tc>
        <w:tc>
          <w:tcPr>
            <w:tcW w:w="1440" w:type="dxa"/>
          </w:tcPr>
          <w:p w14:paraId="6B6753D1"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c>
          <w:tcPr>
            <w:tcW w:w="1341" w:type="dxa"/>
          </w:tcPr>
          <w:p w14:paraId="76075BFA"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r>
              <w:rPr>
                <w:sz w:val="20"/>
                <w:szCs w:val="20"/>
              </w:rPr>
              <w:t>.</w:t>
            </w:r>
          </w:p>
        </w:tc>
        <w:tc>
          <w:tcPr>
            <w:tcW w:w="0" w:type="auto"/>
          </w:tcPr>
          <w:p w14:paraId="13608B1F" w14:textId="77777777" w:rsidR="00574918" w:rsidRPr="00DD5F1E" w:rsidRDefault="00574918" w:rsidP="00C260F3">
            <w:pPr>
              <w:pStyle w:val="Paragraph"/>
              <w:spacing w:line="240" w:lineRule="auto"/>
              <w:ind w:firstLine="0"/>
              <w:jc w:val="center"/>
              <w:rPr>
                <w:sz w:val="20"/>
                <w:szCs w:val="20"/>
              </w:rPr>
            </w:pPr>
            <w:r w:rsidRPr="00DD5F1E">
              <w:rPr>
                <w:sz w:val="20"/>
                <w:szCs w:val="20"/>
              </w:rPr>
              <w:t>10.12</w:t>
            </w:r>
          </w:p>
        </w:tc>
        <w:tc>
          <w:tcPr>
            <w:tcW w:w="0" w:type="auto"/>
          </w:tcPr>
          <w:p w14:paraId="79C5DD21" w14:textId="77777777" w:rsidR="00574918" w:rsidRPr="00DD5F1E" w:rsidRDefault="00574918" w:rsidP="00C260F3">
            <w:pPr>
              <w:pStyle w:val="Paragraph"/>
              <w:spacing w:line="240" w:lineRule="auto"/>
              <w:ind w:firstLine="0"/>
              <w:jc w:val="center"/>
              <w:rPr>
                <w:sz w:val="20"/>
                <w:szCs w:val="20"/>
              </w:rPr>
            </w:pPr>
            <w:r w:rsidRPr="00DD5F1E">
              <w:rPr>
                <w:sz w:val="20"/>
                <w:szCs w:val="20"/>
              </w:rPr>
              <w:t>0.26</w:t>
            </w:r>
          </w:p>
        </w:tc>
        <w:tc>
          <w:tcPr>
            <w:tcW w:w="0" w:type="auto"/>
          </w:tcPr>
          <w:p w14:paraId="36C13605"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r>
      <w:tr w:rsidR="00574918" w14:paraId="6FA0C009" w14:textId="77777777" w:rsidTr="00C260F3">
        <w:tc>
          <w:tcPr>
            <w:tcW w:w="2245" w:type="dxa"/>
            <w:shd w:val="clear" w:color="auto" w:fill="BFBFBF" w:themeFill="background1" w:themeFillShade="BF"/>
          </w:tcPr>
          <w:p w14:paraId="61D968A1" w14:textId="56CE0DA6" w:rsidR="00574918" w:rsidRPr="00DD5F1E" w:rsidRDefault="00574918" w:rsidP="00C260F3">
            <w:pPr>
              <w:pStyle w:val="Paragraph"/>
              <w:spacing w:line="240" w:lineRule="auto"/>
              <w:ind w:firstLine="0"/>
              <w:rPr>
                <w:b/>
                <w:sz w:val="20"/>
                <w:szCs w:val="20"/>
              </w:rPr>
            </w:pPr>
            <w:r w:rsidRPr="00DD5F1E">
              <w:rPr>
                <w:b/>
                <w:sz w:val="20"/>
                <w:szCs w:val="20"/>
              </w:rPr>
              <w:t>Tendon Thickness (mm)</w:t>
            </w:r>
            <w:r w:rsidRPr="00DD5F1E">
              <w:rPr>
                <w:b/>
                <w:sz w:val="20"/>
                <w:szCs w:val="20"/>
              </w:rPr>
              <w:fldChar w:fldCharType="begin" w:fldLock="1"/>
            </w:r>
            <w:r w:rsidR="004E6AAA">
              <w:rPr>
                <w:b/>
                <w:sz w:val="20"/>
                <w:szCs w:val="20"/>
              </w:rPr>
              <w:instrText>ADDIN CSL_CITATION {"citationItems":[{"id":"ITEM-1","itemData":{"DOI":"10.11138/mltj/2017.7.1.192","ISBN":"3906499146","ISSN":"2240-4554","PMID":"28717629","abstract":"BACKGROUND Ultrasound imaging is often used by physiotherapists and other healthcare professionals but the reliability of image acquisition with different ultrasound machines is unknown. The objective was to compare the intra-rater, inter-rater and intermachine reliability of thickness measurements of the plantar fascia (PF), Achilles tendon (AT), patellar tendon (PT) and elbow common extensor tendon (ECET) with musculoskeletal ultrasound imaging (MSUS). METHODS Tendon thickness was measured in four anatomical structures (14 participants, 28 images per tendon) by two sonographers and with two different ultrasound machines. Intraclass Correlation Coefficients (ICCs) and Bland-Altman plots were calculated. The standard error of measurement (SEM) and minimum detectable difference (MDD) were calculated. RESULTS Inter-rater reliability was excellent for AT (ICC=0.98; 95% CI= 0.96-0.99) and very good for PT (ICC=0.85; 95% CI = 0.67-0.93) and ECET (ICC=0.81; 95% CI= 0.72-0.94). Reliability for PF was moderate, with an ICC of 0.63 (CI 95%= 0.20-0.83). Bland-Altman plot for inter-machine reliability showed a mean difference of 1 m for PF measurements and a mean difference of 4 m and 20 m for AT and PT. The relative SEMs were below 7% and the MDCs were below 0.7 mm. CONCLUSION The MSUS reliability in measuring thickness of the four tendons is confirmed by the homogeneous readings intra sonographers, between operators and between different machines. Level of evidence: Tendon thickness can be measured reliably on different ultrasound devices, which is an important step forward in the use of this technique in daily clinical practice and research. LEVEL OF EVIDENCE III.","author":[{"dropping-particle":"","family":"Baño-Aledo","given":"María Elena","non-dropping-particle":"Del","parse-names":false,"suffix":""},{"dropping-particle":"","family":"Martínez-Payá","given":"Jacinto Javier","non-dropping-particle":"","parse-names":false,"suffix":""},{"dropping-particle":"","family":"Ríos-Díaz","given":"José","non-dropping-particle":"","parse-names":false,"suffix":""},{"dropping-particle":"","family":"Mejías-Suárez","given":"Silvia","non-dropping-particle":"","parse-names":false,"suffix":""},{"dropping-particle":"","family":"Serrano-Carmona","given":"Sergio","non-dropping-particle":"","parse-names":false,"suffix":""},{"dropping-particle":"","family":"Groot-Ferrando","given":"Ana","non-dropping-particle":"de","parse-names":false,"suffix":""}],"container-title":"Muscles, ligaments and tendons journal","id":"ITEM-1","issue":"1","issued":{"date-parts":[["2015"]]},"page":"192-199","title":"Ultrasound measures of tendon thickness: Intra-rater, Inter-rater and Inter-machine reliability.","type":"article-journal","volume":"7"},"uris":["http://www.mendeley.com/documents/?uuid=91b28240-45d5-45a2-a99b-1774e178ee7e"]}],"mendeley":{"formattedCitation":"(5)","plainTextFormattedCitation":"(5)","previouslyFormattedCitation":"&lt;sup&gt;5&lt;/sup&gt;"},"properties":{"noteIndex":0},"schema":"https://github.com/citation-style-language/schema/raw/master/csl-citation.json"}</w:instrText>
            </w:r>
            <w:r w:rsidRPr="00DD5F1E">
              <w:rPr>
                <w:b/>
                <w:sz w:val="20"/>
                <w:szCs w:val="20"/>
              </w:rPr>
              <w:fldChar w:fldCharType="separate"/>
            </w:r>
            <w:r w:rsidR="004E6AAA" w:rsidRPr="004E6AAA">
              <w:rPr>
                <w:noProof/>
                <w:sz w:val="20"/>
                <w:szCs w:val="20"/>
              </w:rPr>
              <w:t>(5)</w:t>
            </w:r>
            <w:r w:rsidRPr="00DD5F1E">
              <w:rPr>
                <w:b/>
                <w:sz w:val="20"/>
                <w:szCs w:val="20"/>
              </w:rPr>
              <w:fldChar w:fldCharType="end"/>
            </w:r>
          </w:p>
        </w:tc>
        <w:tc>
          <w:tcPr>
            <w:tcW w:w="1440" w:type="dxa"/>
            <w:shd w:val="clear" w:color="auto" w:fill="BFBFBF" w:themeFill="background1" w:themeFillShade="BF"/>
          </w:tcPr>
          <w:p w14:paraId="6C8FE158" w14:textId="77777777" w:rsidR="00574918" w:rsidRPr="00DD5F1E" w:rsidRDefault="00574918" w:rsidP="00C260F3">
            <w:pPr>
              <w:pStyle w:val="Paragraph"/>
              <w:spacing w:line="240" w:lineRule="auto"/>
              <w:ind w:firstLine="0"/>
              <w:jc w:val="center"/>
              <w:rPr>
                <w:sz w:val="20"/>
                <w:szCs w:val="20"/>
              </w:rPr>
            </w:pPr>
            <w:r w:rsidRPr="00DD5F1E">
              <w:rPr>
                <w:sz w:val="20"/>
                <w:szCs w:val="20"/>
              </w:rPr>
              <w:t>0.82 - 0.96</w:t>
            </w:r>
          </w:p>
        </w:tc>
        <w:tc>
          <w:tcPr>
            <w:tcW w:w="1341" w:type="dxa"/>
            <w:shd w:val="clear" w:color="auto" w:fill="BFBFBF" w:themeFill="background1" w:themeFillShade="BF"/>
          </w:tcPr>
          <w:p w14:paraId="66C4ECA5" w14:textId="77777777" w:rsidR="00574918" w:rsidRPr="00DD5F1E" w:rsidRDefault="00574918" w:rsidP="00C260F3">
            <w:pPr>
              <w:pStyle w:val="Paragraph"/>
              <w:spacing w:line="240" w:lineRule="auto"/>
              <w:ind w:firstLine="0"/>
              <w:jc w:val="center"/>
              <w:rPr>
                <w:sz w:val="20"/>
                <w:szCs w:val="20"/>
              </w:rPr>
            </w:pPr>
            <w:r w:rsidRPr="00DD5F1E">
              <w:rPr>
                <w:sz w:val="20"/>
                <w:szCs w:val="20"/>
              </w:rPr>
              <w:t>0.21</w:t>
            </w:r>
          </w:p>
        </w:tc>
        <w:tc>
          <w:tcPr>
            <w:tcW w:w="0" w:type="auto"/>
            <w:shd w:val="clear" w:color="auto" w:fill="BFBFBF" w:themeFill="background1" w:themeFillShade="BF"/>
          </w:tcPr>
          <w:p w14:paraId="2BB76390" w14:textId="77777777" w:rsidR="00574918" w:rsidRPr="00DD5F1E" w:rsidRDefault="00574918" w:rsidP="00C260F3">
            <w:pPr>
              <w:pStyle w:val="Paragraph"/>
              <w:spacing w:line="240" w:lineRule="auto"/>
              <w:ind w:firstLine="0"/>
              <w:jc w:val="center"/>
              <w:rPr>
                <w:sz w:val="20"/>
                <w:szCs w:val="20"/>
              </w:rPr>
            </w:pPr>
            <w:r w:rsidRPr="00DD5F1E">
              <w:rPr>
                <w:sz w:val="20"/>
                <w:szCs w:val="20"/>
              </w:rPr>
              <w:t>0.59</w:t>
            </w:r>
          </w:p>
        </w:tc>
        <w:tc>
          <w:tcPr>
            <w:tcW w:w="0" w:type="auto"/>
            <w:shd w:val="clear" w:color="auto" w:fill="BFBFBF" w:themeFill="background1" w:themeFillShade="BF"/>
          </w:tcPr>
          <w:p w14:paraId="35735B30" w14:textId="77777777" w:rsidR="00574918" w:rsidRPr="00DD5F1E" w:rsidRDefault="00574918" w:rsidP="00C260F3">
            <w:pPr>
              <w:pStyle w:val="Paragraph"/>
              <w:spacing w:line="240" w:lineRule="auto"/>
              <w:ind w:firstLine="0"/>
              <w:jc w:val="center"/>
              <w:rPr>
                <w:sz w:val="20"/>
                <w:szCs w:val="20"/>
              </w:rPr>
            </w:pPr>
            <w:r w:rsidRPr="00DD5F1E">
              <w:rPr>
                <w:sz w:val="20"/>
                <w:szCs w:val="20"/>
              </w:rPr>
              <w:t>0.16</w:t>
            </w:r>
          </w:p>
        </w:tc>
        <w:tc>
          <w:tcPr>
            <w:tcW w:w="0" w:type="auto"/>
            <w:shd w:val="clear" w:color="auto" w:fill="BFBFBF" w:themeFill="background1" w:themeFillShade="BF"/>
          </w:tcPr>
          <w:p w14:paraId="257E0C0B"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r>
      <w:tr w:rsidR="00574918" w14:paraId="57A7E865" w14:textId="77777777" w:rsidTr="00C260F3">
        <w:tc>
          <w:tcPr>
            <w:tcW w:w="2245" w:type="dxa"/>
          </w:tcPr>
          <w:p w14:paraId="04F40266" w14:textId="77777777" w:rsidR="00574918" w:rsidRPr="00DD5F1E" w:rsidRDefault="00574918" w:rsidP="00C260F3">
            <w:pPr>
              <w:pStyle w:val="Paragraph"/>
              <w:spacing w:line="240" w:lineRule="auto"/>
              <w:ind w:firstLine="0"/>
              <w:rPr>
                <w:b/>
                <w:sz w:val="20"/>
                <w:szCs w:val="20"/>
              </w:rPr>
            </w:pPr>
            <w:r w:rsidRPr="00DD5F1E">
              <w:rPr>
                <w:b/>
                <w:sz w:val="20"/>
                <w:szCs w:val="20"/>
              </w:rPr>
              <w:t>Tendon CSA (mm</w:t>
            </w:r>
            <w:r w:rsidRPr="00DD5F1E">
              <w:rPr>
                <w:b/>
                <w:sz w:val="20"/>
                <w:szCs w:val="20"/>
                <w:vertAlign w:val="superscript"/>
              </w:rPr>
              <w:t>2</w:t>
            </w:r>
            <w:r w:rsidRPr="00DD5F1E">
              <w:rPr>
                <w:b/>
                <w:sz w:val="20"/>
                <w:szCs w:val="20"/>
              </w:rPr>
              <w:t>)</w:t>
            </w:r>
          </w:p>
        </w:tc>
        <w:tc>
          <w:tcPr>
            <w:tcW w:w="1440" w:type="dxa"/>
          </w:tcPr>
          <w:p w14:paraId="200CB08A" w14:textId="77777777" w:rsidR="00574918" w:rsidRPr="00DD5F1E" w:rsidRDefault="00574918" w:rsidP="00C260F3">
            <w:pPr>
              <w:pStyle w:val="Paragraph"/>
              <w:spacing w:line="240" w:lineRule="auto"/>
              <w:ind w:firstLine="0"/>
              <w:jc w:val="center"/>
              <w:rPr>
                <w:sz w:val="20"/>
                <w:szCs w:val="20"/>
              </w:rPr>
            </w:pPr>
            <w:r w:rsidRPr="00DD5F1E">
              <w:rPr>
                <w:sz w:val="20"/>
                <w:szCs w:val="20"/>
              </w:rPr>
              <w:t>0.878 – 0.882</w:t>
            </w:r>
          </w:p>
        </w:tc>
        <w:tc>
          <w:tcPr>
            <w:tcW w:w="1341" w:type="dxa"/>
          </w:tcPr>
          <w:p w14:paraId="21DD5B6D" w14:textId="77777777" w:rsidR="00574918" w:rsidRPr="00DD5F1E" w:rsidRDefault="00574918" w:rsidP="00C260F3">
            <w:pPr>
              <w:pStyle w:val="Paragraph"/>
              <w:spacing w:line="240" w:lineRule="auto"/>
              <w:ind w:firstLine="0"/>
              <w:jc w:val="center"/>
              <w:rPr>
                <w:sz w:val="20"/>
                <w:szCs w:val="20"/>
              </w:rPr>
            </w:pPr>
            <w:r w:rsidRPr="00DD5F1E">
              <w:rPr>
                <w:sz w:val="20"/>
                <w:szCs w:val="20"/>
              </w:rPr>
              <w:t>11.2</w:t>
            </w:r>
          </w:p>
        </w:tc>
        <w:tc>
          <w:tcPr>
            <w:tcW w:w="0" w:type="auto"/>
          </w:tcPr>
          <w:p w14:paraId="44092E67" w14:textId="77777777" w:rsidR="00574918" w:rsidRPr="00DD5F1E" w:rsidRDefault="00574918" w:rsidP="00C260F3">
            <w:pPr>
              <w:pStyle w:val="Paragraph"/>
              <w:spacing w:line="240" w:lineRule="auto"/>
              <w:ind w:firstLine="0"/>
              <w:jc w:val="center"/>
              <w:rPr>
                <w:sz w:val="20"/>
                <w:szCs w:val="20"/>
              </w:rPr>
            </w:pPr>
            <w:r w:rsidRPr="00DD5F1E">
              <w:rPr>
                <w:sz w:val="20"/>
                <w:szCs w:val="20"/>
              </w:rPr>
              <w:t>31.0</w:t>
            </w:r>
          </w:p>
        </w:tc>
        <w:tc>
          <w:tcPr>
            <w:tcW w:w="0" w:type="auto"/>
          </w:tcPr>
          <w:p w14:paraId="2F45FC09" w14:textId="77777777" w:rsidR="00574918" w:rsidRPr="00DD5F1E" w:rsidRDefault="00574918" w:rsidP="00C260F3">
            <w:pPr>
              <w:pStyle w:val="Paragraph"/>
              <w:spacing w:line="240" w:lineRule="auto"/>
              <w:ind w:firstLine="0"/>
              <w:jc w:val="center"/>
              <w:rPr>
                <w:sz w:val="20"/>
                <w:szCs w:val="20"/>
              </w:rPr>
            </w:pPr>
            <w:r w:rsidRPr="00DD5F1E">
              <w:rPr>
                <w:sz w:val="20"/>
                <w:szCs w:val="20"/>
              </w:rPr>
              <w:t>11.7</w:t>
            </w:r>
          </w:p>
        </w:tc>
        <w:tc>
          <w:tcPr>
            <w:tcW w:w="0" w:type="auto"/>
          </w:tcPr>
          <w:p w14:paraId="2AE2BE36"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r>
      <w:tr w:rsidR="00574918" w14:paraId="6B921FBC" w14:textId="77777777" w:rsidTr="00C260F3">
        <w:tc>
          <w:tcPr>
            <w:tcW w:w="2245" w:type="dxa"/>
            <w:shd w:val="clear" w:color="auto" w:fill="BFBFBF" w:themeFill="background1" w:themeFillShade="BF"/>
          </w:tcPr>
          <w:p w14:paraId="5F8B4F2B" w14:textId="77777777" w:rsidR="00574918" w:rsidRPr="00DD5F1E" w:rsidRDefault="00574918" w:rsidP="00C260F3">
            <w:pPr>
              <w:pStyle w:val="Paragraph"/>
              <w:spacing w:line="240" w:lineRule="auto"/>
              <w:ind w:firstLine="0"/>
              <w:rPr>
                <w:b/>
                <w:sz w:val="20"/>
                <w:szCs w:val="20"/>
              </w:rPr>
            </w:pPr>
            <w:r w:rsidRPr="00DD5F1E">
              <w:rPr>
                <w:b/>
                <w:sz w:val="20"/>
                <w:szCs w:val="20"/>
              </w:rPr>
              <w:t>Static Shear Modulus (kPa)</w:t>
            </w:r>
          </w:p>
        </w:tc>
        <w:tc>
          <w:tcPr>
            <w:tcW w:w="1440" w:type="dxa"/>
            <w:shd w:val="clear" w:color="auto" w:fill="BFBFBF" w:themeFill="background1" w:themeFillShade="BF"/>
          </w:tcPr>
          <w:p w14:paraId="7E6914B6" w14:textId="77777777" w:rsidR="00574918" w:rsidRPr="00DD5F1E" w:rsidRDefault="00574918" w:rsidP="00C260F3">
            <w:pPr>
              <w:pStyle w:val="Paragraph"/>
              <w:spacing w:line="240" w:lineRule="auto"/>
              <w:ind w:firstLine="0"/>
              <w:jc w:val="center"/>
              <w:rPr>
                <w:sz w:val="20"/>
                <w:szCs w:val="20"/>
              </w:rPr>
            </w:pPr>
            <w:r w:rsidRPr="00DD5F1E">
              <w:rPr>
                <w:sz w:val="20"/>
                <w:szCs w:val="20"/>
              </w:rPr>
              <w:t>0.664 – 0.742</w:t>
            </w:r>
          </w:p>
        </w:tc>
        <w:tc>
          <w:tcPr>
            <w:tcW w:w="1341" w:type="dxa"/>
            <w:shd w:val="clear" w:color="auto" w:fill="BFBFBF" w:themeFill="background1" w:themeFillShade="BF"/>
          </w:tcPr>
          <w:p w14:paraId="204C8022" w14:textId="77777777" w:rsidR="00574918" w:rsidRPr="00DD5F1E" w:rsidRDefault="00574918" w:rsidP="00C260F3">
            <w:pPr>
              <w:pStyle w:val="Paragraph"/>
              <w:spacing w:line="240" w:lineRule="auto"/>
              <w:ind w:firstLine="0"/>
              <w:jc w:val="center"/>
              <w:rPr>
                <w:sz w:val="20"/>
                <w:szCs w:val="20"/>
              </w:rPr>
            </w:pPr>
            <w:r w:rsidRPr="00DD5F1E">
              <w:rPr>
                <w:sz w:val="20"/>
                <w:szCs w:val="20"/>
              </w:rPr>
              <w:t>14.1 – 21.1</w:t>
            </w:r>
          </w:p>
        </w:tc>
        <w:tc>
          <w:tcPr>
            <w:tcW w:w="0" w:type="auto"/>
            <w:shd w:val="clear" w:color="auto" w:fill="BFBFBF" w:themeFill="background1" w:themeFillShade="BF"/>
          </w:tcPr>
          <w:p w14:paraId="31DC4F20" w14:textId="77777777" w:rsidR="00574918" w:rsidRPr="00DD5F1E" w:rsidRDefault="00574918" w:rsidP="00C260F3">
            <w:pPr>
              <w:pStyle w:val="Paragraph"/>
              <w:spacing w:line="240" w:lineRule="auto"/>
              <w:ind w:firstLine="0"/>
              <w:jc w:val="center"/>
              <w:rPr>
                <w:sz w:val="20"/>
                <w:szCs w:val="20"/>
              </w:rPr>
            </w:pPr>
            <w:r w:rsidRPr="00DD5F1E">
              <w:rPr>
                <w:sz w:val="20"/>
                <w:szCs w:val="20"/>
              </w:rPr>
              <w:t>39.1 – 58.6</w:t>
            </w:r>
          </w:p>
        </w:tc>
        <w:tc>
          <w:tcPr>
            <w:tcW w:w="0" w:type="auto"/>
            <w:shd w:val="clear" w:color="auto" w:fill="BFBFBF" w:themeFill="background1" w:themeFillShade="BF"/>
          </w:tcPr>
          <w:p w14:paraId="6BD44FFF" w14:textId="77777777" w:rsidR="00574918" w:rsidRPr="00DD5F1E" w:rsidRDefault="00574918" w:rsidP="00C260F3">
            <w:pPr>
              <w:pStyle w:val="Paragraph"/>
              <w:spacing w:line="240" w:lineRule="auto"/>
              <w:ind w:firstLine="0"/>
              <w:jc w:val="center"/>
              <w:rPr>
                <w:sz w:val="20"/>
                <w:szCs w:val="20"/>
              </w:rPr>
            </w:pPr>
            <w:r w:rsidRPr="00DD5F1E">
              <w:rPr>
                <w:sz w:val="20"/>
                <w:szCs w:val="20"/>
              </w:rPr>
              <w:t>10.8 – 16.3</w:t>
            </w:r>
          </w:p>
        </w:tc>
        <w:tc>
          <w:tcPr>
            <w:tcW w:w="0" w:type="auto"/>
            <w:shd w:val="clear" w:color="auto" w:fill="BFBFBF" w:themeFill="background1" w:themeFillShade="BF"/>
          </w:tcPr>
          <w:p w14:paraId="4B0DCD84"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r>
      <w:tr w:rsidR="00574918" w14:paraId="05BB99FD" w14:textId="77777777" w:rsidTr="00C260F3">
        <w:tc>
          <w:tcPr>
            <w:tcW w:w="2245" w:type="dxa"/>
          </w:tcPr>
          <w:p w14:paraId="5FD866E1" w14:textId="77777777" w:rsidR="00574918" w:rsidRPr="00DD5F1E" w:rsidRDefault="00574918" w:rsidP="00C260F3">
            <w:pPr>
              <w:pStyle w:val="Paragraph"/>
              <w:spacing w:line="240" w:lineRule="auto"/>
              <w:ind w:firstLine="0"/>
              <w:rPr>
                <w:b/>
                <w:sz w:val="20"/>
                <w:szCs w:val="20"/>
              </w:rPr>
            </w:pPr>
            <w:r w:rsidRPr="00DD5F1E">
              <w:rPr>
                <w:b/>
                <w:sz w:val="20"/>
                <w:szCs w:val="20"/>
              </w:rPr>
              <w:t>Viscosity (Pa*sec)</w:t>
            </w:r>
          </w:p>
        </w:tc>
        <w:tc>
          <w:tcPr>
            <w:tcW w:w="1440" w:type="dxa"/>
          </w:tcPr>
          <w:p w14:paraId="0BEFC20C" w14:textId="77777777" w:rsidR="00574918" w:rsidRPr="00DD5F1E" w:rsidRDefault="00574918" w:rsidP="00C260F3">
            <w:pPr>
              <w:pStyle w:val="Paragraph"/>
              <w:spacing w:line="240" w:lineRule="auto"/>
              <w:ind w:firstLine="0"/>
              <w:jc w:val="center"/>
              <w:rPr>
                <w:sz w:val="20"/>
                <w:szCs w:val="20"/>
              </w:rPr>
            </w:pPr>
            <w:r w:rsidRPr="00DD5F1E">
              <w:rPr>
                <w:sz w:val="20"/>
                <w:szCs w:val="20"/>
              </w:rPr>
              <w:t>0.874 – 0.877</w:t>
            </w:r>
          </w:p>
        </w:tc>
        <w:tc>
          <w:tcPr>
            <w:tcW w:w="1341" w:type="dxa"/>
          </w:tcPr>
          <w:p w14:paraId="07F406F4" w14:textId="77777777" w:rsidR="00574918" w:rsidRPr="00DD5F1E" w:rsidRDefault="00574918" w:rsidP="00C260F3">
            <w:pPr>
              <w:pStyle w:val="Paragraph"/>
              <w:spacing w:line="240" w:lineRule="auto"/>
              <w:ind w:firstLine="0"/>
              <w:jc w:val="center"/>
              <w:rPr>
                <w:sz w:val="20"/>
                <w:szCs w:val="20"/>
              </w:rPr>
            </w:pPr>
            <w:r w:rsidRPr="00DD5F1E">
              <w:rPr>
                <w:sz w:val="20"/>
                <w:szCs w:val="20"/>
              </w:rPr>
              <w:t>1.4 – 4.9</w:t>
            </w:r>
          </w:p>
        </w:tc>
        <w:tc>
          <w:tcPr>
            <w:tcW w:w="0" w:type="auto"/>
          </w:tcPr>
          <w:p w14:paraId="37BB61C8" w14:textId="77777777" w:rsidR="00574918" w:rsidRPr="00DD5F1E" w:rsidRDefault="00574918" w:rsidP="00C260F3">
            <w:pPr>
              <w:pStyle w:val="Paragraph"/>
              <w:spacing w:line="240" w:lineRule="auto"/>
              <w:ind w:firstLine="0"/>
              <w:jc w:val="center"/>
              <w:rPr>
                <w:sz w:val="20"/>
                <w:szCs w:val="20"/>
              </w:rPr>
            </w:pPr>
            <w:r w:rsidRPr="00DD5F1E">
              <w:rPr>
                <w:sz w:val="20"/>
                <w:szCs w:val="20"/>
              </w:rPr>
              <w:t>3.8 – 13.6</w:t>
            </w:r>
          </w:p>
        </w:tc>
        <w:tc>
          <w:tcPr>
            <w:tcW w:w="0" w:type="auto"/>
          </w:tcPr>
          <w:p w14:paraId="2AA316C4" w14:textId="77777777" w:rsidR="00574918" w:rsidRPr="00DD5F1E" w:rsidRDefault="00574918" w:rsidP="00C260F3">
            <w:pPr>
              <w:pStyle w:val="Paragraph"/>
              <w:spacing w:line="240" w:lineRule="auto"/>
              <w:ind w:firstLine="0"/>
              <w:jc w:val="center"/>
              <w:rPr>
                <w:sz w:val="20"/>
                <w:szCs w:val="20"/>
              </w:rPr>
            </w:pPr>
            <w:r w:rsidRPr="00DD5F1E">
              <w:rPr>
                <w:sz w:val="20"/>
                <w:szCs w:val="20"/>
              </w:rPr>
              <w:t>1.1 – 3.8</w:t>
            </w:r>
          </w:p>
        </w:tc>
        <w:tc>
          <w:tcPr>
            <w:tcW w:w="0" w:type="auto"/>
          </w:tcPr>
          <w:p w14:paraId="4DAD2043"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r>
      <w:tr w:rsidR="00574918" w14:paraId="77EDC7CD" w14:textId="77777777" w:rsidTr="00C260F3">
        <w:tc>
          <w:tcPr>
            <w:tcW w:w="2245" w:type="dxa"/>
            <w:shd w:val="clear" w:color="auto" w:fill="BFBFBF" w:themeFill="background1" w:themeFillShade="BF"/>
          </w:tcPr>
          <w:p w14:paraId="090F24C1" w14:textId="2EB55DA5" w:rsidR="00574918" w:rsidRPr="00DD5F1E" w:rsidRDefault="00574918" w:rsidP="00C260F3">
            <w:pPr>
              <w:pStyle w:val="Paragraph"/>
              <w:tabs>
                <w:tab w:val="left" w:pos="915"/>
              </w:tabs>
              <w:spacing w:line="240" w:lineRule="auto"/>
              <w:ind w:firstLine="0"/>
              <w:rPr>
                <w:b/>
                <w:sz w:val="20"/>
                <w:szCs w:val="20"/>
              </w:rPr>
            </w:pPr>
            <w:r w:rsidRPr="00DD5F1E">
              <w:rPr>
                <w:b/>
                <w:sz w:val="20"/>
                <w:szCs w:val="20"/>
              </w:rPr>
              <w:t>CMJ Height (cm)</w:t>
            </w:r>
            <w:r w:rsidRPr="00DD5F1E">
              <w:rPr>
                <w:b/>
                <w:sz w:val="20"/>
                <w:szCs w:val="20"/>
              </w:rPr>
              <w:fldChar w:fldCharType="begin" w:fldLock="1"/>
            </w:r>
            <w:r w:rsidR="004E6AAA">
              <w:rPr>
                <w:b/>
                <w:sz w:val="20"/>
                <w:szCs w:val="20"/>
              </w:rPr>
              <w:instrText>ADDIN CSL_CITATION {"citationItems":[{"id":"ITEM-1","itemData":{"DOI":"10.1007/s00167-006-0150-6","ISBN":"0942-2056 (Print)","ISSN":"0942-2056","PMID":"16858560","abstract":"Achilles tendinopathy is considered to be one of the most common overuse injuries in elite and recreational athletes. However, the effect that the Achilles tendinopathy has on patients' physical performance is still unclear. The purpose of this study was to evaluate if Achilles tendinopathy caused functional deficits on the injured side compared with the non-injured side in patients. A test battery comprised of tests for different aspects of muscle-tendon function of the gastrocnemius, soleus and Achilles tendon complex was developed to evaluate lower leg function. The test battery's test-retest reliability and sensitivity (the percent probability that the tests would demonstrate abnormal lower limb symmetry index in patients) were also evaluated. The test battery consisted of three jump tests, a counter movements jump (CMJ), a drop counter movement jump (drop CMJ) and hopping, and two strength tests, concentric toe-raises, eccentric-concentric toe-raises and toe-raises for endurance. The reliability was evaluated through a test-retest design on 15 healthy subjects. The test battery's sensitivity and possible functional deficits in patients with Achilles tendinopathy were evaluated on 42 patients (19 women and 23 men). An excellent reliability was found between test days 1-2 and 2-3 for all tests (ICC = 0.76-0.94) except for concentric toe-raise, test 2-3, which had fair reliability (ICC = 0.73). The methodological error ranged from 8 to 17%. There were significant differences (P = 0.001-0.049) between the non-injured (or least symptomatic) side and injured (most symptomatic) side for hopping, drop CMJ, concentric and eccentric-concentric toe-raises, and significant differences (P = 0.000-0.012) in the level of pain during CMJ, hopping, and drop CMJ. The sensitivity of the test battery at a 90% capacity was 88. Achilles tendinopathy causes not only pain and symptoms in patients but also apparent impairments in various aspects of lower leg muscle-tendon function as measured with the test battery. This test battery is reliable and able to detect differences in lower leg function between the injured or \"most symptomatic\" and non-injured or \"least symptomatic\" side in patients with Achilles tendinopathy. The test battery has higher demand on patients' function compared with each individual test.","author":[{"dropping-particle":"","family":"Silbernagel","given":"Karin Grävare","non-dropping-particle":"","parse-names":false,"suffix":""},{"dropping-particle":"","family":"Gustavsson","given":"Alexander","non-dropping-particle":"","parse-names":false,"suffix":""},{"dropping-particle":"","family":"Thomeé","given":"Roland","non-dropping-particle":"","parse-names":false,"suffix":""},{"dropping-particle":"","family":"Karlsson","given":"Jon","non-dropping-particle":"","parse-names":false,"suffix":""}],"container-title":"Knee Surgery, Sports Traumatology, Arthroscopy","id":"ITEM-1","issue":"11","issued":{"date-parts":[["2006","11","3"]]},"language":"eng","page":"1207-1217","title":"Evaluation of lower leg function in patients with Achilles tendinopathy","type":"article-journal","volume":"14"},"uris":["http://www.mendeley.com/documents/?uuid=b9cca454-ef34-4a3a-8879-31f28eb6d111"]}],"mendeley":{"formattedCitation":"(6)","plainTextFormattedCitation":"(6)","previouslyFormattedCitation":"&lt;sup&gt;6&lt;/sup&gt;"},"properties":{"noteIndex":0},"schema":"https://github.com/citation-style-language/schema/raw/master/csl-citation.json"}</w:instrText>
            </w:r>
            <w:r w:rsidRPr="00DD5F1E">
              <w:rPr>
                <w:b/>
                <w:sz w:val="20"/>
                <w:szCs w:val="20"/>
              </w:rPr>
              <w:fldChar w:fldCharType="separate"/>
            </w:r>
            <w:r w:rsidR="004E6AAA" w:rsidRPr="004E6AAA">
              <w:rPr>
                <w:noProof/>
                <w:sz w:val="20"/>
                <w:szCs w:val="20"/>
              </w:rPr>
              <w:t>(6)</w:t>
            </w:r>
            <w:r w:rsidRPr="00DD5F1E">
              <w:rPr>
                <w:b/>
                <w:sz w:val="20"/>
                <w:szCs w:val="20"/>
              </w:rPr>
              <w:fldChar w:fldCharType="end"/>
            </w:r>
            <w:r w:rsidRPr="00DD5F1E">
              <w:rPr>
                <w:b/>
                <w:sz w:val="20"/>
                <w:szCs w:val="20"/>
              </w:rPr>
              <w:tab/>
            </w:r>
          </w:p>
        </w:tc>
        <w:tc>
          <w:tcPr>
            <w:tcW w:w="1440" w:type="dxa"/>
            <w:shd w:val="clear" w:color="auto" w:fill="BFBFBF" w:themeFill="background1" w:themeFillShade="BF"/>
          </w:tcPr>
          <w:p w14:paraId="2501A92D" w14:textId="77777777" w:rsidR="00574918" w:rsidRPr="00DD5F1E" w:rsidRDefault="00574918" w:rsidP="00C260F3">
            <w:pPr>
              <w:pStyle w:val="Paragraph"/>
              <w:spacing w:line="240" w:lineRule="auto"/>
              <w:ind w:firstLine="0"/>
              <w:jc w:val="center"/>
              <w:rPr>
                <w:sz w:val="20"/>
                <w:szCs w:val="20"/>
              </w:rPr>
            </w:pPr>
            <w:r w:rsidRPr="00DD5F1E">
              <w:rPr>
                <w:sz w:val="20"/>
                <w:szCs w:val="20"/>
              </w:rPr>
              <w:t>0.91</w:t>
            </w:r>
          </w:p>
        </w:tc>
        <w:tc>
          <w:tcPr>
            <w:tcW w:w="1341" w:type="dxa"/>
            <w:shd w:val="clear" w:color="auto" w:fill="BFBFBF" w:themeFill="background1" w:themeFillShade="BF"/>
          </w:tcPr>
          <w:p w14:paraId="4BC3EB81" w14:textId="77777777" w:rsidR="00574918" w:rsidRPr="00DD5F1E" w:rsidRDefault="00574918" w:rsidP="00C260F3">
            <w:pPr>
              <w:pStyle w:val="Paragraph"/>
              <w:spacing w:line="240" w:lineRule="auto"/>
              <w:ind w:firstLine="0"/>
              <w:jc w:val="center"/>
              <w:rPr>
                <w:sz w:val="20"/>
                <w:szCs w:val="20"/>
              </w:rPr>
            </w:pPr>
            <w:r w:rsidRPr="00DD5F1E">
              <w:rPr>
                <w:sz w:val="20"/>
                <w:szCs w:val="20"/>
              </w:rPr>
              <w:t>1.44</w:t>
            </w:r>
          </w:p>
        </w:tc>
        <w:tc>
          <w:tcPr>
            <w:tcW w:w="0" w:type="auto"/>
            <w:shd w:val="clear" w:color="auto" w:fill="BFBFBF" w:themeFill="background1" w:themeFillShade="BF"/>
          </w:tcPr>
          <w:p w14:paraId="362E8AA2" w14:textId="77777777" w:rsidR="00574918" w:rsidRPr="00DD5F1E" w:rsidRDefault="00574918" w:rsidP="00C260F3">
            <w:pPr>
              <w:pStyle w:val="Paragraph"/>
              <w:spacing w:line="240" w:lineRule="auto"/>
              <w:ind w:firstLine="0"/>
              <w:jc w:val="center"/>
              <w:rPr>
                <w:sz w:val="20"/>
                <w:szCs w:val="20"/>
              </w:rPr>
            </w:pPr>
            <w:r w:rsidRPr="00DD5F1E">
              <w:rPr>
                <w:sz w:val="20"/>
                <w:szCs w:val="20"/>
              </w:rPr>
              <w:t>3.99</w:t>
            </w:r>
          </w:p>
        </w:tc>
        <w:tc>
          <w:tcPr>
            <w:tcW w:w="0" w:type="auto"/>
            <w:shd w:val="clear" w:color="auto" w:fill="BFBFBF" w:themeFill="background1" w:themeFillShade="BF"/>
          </w:tcPr>
          <w:p w14:paraId="3289295E" w14:textId="77777777" w:rsidR="00574918" w:rsidRPr="00DD5F1E" w:rsidRDefault="00574918" w:rsidP="00C260F3">
            <w:pPr>
              <w:pStyle w:val="Paragraph"/>
              <w:spacing w:line="240" w:lineRule="auto"/>
              <w:ind w:firstLine="0"/>
              <w:jc w:val="center"/>
              <w:rPr>
                <w:sz w:val="20"/>
                <w:szCs w:val="20"/>
              </w:rPr>
            </w:pPr>
            <w:r w:rsidRPr="00DD5F1E">
              <w:rPr>
                <w:sz w:val="20"/>
                <w:szCs w:val="20"/>
              </w:rPr>
              <w:t>0.73</w:t>
            </w:r>
          </w:p>
        </w:tc>
        <w:tc>
          <w:tcPr>
            <w:tcW w:w="0" w:type="auto"/>
            <w:shd w:val="clear" w:color="auto" w:fill="BFBFBF" w:themeFill="background1" w:themeFillShade="BF"/>
          </w:tcPr>
          <w:p w14:paraId="5304BDAF"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r>
      <w:tr w:rsidR="00574918" w14:paraId="65516198" w14:textId="77777777" w:rsidTr="00C260F3">
        <w:tc>
          <w:tcPr>
            <w:tcW w:w="2245" w:type="dxa"/>
          </w:tcPr>
          <w:p w14:paraId="7816EC85" w14:textId="10BC867D" w:rsidR="00574918" w:rsidRPr="00DD5F1E" w:rsidRDefault="00574918" w:rsidP="00C260F3">
            <w:pPr>
              <w:pStyle w:val="Paragraph"/>
              <w:spacing w:line="240" w:lineRule="auto"/>
              <w:ind w:firstLine="0"/>
              <w:rPr>
                <w:b/>
                <w:sz w:val="20"/>
                <w:szCs w:val="20"/>
              </w:rPr>
            </w:pPr>
            <w:r w:rsidRPr="00DD5F1E">
              <w:rPr>
                <w:b/>
                <w:sz w:val="20"/>
                <w:szCs w:val="20"/>
              </w:rPr>
              <w:t xml:space="preserve">Drop CMJ Height (cm) </w:t>
            </w:r>
            <w:r w:rsidRPr="00DD5F1E">
              <w:rPr>
                <w:b/>
                <w:sz w:val="20"/>
                <w:szCs w:val="20"/>
              </w:rPr>
              <w:fldChar w:fldCharType="begin" w:fldLock="1"/>
            </w:r>
            <w:r w:rsidR="004E6AAA">
              <w:rPr>
                <w:b/>
                <w:sz w:val="20"/>
                <w:szCs w:val="20"/>
              </w:rPr>
              <w:instrText>ADDIN CSL_CITATION {"citationItems":[{"id":"ITEM-1","itemData":{"DOI":"10.1007/s00167-006-0150-6","ISBN":"0942-2056 (Print)","ISSN":"0942-2056","PMID":"16858560","abstract":"Achilles tendinopathy is considered to be one of the most common overuse injuries in elite and recreational athletes. However, the effect that the Achilles tendinopathy has on patients' physical performance is still unclear. The purpose of this study was to evaluate if Achilles tendinopathy caused functional deficits on the injured side compared with the non-injured side in patients. A test battery comprised of tests for different aspects of muscle-tendon function of the gastrocnemius, soleus and Achilles tendon complex was developed to evaluate lower leg function. The test battery's test-retest reliability and sensitivity (the percent probability that the tests would demonstrate abnormal lower limb symmetry index in patients) were also evaluated. The test battery consisted of three jump tests, a counter movements jump (CMJ), a drop counter movement jump (drop CMJ) and hopping, and two strength tests, concentric toe-raises, eccentric-concentric toe-raises and toe-raises for endurance. The reliability was evaluated through a test-retest design on 15 healthy subjects. The test battery's sensitivity and possible functional deficits in patients with Achilles tendinopathy were evaluated on 42 patients (19 women and 23 men). An excellent reliability was found between test days 1-2 and 2-3 for all tests (ICC = 0.76-0.94) except for concentric toe-raise, test 2-3, which had fair reliability (ICC = 0.73). The methodological error ranged from 8 to 17%. There were significant differences (P = 0.001-0.049) between the non-injured (or least symptomatic) side and injured (most symptomatic) side for hopping, drop CMJ, concentric and eccentric-concentric toe-raises, and significant differences (P = 0.000-0.012) in the level of pain during CMJ, hopping, and drop CMJ. The sensitivity of the test battery at a 90% capacity was 88. Achilles tendinopathy causes not only pain and symptoms in patients but also apparent impairments in various aspects of lower leg muscle-tendon function as measured with the test battery. This test battery is reliable and able to detect differences in lower leg function between the injured or \"most symptomatic\" and non-injured or \"least symptomatic\" side in patients with Achilles tendinopathy. The test battery has higher demand on patients' function compared with each individual test.","author":[{"dropping-particle":"","family":"Silbernagel","given":"Karin Grävare","non-dropping-particle":"","parse-names":false,"suffix":""},{"dropping-particle":"","family":"Gustavsson","given":"Alexander","non-dropping-particle":"","parse-names":false,"suffix":""},{"dropping-particle":"","family":"Thomeé","given":"Roland","non-dropping-particle":"","parse-names":false,"suffix":""},{"dropping-particle":"","family":"Karlsson","given":"Jon","non-dropping-particle":"","parse-names":false,"suffix":""}],"container-title":"Knee Surgery, Sports Traumatology, Arthroscopy","id":"ITEM-1","issue":"11","issued":{"date-parts":[["2006","11","3"]]},"language":"eng","page":"1207-1217","title":"Evaluation of lower leg function in patients with Achilles tendinopathy","type":"article-journal","volume":"14"},"uris":["http://www.mendeley.com/documents/?uuid=b9cca454-ef34-4a3a-8879-31f28eb6d111"]}],"mendeley":{"formattedCitation":"(6)","plainTextFormattedCitation":"(6)","previouslyFormattedCitation":"&lt;sup&gt;6&lt;/sup&gt;"},"properties":{"noteIndex":0},"schema":"https://github.com/citation-style-language/schema/raw/master/csl-citation.json"}</w:instrText>
            </w:r>
            <w:r w:rsidRPr="00DD5F1E">
              <w:rPr>
                <w:b/>
                <w:sz w:val="20"/>
                <w:szCs w:val="20"/>
              </w:rPr>
              <w:fldChar w:fldCharType="separate"/>
            </w:r>
            <w:r w:rsidR="004E6AAA" w:rsidRPr="004E6AAA">
              <w:rPr>
                <w:noProof/>
                <w:sz w:val="20"/>
                <w:szCs w:val="20"/>
              </w:rPr>
              <w:t>(6)</w:t>
            </w:r>
            <w:r w:rsidRPr="00DD5F1E">
              <w:rPr>
                <w:b/>
                <w:sz w:val="20"/>
                <w:szCs w:val="20"/>
              </w:rPr>
              <w:fldChar w:fldCharType="end"/>
            </w:r>
          </w:p>
        </w:tc>
        <w:tc>
          <w:tcPr>
            <w:tcW w:w="1440" w:type="dxa"/>
          </w:tcPr>
          <w:p w14:paraId="227C9DA2" w14:textId="77777777" w:rsidR="00574918" w:rsidRPr="00DD5F1E" w:rsidRDefault="00574918" w:rsidP="00C260F3">
            <w:pPr>
              <w:pStyle w:val="Paragraph"/>
              <w:spacing w:line="240" w:lineRule="auto"/>
              <w:ind w:firstLine="0"/>
              <w:jc w:val="center"/>
              <w:rPr>
                <w:sz w:val="20"/>
                <w:szCs w:val="20"/>
              </w:rPr>
            </w:pPr>
            <w:r w:rsidRPr="00DD5F1E">
              <w:rPr>
                <w:sz w:val="20"/>
                <w:szCs w:val="20"/>
              </w:rPr>
              <w:t>0.88 – 0.92</w:t>
            </w:r>
          </w:p>
        </w:tc>
        <w:tc>
          <w:tcPr>
            <w:tcW w:w="1341" w:type="dxa"/>
          </w:tcPr>
          <w:p w14:paraId="21B8184F" w14:textId="77777777" w:rsidR="00574918" w:rsidRPr="00DD5F1E" w:rsidRDefault="00574918" w:rsidP="00C260F3">
            <w:pPr>
              <w:pStyle w:val="Paragraph"/>
              <w:spacing w:line="240" w:lineRule="auto"/>
              <w:ind w:firstLine="0"/>
              <w:jc w:val="center"/>
              <w:rPr>
                <w:sz w:val="20"/>
                <w:szCs w:val="20"/>
              </w:rPr>
            </w:pPr>
            <w:r w:rsidRPr="00DD5F1E">
              <w:rPr>
                <w:sz w:val="20"/>
                <w:szCs w:val="20"/>
              </w:rPr>
              <w:t>1.66</w:t>
            </w:r>
          </w:p>
        </w:tc>
        <w:tc>
          <w:tcPr>
            <w:tcW w:w="0" w:type="auto"/>
          </w:tcPr>
          <w:p w14:paraId="2E895AFA" w14:textId="77777777" w:rsidR="00574918" w:rsidRPr="00DD5F1E" w:rsidRDefault="00574918" w:rsidP="00C260F3">
            <w:pPr>
              <w:pStyle w:val="Paragraph"/>
              <w:spacing w:line="240" w:lineRule="auto"/>
              <w:ind w:firstLine="0"/>
              <w:jc w:val="center"/>
              <w:rPr>
                <w:sz w:val="20"/>
                <w:szCs w:val="20"/>
              </w:rPr>
            </w:pPr>
            <w:r w:rsidRPr="00DD5F1E">
              <w:rPr>
                <w:sz w:val="20"/>
                <w:szCs w:val="20"/>
              </w:rPr>
              <w:t>4.61</w:t>
            </w:r>
          </w:p>
        </w:tc>
        <w:tc>
          <w:tcPr>
            <w:tcW w:w="0" w:type="auto"/>
          </w:tcPr>
          <w:p w14:paraId="6673FF36" w14:textId="77777777" w:rsidR="00574918" w:rsidRPr="00DD5F1E" w:rsidRDefault="00574918" w:rsidP="00C260F3">
            <w:pPr>
              <w:pStyle w:val="Paragraph"/>
              <w:spacing w:line="240" w:lineRule="auto"/>
              <w:ind w:firstLine="0"/>
              <w:jc w:val="center"/>
              <w:rPr>
                <w:sz w:val="20"/>
                <w:szCs w:val="20"/>
              </w:rPr>
            </w:pPr>
            <w:r w:rsidRPr="00DD5F1E">
              <w:rPr>
                <w:sz w:val="20"/>
                <w:szCs w:val="20"/>
              </w:rPr>
              <w:t>0.84</w:t>
            </w:r>
          </w:p>
        </w:tc>
        <w:tc>
          <w:tcPr>
            <w:tcW w:w="0" w:type="auto"/>
          </w:tcPr>
          <w:p w14:paraId="0B12A505" w14:textId="77777777" w:rsidR="00574918" w:rsidRPr="00DD5F1E" w:rsidRDefault="00574918" w:rsidP="00C260F3">
            <w:pPr>
              <w:pStyle w:val="Paragraph"/>
              <w:spacing w:line="240" w:lineRule="auto"/>
              <w:ind w:firstLine="0"/>
              <w:jc w:val="center"/>
              <w:rPr>
                <w:sz w:val="20"/>
                <w:szCs w:val="20"/>
              </w:rPr>
            </w:pPr>
            <w:r w:rsidRPr="00DD5F1E">
              <w:rPr>
                <w:sz w:val="20"/>
                <w:szCs w:val="20"/>
              </w:rPr>
              <w:t>N.E.</w:t>
            </w:r>
          </w:p>
        </w:tc>
      </w:tr>
      <w:tr w:rsidR="00574918" w14:paraId="687D12B1" w14:textId="77777777" w:rsidTr="00C260F3">
        <w:tc>
          <w:tcPr>
            <w:tcW w:w="2245" w:type="dxa"/>
            <w:shd w:val="clear" w:color="auto" w:fill="BFBFBF" w:themeFill="background1" w:themeFillShade="BF"/>
          </w:tcPr>
          <w:p w14:paraId="7E19E792" w14:textId="4B1DFF46" w:rsidR="00574918" w:rsidRPr="00DD5F1E" w:rsidRDefault="00574918" w:rsidP="00C260F3">
            <w:pPr>
              <w:pStyle w:val="Paragraph"/>
              <w:spacing w:line="240" w:lineRule="auto"/>
              <w:ind w:firstLine="0"/>
              <w:rPr>
                <w:b/>
                <w:sz w:val="20"/>
                <w:szCs w:val="20"/>
              </w:rPr>
            </w:pPr>
            <w:r w:rsidRPr="00DD5F1E">
              <w:rPr>
                <w:b/>
                <w:sz w:val="20"/>
                <w:szCs w:val="20"/>
              </w:rPr>
              <w:t>Knee Extension MVIC (% change)</w:t>
            </w:r>
            <w:r w:rsidRPr="00DD5F1E">
              <w:rPr>
                <w:b/>
                <w:sz w:val="20"/>
                <w:szCs w:val="20"/>
              </w:rPr>
              <w:fldChar w:fldCharType="begin" w:fldLock="1"/>
            </w:r>
            <w:r w:rsidR="004E6AAA">
              <w:rPr>
                <w:b/>
                <w:sz w:val="20"/>
                <w:szCs w:val="20"/>
              </w:rPr>
              <w:instrText>ADDIN CSL_CITATION {"citationItems":[{"id":"ITEM-1","itemData":{"DOI":"10.1371/journal.pone.0140822","ISSN":"19326203","PMID":"26509265","abstract":"Introduction Hand-held dynamometry (HHD) has never previously been used to examine isometric muscle power. Rate of force development (RFD) is often used for muscle power assessment, however no consensus currently exists on the most appropriate method of calculation. The aim of this study was to examine the reliability of different algorithms for RFD calculation and to examine the intra-rater, inter-rater, and inter-device reliability of HHD as well as the concurrent validity of HHD for the assessment of isometric lower limb muscle strength and power. Methods 30 healthy young adults (age: 23±5yrs, male: 15) were assessed on two sessions. Isometric muscle strength and power were measured using peak force and RFD respectively using two HHDs (Lafayette Model-01165 and Hoggan microFET2) and a criterion-reference Kin-Com dynamometer. Statistical analysis of reliability and validity comprised intraclass correlation coefficients (ICC), Pearson correlations, concordance correlations, standard error of measurement, and minimal detectable change. Results Comparison of RFD methods revealed that a peak 200ms moving window algorithm provided optimal reliability results. Intra-rater, inter-rater, and inter-device reliability analysis of peak force and RFD revealed mostly good to excellent reliability (coefficients ô 0.70) for all muscle groups. Concurrent validity analysis showed moderate to excellent relationships between HHD and fixed dynamometry for the hip and knee (ICCs ô 0.70) for both peak force and RFD, with mostly poor to good results shown for the ankle muscles (ICCs = 0.31-0.79). \\Conclusions Hand-held dynamometry has good to excellent reliability and validity for most measures of isometric lower limb strength and power in a healthy population, particularly for proximal muscle groups. To aid implementation we have created freely available software to extract these variables from data stored on the Lafayette device. Future research should examine the reliability and validity of these variables in clinical populations.","author":[{"dropping-particle":"","family":"Mentiplay","given":"Benjamin F.","non-dropping-particle":"","parse-names":false,"suffix":""},{"dropping-particle":"","family":"Perraton","given":"Luke G.","non-dropping-particle":"","parse-names":false,"suffix":""},{"dropping-particle":"","family":"Bower","given":"Kelly J.","non-dropping-particle":"","parse-names":false,"suffix":""},{"dropping-particle":"","family":"Adair","given":"Brooke","non-dropping-particle":"","parse-names":false,"suffix":""},{"dropping-particle":"","family":"Pua","given":"Yong Hao","non-dropping-particle":"","parse-names":false,"suffix":""},{"dropping-particle":"","family":"Williams","given":"Gavin P.","non-dropping-particle":"","parse-names":false,"suffix":""},{"dropping-particle":"","family":"McGaw","given":"Rebekah","non-dropping-particle":"","parse-names":false,"suffix":""},{"dropping-particle":"","family":"Clark","given":"Ross A.","non-dropping-particle":"","parse-names":false,"suffix":""}],"container-title":"PLoS ONE","id":"ITEM-1","issue":"10","issued":{"date-parts":[["2015"]]},"page":"1-18","title":"Assessment of lower limb muscle strength and power using hand-held and fixed dynamometry: A reliability and validity study","type":"article-journal","volume":"10"},"uris":["http://www.mendeley.com/documents/?uuid=7c504ffb-b3e1-4f56-8a82-c03a51c4a958"]}],"mendeley":{"formattedCitation":"(7)","plainTextFormattedCitation":"(7)","previouslyFormattedCitation":"&lt;sup&gt;7&lt;/sup&gt;"},"properties":{"noteIndex":0},"schema":"https://github.com/citation-style-language/schema/raw/master/csl-citation.json"}</w:instrText>
            </w:r>
            <w:r w:rsidRPr="00DD5F1E">
              <w:rPr>
                <w:b/>
                <w:sz w:val="20"/>
                <w:szCs w:val="20"/>
              </w:rPr>
              <w:fldChar w:fldCharType="separate"/>
            </w:r>
            <w:r w:rsidR="004E6AAA" w:rsidRPr="004E6AAA">
              <w:rPr>
                <w:noProof/>
                <w:sz w:val="20"/>
                <w:szCs w:val="20"/>
              </w:rPr>
              <w:t>(7)</w:t>
            </w:r>
            <w:r w:rsidRPr="00DD5F1E">
              <w:rPr>
                <w:b/>
                <w:sz w:val="20"/>
                <w:szCs w:val="20"/>
              </w:rPr>
              <w:fldChar w:fldCharType="end"/>
            </w:r>
          </w:p>
        </w:tc>
        <w:tc>
          <w:tcPr>
            <w:tcW w:w="1440" w:type="dxa"/>
            <w:shd w:val="clear" w:color="auto" w:fill="BFBFBF" w:themeFill="background1" w:themeFillShade="BF"/>
          </w:tcPr>
          <w:p w14:paraId="42D5C6B2" w14:textId="77777777" w:rsidR="00574918" w:rsidRPr="00DD5F1E" w:rsidRDefault="00574918" w:rsidP="00C260F3">
            <w:pPr>
              <w:pStyle w:val="Paragraph"/>
              <w:spacing w:line="240" w:lineRule="auto"/>
              <w:ind w:firstLine="0"/>
              <w:jc w:val="center"/>
              <w:rPr>
                <w:sz w:val="20"/>
                <w:szCs w:val="20"/>
              </w:rPr>
            </w:pPr>
            <w:r w:rsidRPr="00DD5F1E">
              <w:rPr>
                <w:sz w:val="20"/>
                <w:szCs w:val="20"/>
              </w:rPr>
              <w:t>0.98</w:t>
            </w:r>
          </w:p>
        </w:tc>
        <w:tc>
          <w:tcPr>
            <w:tcW w:w="1341" w:type="dxa"/>
            <w:shd w:val="clear" w:color="auto" w:fill="BFBFBF" w:themeFill="background1" w:themeFillShade="BF"/>
          </w:tcPr>
          <w:p w14:paraId="1E3481D8" w14:textId="77777777" w:rsidR="00574918" w:rsidRPr="00DD5F1E" w:rsidRDefault="00574918" w:rsidP="00C260F3">
            <w:pPr>
              <w:pStyle w:val="Paragraph"/>
              <w:spacing w:line="240" w:lineRule="auto"/>
              <w:ind w:firstLine="0"/>
              <w:jc w:val="center"/>
              <w:rPr>
                <w:sz w:val="20"/>
                <w:szCs w:val="20"/>
              </w:rPr>
            </w:pPr>
            <w:r w:rsidRPr="00DD5F1E">
              <w:rPr>
                <w:sz w:val="20"/>
                <w:szCs w:val="20"/>
              </w:rPr>
              <w:t>5.67</w:t>
            </w:r>
          </w:p>
        </w:tc>
        <w:tc>
          <w:tcPr>
            <w:tcW w:w="0" w:type="auto"/>
            <w:shd w:val="clear" w:color="auto" w:fill="BFBFBF" w:themeFill="background1" w:themeFillShade="BF"/>
          </w:tcPr>
          <w:p w14:paraId="5F65F383" w14:textId="77777777" w:rsidR="00574918" w:rsidRPr="00DD5F1E" w:rsidRDefault="00574918" w:rsidP="00C260F3">
            <w:pPr>
              <w:pStyle w:val="Paragraph"/>
              <w:spacing w:line="240" w:lineRule="auto"/>
              <w:ind w:firstLine="0"/>
              <w:jc w:val="center"/>
              <w:rPr>
                <w:sz w:val="20"/>
                <w:szCs w:val="20"/>
              </w:rPr>
            </w:pPr>
            <w:r w:rsidRPr="00DD5F1E">
              <w:rPr>
                <w:sz w:val="20"/>
                <w:szCs w:val="20"/>
              </w:rPr>
              <w:t>15.72</w:t>
            </w:r>
          </w:p>
        </w:tc>
        <w:tc>
          <w:tcPr>
            <w:tcW w:w="0" w:type="auto"/>
            <w:shd w:val="clear" w:color="auto" w:fill="BFBFBF" w:themeFill="background1" w:themeFillShade="BF"/>
          </w:tcPr>
          <w:p w14:paraId="653BE3B2" w14:textId="77777777" w:rsidR="00574918" w:rsidRPr="00DD5F1E" w:rsidRDefault="00574918" w:rsidP="00C260F3">
            <w:pPr>
              <w:pStyle w:val="Paragraph"/>
              <w:spacing w:line="240" w:lineRule="auto"/>
              <w:ind w:firstLine="0"/>
              <w:jc w:val="center"/>
              <w:rPr>
                <w:sz w:val="20"/>
                <w:szCs w:val="20"/>
              </w:rPr>
            </w:pPr>
            <w:r w:rsidRPr="00DD5F1E">
              <w:rPr>
                <w:sz w:val="20"/>
                <w:szCs w:val="20"/>
              </w:rPr>
              <w:t>2.87</w:t>
            </w:r>
          </w:p>
        </w:tc>
        <w:tc>
          <w:tcPr>
            <w:tcW w:w="0" w:type="auto"/>
            <w:shd w:val="clear" w:color="auto" w:fill="BFBFBF" w:themeFill="background1" w:themeFillShade="BF"/>
          </w:tcPr>
          <w:p w14:paraId="459B0E36" w14:textId="77777777" w:rsidR="00574918" w:rsidRPr="00DD5F1E" w:rsidRDefault="00574918" w:rsidP="00C260F3">
            <w:pPr>
              <w:pStyle w:val="Paragraph"/>
              <w:spacing w:line="240" w:lineRule="auto"/>
              <w:ind w:firstLine="0"/>
              <w:jc w:val="center"/>
              <w:rPr>
                <w:sz w:val="20"/>
                <w:szCs w:val="20"/>
              </w:rPr>
            </w:pPr>
            <w:r w:rsidRPr="00DD5F1E">
              <w:rPr>
                <w:sz w:val="20"/>
                <w:szCs w:val="20"/>
              </w:rPr>
              <w:t>N</w:t>
            </w:r>
            <w:r>
              <w:rPr>
                <w:sz w:val="20"/>
                <w:szCs w:val="20"/>
              </w:rPr>
              <w:t>.</w:t>
            </w:r>
            <w:r w:rsidRPr="00DD5F1E">
              <w:rPr>
                <w:sz w:val="20"/>
                <w:szCs w:val="20"/>
              </w:rPr>
              <w:t>E</w:t>
            </w:r>
            <w:r>
              <w:rPr>
                <w:sz w:val="20"/>
                <w:szCs w:val="20"/>
              </w:rPr>
              <w:t>.</w:t>
            </w:r>
          </w:p>
        </w:tc>
      </w:tr>
      <w:tr w:rsidR="00574918" w14:paraId="742E3777" w14:textId="77777777" w:rsidTr="00C260F3">
        <w:tc>
          <w:tcPr>
            <w:tcW w:w="2245" w:type="dxa"/>
            <w:tcBorders>
              <w:bottom w:val="single" w:sz="4" w:space="0" w:color="auto"/>
            </w:tcBorders>
          </w:tcPr>
          <w:p w14:paraId="214311C7" w14:textId="528B0C97" w:rsidR="00574918" w:rsidRPr="00DD5F1E" w:rsidRDefault="00574918" w:rsidP="00C260F3">
            <w:pPr>
              <w:pStyle w:val="Paragraph"/>
              <w:spacing w:line="240" w:lineRule="auto"/>
              <w:ind w:firstLine="0"/>
              <w:rPr>
                <w:b/>
                <w:sz w:val="20"/>
                <w:szCs w:val="20"/>
              </w:rPr>
            </w:pPr>
            <w:r w:rsidRPr="00DD5F1E">
              <w:rPr>
                <w:b/>
                <w:sz w:val="20"/>
                <w:szCs w:val="20"/>
              </w:rPr>
              <w:t>Quadriceps CAR (%)</w:t>
            </w:r>
            <w:r w:rsidRPr="00DD5F1E">
              <w:rPr>
                <w:b/>
                <w:sz w:val="20"/>
                <w:szCs w:val="20"/>
              </w:rPr>
              <w:fldChar w:fldCharType="begin" w:fldLock="1"/>
            </w:r>
            <w:r w:rsidR="004E6AAA">
              <w:rPr>
                <w:b/>
                <w:sz w:val="20"/>
                <w:szCs w:val="20"/>
              </w:rPr>
              <w:instrText>ADDIN CSL_CITATION {"citationItems":[{"id":"ITEM-1","itemData":{"DOI":"10.4085/1062-6050-50.10.03","ISSN":"10626050","PMID":"26636730","abstract":"Context: The superimposed-burst (SIB) technique is com-monly used to quantify central activation failure after knee-joint injury, but its reliability has not been established in pathologic cohorts. Objective: To assess within-session and between-sessions reliability of the SIB technique in patients with patellofemoral pain. Design: Descriptive laboratory study. Setting: University laboratory. Patients or Other Participants: A total of 10 patients with self-reported patellofemoral pain (1 man, 9 women; age ¼ 24.1 – 3.8 years, height ¼ 167.8 – 15.2 cm, mass ¼ 71.6 – 17.5 kg) and 10 healthy control participants (3 men, 7 women; age ¼ 27.4 – 5.0 years, height ¼ 173.5 – 9.9 cm, mass ¼ 78.2 – 16.5 kg) volunteered. Intervention(s): Participants were assessed at 6 intervals spanning 21 days. Intraclass correlation coefficients (ICCs [3,3]) were used to assess reliability. Main Outcome Measure(s): Quadriceps central activation ratio, knee-extension maximal voluntary isometric contraction force, and SIB force. Results: The quadriceps central activation ratio was highly reliable within session (ICC [3,3] ¼ 0.97) and between sessions through day 21 (ICC [3,3] ¼ 0.90–0.95). Acceptable reliability of knee extension (ICC [3,3] ¼ 0.75–0.91) and SIB force (ICC [3,3] ¼ 0.77–0.89) was observed through day 21. Conclusions: The SIB technique was reliable for clinical research up to 21 days in patients with patellofemoral pain.","author":[{"dropping-particle":"","family":"Norte","given":"Grant E.","non-dropping-particle":"","parse-names":false,"suffix":""},{"dropping-particle":"","family":"Frye","given":"Jamie L.","non-dropping-particle":"","parse-names":false,"suffix":""},{"dropping-particle":"","family":"Hart","given":"Joseph M.","non-dropping-particle":"","parse-names":false,"suffix":""}],"container-title":"Journal of Athletic Training","id":"ITEM-1","issue":"11","issued":{"date-parts":[["2015"]]},"page":"1207-1211","title":"Reliability of the superimposed-burst technique in patients with patellofemoral pain: A technical report","type":"article-journal","volume":"50"},"uris":["http://www.mendeley.com/documents/?uuid=78156e20-5de5-44b7-b8e6-43a6f1cd696d"]}],"mendeley":{"formattedCitation":"(8)","plainTextFormattedCitation":"(8)","previouslyFormattedCitation":"&lt;sup&gt;8&lt;/sup&gt;"},"properties":{"noteIndex":0},"schema":"https://github.com/citation-style-language/schema/raw/master/csl-citation.json"}</w:instrText>
            </w:r>
            <w:r w:rsidRPr="00DD5F1E">
              <w:rPr>
                <w:b/>
                <w:sz w:val="20"/>
                <w:szCs w:val="20"/>
              </w:rPr>
              <w:fldChar w:fldCharType="separate"/>
            </w:r>
            <w:r w:rsidR="004E6AAA" w:rsidRPr="004E6AAA">
              <w:rPr>
                <w:noProof/>
                <w:sz w:val="20"/>
                <w:szCs w:val="20"/>
              </w:rPr>
              <w:t>(8)</w:t>
            </w:r>
            <w:r w:rsidRPr="00DD5F1E">
              <w:rPr>
                <w:b/>
                <w:sz w:val="20"/>
                <w:szCs w:val="20"/>
              </w:rPr>
              <w:fldChar w:fldCharType="end"/>
            </w:r>
          </w:p>
        </w:tc>
        <w:tc>
          <w:tcPr>
            <w:tcW w:w="1440" w:type="dxa"/>
            <w:tcBorders>
              <w:bottom w:val="single" w:sz="4" w:space="0" w:color="auto"/>
            </w:tcBorders>
          </w:tcPr>
          <w:p w14:paraId="250DD457" w14:textId="77777777" w:rsidR="00574918" w:rsidRPr="00DD5F1E" w:rsidRDefault="00574918" w:rsidP="00C260F3">
            <w:pPr>
              <w:pStyle w:val="Paragraph"/>
              <w:spacing w:line="240" w:lineRule="auto"/>
              <w:ind w:firstLine="0"/>
              <w:jc w:val="center"/>
              <w:rPr>
                <w:sz w:val="20"/>
                <w:szCs w:val="20"/>
              </w:rPr>
            </w:pPr>
            <w:r w:rsidRPr="00DD5F1E">
              <w:rPr>
                <w:sz w:val="20"/>
                <w:szCs w:val="20"/>
              </w:rPr>
              <w:t>0.97</w:t>
            </w:r>
          </w:p>
        </w:tc>
        <w:tc>
          <w:tcPr>
            <w:tcW w:w="1341" w:type="dxa"/>
            <w:tcBorders>
              <w:bottom w:val="single" w:sz="4" w:space="0" w:color="auto"/>
            </w:tcBorders>
          </w:tcPr>
          <w:p w14:paraId="1E97C74D" w14:textId="77777777" w:rsidR="00574918" w:rsidRPr="00DD5F1E" w:rsidRDefault="00574918" w:rsidP="00C260F3">
            <w:pPr>
              <w:pStyle w:val="Paragraph"/>
              <w:spacing w:line="240" w:lineRule="auto"/>
              <w:ind w:firstLine="0"/>
              <w:jc w:val="center"/>
              <w:rPr>
                <w:sz w:val="20"/>
                <w:szCs w:val="20"/>
              </w:rPr>
            </w:pPr>
            <w:r w:rsidRPr="00DD5F1E">
              <w:rPr>
                <w:sz w:val="20"/>
                <w:szCs w:val="20"/>
              </w:rPr>
              <w:t>2.36</w:t>
            </w:r>
          </w:p>
        </w:tc>
        <w:tc>
          <w:tcPr>
            <w:tcW w:w="0" w:type="auto"/>
            <w:tcBorders>
              <w:bottom w:val="single" w:sz="4" w:space="0" w:color="auto"/>
            </w:tcBorders>
          </w:tcPr>
          <w:p w14:paraId="3FC5A991" w14:textId="77777777" w:rsidR="00574918" w:rsidRPr="00DD5F1E" w:rsidRDefault="00574918" w:rsidP="00C260F3">
            <w:pPr>
              <w:pStyle w:val="Paragraph"/>
              <w:spacing w:line="240" w:lineRule="auto"/>
              <w:ind w:firstLine="0"/>
              <w:jc w:val="center"/>
              <w:rPr>
                <w:sz w:val="20"/>
                <w:szCs w:val="20"/>
              </w:rPr>
            </w:pPr>
            <w:r w:rsidRPr="00DD5F1E">
              <w:rPr>
                <w:sz w:val="20"/>
                <w:szCs w:val="20"/>
              </w:rPr>
              <w:t>6.55</w:t>
            </w:r>
          </w:p>
        </w:tc>
        <w:tc>
          <w:tcPr>
            <w:tcW w:w="0" w:type="auto"/>
            <w:tcBorders>
              <w:bottom w:val="single" w:sz="4" w:space="0" w:color="auto"/>
            </w:tcBorders>
          </w:tcPr>
          <w:p w14:paraId="1D06FC4A" w14:textId="77777777" w:rsidR="00574918" w:rsidRPr="00DD5F1E" w:rsidRDefault="00574918" w:rsidP="00C260F3">
            <w:pPr>
              <w:pStyle w:val="Paragraph"/>
              <w:spacing w:line="240" w:lineRule="auto"/>
              <w:ind w:firstLine="0"/>
              <w:jc w:val="center"/>
              <w:rPr>
                <w:sz w:val="20"/>
                <w:szCs w:val="20"/>
              </w:rPr>
            </w:pPr>
            <w:r w:rsidRPr="00DD5F1E">
              <w:rPr>
                <w:sz w:val="20"/>
                <w:szCs w:val="20"/>
              </w:rPr>
              <w:t>2.07</w:t>
            </w:r>
          </w:p>
        </w:tc>
        <w:tc>
          <w:tcPr>
            <w:tcW w:w="0" w:type="auto"/>
            <w:tcBorders>
              <w:bottom w:val="single" w:sz="4" w:space="0" w:color="auto"/>
            </w:tcBorders>
          </w:tcPr>
          <w:p w14:paraId="300969D7" w14:textId="77777777" w:rsidR="00574918" w:rsidRPr="00DD5F1E" w:rsidRDefault="00574918" w:rsidP="00C260F3">
            <w:pPr>
              <w:pStyle w:val="Paragraph"/>
              <w:spacing w:line="240" w:lineRule="auto"/>
              <w:ind w:firstLine="0"/>
              <w:jc w:val="center"/>
              <w:rPr>
                <w:sz w:val="20"/>
                <w:szCs w:val="20"/>
              </w:rPr>
            </w:pPr>
            <w:r w:rsidRPr="00DD5F1E">
              <w:rPr>
                <w:sz w:val="20"/>
                <w:szCs w:val="20"/>
              </w:rPr>
              <w:t>N</w:t>
            </w:r>
            <w:r>
              <w:rPr>
                <w:sz w:val="20"/>
                <w:szCs w:val="20"/>
              </w:rPr>
              <w:t>.</w:t>
            </w:r>
            <w:r w:rsidRPr="00DD5F1E">
              <w:rPr>
                <w:sz w:val="20"/>
                <w:szCs w:val="20"/>
              </w:rPr>
              <w:t>E</w:t>
            </w:r>
            <w:r>
              <w:rPr>
                <w:sz w:val="20"/>
                <w:szCs w:val="20"/>
              </w:rPr>
              <w:t>.</w:t>
            </w:r>
          </w:p>
        </w:tc>
      </w:tr>
    </w:tbl>
    <w:bookmarkEnd w:id="4"/>
    <w:p w14:paraId="2C12D2AF" w14:textId="1671DA3E" w:rsidR="00574918" w:rsidRDefault="00574918" w:rsidP="00574918">
      <w:pPr>
        <w:pStyle w:val="Paragraph"/>
        <w:spacing w:line="480" w:lineRule="auto"/>
        <w:ind w:firstLine="0"/>
      </w:pPr>
      <w:r w:rsidRPr="00A50E57">
        <w:t>ICC = Intraclass correlation coefficient, SEM = Standard error of measure, SDC = Smallest detectable change, MCID = Minimally clinically important difference, VISA-P = Victorian Institute of Sport Assessment – Patellar Tendon questionnaire, TSK = Tampa Scale of Kinesiophobia, CSA = Cross-sectional area, CMJ = Counter-movement jump, MVIC = Maximum voluntary isometric contraction, CAR = Central activation ratio, N.E. = Not established</w:t>
      </w:r>
      <w:r w:rsidR="007E7F04">
        <w:t>. Note: Reliability and responsiveness values for tendon CSA, shear modulus, and viscosity are from</w:t>
      </w:r>
      <w:r w:rsidRPr="00A50E57">
        <w:t xml:space="preserve"> </w:t>
      </w:r>
      <w:r w:rsidR="00AB2CB6">
        <w:t>unpublished studies, which are currently in submission, conducted by the authors (ALS, KGS, CC, and RTP).</w:t>
      </w:r>
    </w:p>
    <w:p w14:paraId="69294030" w14:textId="77777777" w:rsidR="00574918" w:rsidRDefault="00574918">
      <w:pPr>
        <w:rPr>
          <w:rFonts w:ascii="Times New Roman" w:eastAsia="Times New Roman" w:hAnsi="Times New Roman" w:cs="Times New Roman"/>
          <w:sz w:val="24"/>
          <w:szCs w:val="24"/>
        </w:rPr>
      </w:pPr>
      <w:r>
        <w:br w:type="page"/>
      </w:r>
    </w:p>
    <w:p w14:paraId="6E906F9D" w14:textId="77777777" w:rsidR="00574918" w:rsidRPr="00574918" w:rsidRDefault="00574918" w:rsidP="00574918">
      <w:pPr>
        <w:spacing w:line="480" w:lineRule="auto"/>
        <w:rPr>
          <w:rFonts w:ascii="Times New Roman" w:hAnsi="Times New Roman" w:cs="Times New Roman"/>
        </w:rPr>
      </w:pPr>
      <w:bookmarkStart w:id="5" w:name="_Toc38475248"/>
      <w:r w:rsidRPr="00574918">
        <w:rPr>
          <w:rFonts w:ascii="Times New Roman" w:hAnsi="Times New Roman" w:cs="Times New Roman"/>
          <w:b/>
        </w:rPr>
        <w:lastRenderedPageBreak/>
        <w:t>Table S.2</w:t>
      </w:r>
      <w:r w:rsidRPr="00574918">
        <w:rPr>
          <w:rFonts w:ascii="Times New Roman" w:hAnsi="Times New Roman" w:cs="Times New Roman"/>
        </w:rPr>
        <w:t>. Effects of group and time of generalized linear mixed model for outcome measures in Aim 4 prior to outlier removal.</w:t>
      </w:r>
      <w:bookmarkEnd w:id="5"/>
    </w:p>
    <w:tbl>
      <w:tblPr>
        <w:tblW w:w="8100" w:type="dxa"/>
        <w:tblLayout w:type="fixed"/>
        <w:tblCellMar>
          <w:top w:w="58" w:type="dxa"/>
          <w:left w:w="115" w:type="dxa"/>
          <w:bottom w:w="58" w:type="dxa"/>
          <w:right w:w="115" w:type="dxa"/>
        </w:tblCellMar>
        <w:tblLook w:val="04A0" w:firstRow="1" w:lastRow="0" w:firstColumn="1" w:lastColumn="0" w:noHBand="0" w:noVBand="1"/>
      </w:tblPr>
      <w:tblGrid>
        <w:gridCol w:w="2070"/>
        <w:gridCol w:w="1710"/>
        <w:gridCol w:w="1080"/>
        <w:gridCol w:w="1080"/>
        <w:gridCol w:w="1080"/>
        <w:gridCol w:w="1080"/>
      </w:tblGrid>
      <w:tr w:rsidR="00574918" w:rsidRPr="00574918" w14:paraId="0E84DB91" w14:textId="77777777" w:rsidTr="00C260F3">
        <w:trPr>
          <w:trHeight w:val="33"/>
        </w:trPr>
        <w:tc>
          <w:tcPr>
            <w:tcW w:w="2070" w:type="dxa"/>
            <w:vMerge w:val="restart"/>
            <w:tcBorders>
              <w:top w:val="single" w:sz="4" w:space="0" w:color="auto"/>
            </w:tcBorders>
            <w:shd w:val="clear" w:color="auto" w:fill="auto"/>
            <w:noWrap/>
            <w:vAlign w:val="center"/>
            <w:hideMark/>
          </w:tcPr>
          <w:p w14:paraId="3616D5BE" w14:textId="77777777" w:rsidR="00574918" w:rsidRPr="00574918" w:rsidRDefault="00574918" w:rsidP="00574918">
            <w:pPr>
              <w:keepNext/>
              <w:keepLines/>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Category</w:t>
            </w:r>
          </w:p>
        </w:tc>
        <w:tc>
          <w:tcPr>
            <w:tcW w:w="1710" w:type="dxa"/>
            <w:vMerge w:val="restart"/>
            <w:tcBorders>
              <w:top w:val="single" w:sz="4" w:space="0" w:color="auto"/>
            </w:tcBorders>
            <w:shd w:val="clear" w:color="auto" w:fill="auto"/>
            <w:noWrap/>
            <w:vAlign w:val="center"/>
            <w:hideMark/>
          </w:tcPr>
          <w:p w14:paraId="2512AFAB" w14:textId="77777777" w:rsidR="00574918" w:rsidRPr="00574918" w:rsidRDefault="00574918" w:rsidP="00574918">
            <w:pPr>
              <w:keepNext/>
              <w:keepLines/>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Outcome</w:t>
            </w:r>
          </w:p>
        </w:tc>
        <w:tc>
          <w:tcPr>
            <w:tcW w:w="2160" w:type="dxa"/>
            <w:gridSpan w:val="2"/>
            <w:tcBorders>
              <w:top w:val="single" w:sz="4" w:space="0" w:color="auto"/>
              <w:bottom w:val="single" w:sz="4" w:space="0" w:color="auto"/>
            </w:tcBorders>
            <w:shd w:val="clear" w:color="auto" w:fill="auto"/>
            <w:noWrap/>
            <w:vAlign w:val="bottom"/>
            <w:hideMark/>
          </w:tcPr>
          <w:p w14:paraId="58E9FE33"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Time</w:t>
            </w:r>
          </w:p>
        </w:tc>
        <w:tc>
          <w:tcPr>
            <w:tcW w:w="2160" w:type="dxa"/>
            <w:gridSpan w:val="2"/>
            <w:tcBorders>
              <w:top w:val="single" w:sz="4" w:space="0" w:color="auto"/>
              <w:bottom w:val="single" w:sz="4" w:space="0" w:color="auto"/>
            </w:tcBorders>
            <w:shd w:val="clear" w:color="auto" w:fill="auto"/>
            <w:noWrap/>
            <w:vAlign w:val="bottom"/>
            <w:hideMark/>
          </w:tcPr>
          <w:p w14:paraId="23C9C485"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Group</w:t>
            </w:r>
          </w:p>
        </w:tc>
      </w:tr>
      <w:tr w:rsidR="00574918" w:rsidRPr="00574918" w14:paraId="0852AF6B" w14:textId="77777777" w:rsidTr="00C260F3">
        <w:trPr>
          <w:trHeight w:val="20"/>
        </w:trPr>
        <w:tc>
          <w:tcPr>
            <w:tcW w:w="2070" w:type="dxa"/>
            <w:vMerge/>
            <w:shd w:val="clear" w:color="auto" w:fill="auto"/>
            <w:noWrap/>
            <w:vAlign w:val="bottom"/>
            <w:hideMark/>
          </w:tcPr>
          <w:p w14:paraId="19E7F476"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p>
        </w:tc>
        <w:tc>
          <w:tcPr>
            <w:tcW w:w="1710" w:type="dxa"/>
            <w:vMerge/>
            <w:shd w:val="clear" w:color="auto" w:fill="auto"/>
            <w:noWrap/>
            <w:vAlign w:val="bottom"/>
            <w:hideMark/>
          </w:tcPr>
          <w:p w14:paraId="729A21D7"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p>
        </w:tc>
        <w:tc>
          <w:tcPr>
            <w:tcW w:w="1080" w:type="dxa"/>
            <w:tcBorders>
              <w:top w:val="single" w:sz="4" w:space="0" w:color="auto"/>
            </w:tcBorders>
            <w:shd w:val="clear" w:color="auto" w:fill="auto"/>
            <w:noWrap/>
            <w:vAlign w:val="bottom"/>
            <w:hideMark/>
          </w:tcPr>
          <w:p w14:paraId="1E11202E"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F</w:t>
            </w:r>
          </w:p>
        </w:tc>
        <w:tc>
          <w:tcPr>
            <w:tcW w:w="1080" w:type="dxa"/>
            <w:tcBorders>
              <w:top w:val="single" w:sz="4" w:space="0" w:color="auto"/>
            </w:tcBorders>
            <w:shd w:val="clear" w:color="auto" w:fill="auto"/>
            <w:noWrap/>
            <w:vAlign w:val="bottom"/>
            <w:hideMark/>
          </w:tcPr>
          <w:p w14:paraId="120C4DEB"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w:t>
            </w:r>
          </w:p>
        </w:tc>
        <w:tc>
          <w:tcPr>
            <w:tcW w:w="1080" w:type="dxa"/>
            <w:tcBorders>
              <w:top w:val="single" w:sz="4" w:space="0" w:color="auto"/>
            </w:tcBorders>
            <w:shd w:val="clear" w:color="auto" w:fill="auto"/>
            <w:noWrap/>
            <w:vAlign w:val="bottom"/>
            <w:hideMark/>
          </w:tcPr>
          <w:p w14:paraId="7D15F59A"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F</w:t>
            </w:r>
          </w:p>
        </w:tc>
        <w:tc>
          <w:tcPr>
            <w:tcW w:w="1080" w:type="dxa"/>
            <w:tcBorders>
              <w:top w:val="single" w:sz="4" w:space="0" w:color="auto"/>
            </w:tcBorders>
            <w:shd w:val="clear" w:color="auto" w:fill="auto"/>
            <w:noWrap/>
            <w:vAlign w:val="bottom"/>
            <w:hideMark/>
          </w:tcPr>
          <w:p w14:paraId="4E7C0EDA" w14:textId="77777777" w:rsidR="00574918" w:rsidRPr="00574918" w:rsidRDefault="00574918" w:rsidP="00574918">
            <w:pPr>
              <w:keepNext/>
              <w:keepLines/>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w:t>
            </w:r>
          </w:p>
        </w:tc>
      </w:tr>
      <w:tr w:rsidR="00574918" w:rsidRPr="00574918" w14:paraId="3CBC26F8" w14:textId="77777777" w:rsidTr="00C260F3">
        <w:trPr>
          <w:trHeight w:val="52"/>
        </w:trPr>
        <w:tc>
          <w:tcPr>
            <w:tcW w:w="2070" w:type="dxa"/>
            <w:shd w:val="clear" w:color="auto" w:fill="auto"/>
            <w:noWrap/>
            <w:vAlign w:val="center"/>
            <w:hideMark/>
          </w:tcPr>
          <w:p w14:paraId="672056C3"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Symptoms</w:t>
            </w:r>
          </w:p>
        </w:tc>
        <w:tc>
          <w:tcPr>
            <w:tcW w:w="1710" w:type="dxa"/>
            <w:shd w:val="clear" w:color="auto" w:fill="auto"/>
            <w:noWrap/>
            <w:vAlign w:val="center"/>
            <w:hideMark/>
          </w:tcPr>
          <w:p w14:paraId="5EAD6E33"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VISA-P</w:t>
            </w:r>
          </w:p>
        </w:tc>
        <w:tc>
          <w:tcPr>
            <w:tcW w:w="1080" w:type="dxa"/>
            <w:shd w:val="clear" w:color="auto" w:fill="auto"/>
            <w:noWrap/>
            <w:vAlign w:val="bottom"/>
            <w:hideMark/>
          </w:tcPr>
          <w:p w14:paraId="3E6981EE"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6.587</w:t>
            </w:r>
          </w:p>
        </w:tc>
        <w:tc>
          <w:tcPr>
            <w:tcW w:w="1080" w:type="dxa"/>
            <w:shd w:val="clear" w:color="auto" w:fill="auto"/>
            <w:noWrap/>
            <w:vAlign w:val="bottom"/>
            <w:hideMark/>
          </w:tcPr>
          <w:p w14:paraId="70AA5469" w14:textId="77777777" w:rsidR="00574918" w:rsidRPr="00574918" w:rsidRDefault="00574918" w:rsidP="00574918">
            <w:pPr>
              <w:keepNext/>
              <w:keepLines/>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0.005</w:t>
            </w:r>
          </w:p>
        </w:tc>
        <w:tc>
          <w:tcPr>
            <w:tcW w:w="1080" w:type="dxa"/>
            <w:shd w:val="clear" w:color="auto" w:fill="auto"/>
            <w:noWrap/>
            <w:vAlign w:val="bottom"/>
            <w:hideMark/>
          </w:tcPr>
          <w:p w14:paraId="51752EE3"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6.064</w:t>
            </w:r>
          </w:p>
        </w:tc>
        <w:tc>
          <w:tcPr>
            <w:tcW w:w="1080" w:type="dxa"/>
            <w:shd w:val="clear" w:color="auto" w:fill="auto"/>
            <w:noWrap/>
            <w:vAlign w:val="bottom"/>
            <w:hideMark/>
          </w:tcPr>
          <w:p w14:paraId="1794A64A" w14:textId="77777777" w:rsidR="00574918" w:rsidRPr="00574918" w:rsidRDefault="00574918" w:rsidP="00574918">
            <w:pPr>
              <w:keepNext/>
              <w:keepLines/>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0.029</w:t>
            </w:r>
          </w:p>
        </w:tc>
      </w:tr>
      <w:tr w:rsidR="00574918" w:rsidRPr="00574918" w14:paraId="77D348F4" w14:textId="77777777" w:rsidTr="00574918">
        <w:trPr>
          <w:trHeight w:val="22"/>
        </w:trPr>
        <w:tc>
          <w:tcPr>
            <w:tcW w:w="2070" w:type="dxa"/>
            <w:vMerge w:val="restart"/>
            <w:shd w:val="clear" w:color="auto" w:fill="D9D9D9"/>
            <w:noWrap/>
            <w:vAlign w:val="center"/>
            <w:hideMark/>
          </w:tcPr>
          <w:p w14:paraId="192FD9E1"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Psychological Factors</w:t>
            </w:r>
          </w:p>
        </w:tc>
        <w:tc>
          <w:tcPr>
            <w:tcW w:w="1710" w:type="dxa"/>
            <w:shd w:val="clear" w:color="auto" w:fill="D9D9D9"/>
            <w:noWrap/>
            <w:vAlign w:val="center"/>
            <w:hideMark/>
          </w:tcPr>
          <w:p w14:paraId="5BC641C9"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TSK</w:t>
            </w:r>
          </w:p>
        </w:tc>
        <w:tc>
          <w:tcPr>
            <w:tcW w:w="1080" w:type="dxa"/>
            <w:shd w:val="clear" w:color="auto" w:fill="D9D9D9"/>
            <w:noWrap/>
            <w:vAlign w:val="bottom"/>
            <w:hideMark/>
          </w:tcPr>
          <w:p w14:paraId="5FD6ACE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3.528</w:t>
            </w:r>
          </w:p>
        </w:tc>
        <w:tc>
          <w:tcPr>
            <w:tcW w:w="1080" w:type="dxa"/>
            <w:shd w:val="clear" w:color="auto" w:fill="D9D9D9"/>
            <w:noWrap/>
            <w:vAlign w:val="bottom"/>
            <w:hideMark/>
          </w:tcPr>
          <w:p w14:paraId="49B542C3" w14:textId="77777777" w:rsidR="00574918" w:rsidRPr="00574918" w:rsidRDefault="00574918" w:rsidP="00574918">
            <w:pPr>
              <w:keepNext/>
              <w:keepLines/>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0.045</w:t>
            </w:r>
          </w:p>
        </w:tc>
        <w:tc>
          <w:tcPr>
            <w:tcW w:w="1080" w:type="dxa"/>
            <w:shd w:val="clear" w:color="auto" w:fill="D9D9D9"/>
            <w:noWrap/>
            <w:vAlign w:val="bottom"/>
            <w:hideMark/>
          </w:tcPr>
          <w:p w14:paraId="49CF08E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1.428</w:t>
            </w:r>
          </w:p>
        </w:tc>
        <w:tc>
          <w:tcPr>
            <w:tcW w:w="1080" w:type="dxa"/>
            <w:shd w:val="clear" w:color="auto" w:fill="D9D9D9"/>
            <w:noWrap/>
            <w:vAlign w:val="bottom"/>
            <w:hideMark/>
          </w:tcPr>
          <w:p w14:paraId="2696875A"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0.253</w:t>
            </w:r>
          </w:p>
        </w:tc>
      </w:tr>
      <w:tr w:rsidR="00574918" w:rsidRPr="00574918" w14:paraId="0A38430D" w14:textId="77777777" w:rsidTr="00574918">
        <w:trPr>
          <w:trHeight w:val="22"/>
        </w:trPr>
        <w:tc>
          <w:tcPr>
            <w:tcW w:w="2070" w:type="dxa"/>
            <w:vMerge/>
            <w:shd w:val="clear" w:color="auto" w:fill="D9D9D9"/>
            <w:noWrap/>
            <w:vAlign w:val="center"/>
            <w:hideMark/>
          </w:tcPr>
          <w:p w14:paraId="7FA2C0DB"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D9D9D9"/>
            <w:noWrap/>
            <w:vAlign w:val="center"/>
            <w:hideMark/>
          </w:tcPr>
          <w:p w14:paraId="21CD9A74"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DASS-21</w:t>
            </w:r>
          </w:p>
        </w:tc>
        <w:tc>
          <w:tcPr>
            <w:tcW w:w="1080" w:type="dxa"/>
            <w:shd w:val="clear" w:color="auto" w:fill="D9D9D9"/>
            <w:noWrap/>
            <w:vAlign w:val="bottom"/>
            <w:hideMark/>
          </w:tcPr>
          <w:p w14:paraId="67AB2895"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2.806</w:t>
            </w:r>
          </w:p>
        </w:tc>
        <w:tc>
          <w:tcPr>
            <w:tcW w:w="1080" w:type="dxa"/>
            <w:shd w:val="clear" w:color="auto" w:fill="D9D9D9"/>
            <w:noWrap/>
            <w:vAlign w:val="bottom"/>
            <w:hideMark/>
          </w:tcPr>
          <w:p w14:paraId="2C40D12B"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0.079</w:t>
            </w:r>
          </w:p>
        </w:tc>
        <w:tc>
          <w:tcPr>
            <w:tcW w:w="1080" w:type="dxa"/>
            <w:shd w:val="clear" w:color="auto" w:fill="D9D9D9"/>
            <w:noWrap/>
            <w:vAlign w:val="bottom"/>
            <w:hideMark/>
          </w:tcPr>
          <w:p w14:paraId="4DA52DD2"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0.581</w:t>
            </w:r>
          </w:p>
        </w:tc>
        <w:tc>
          <w:tcPr>
            <w:tcW w:w="1080" w:type="dxa"/>
            <w:shd w:val="clear" w:color="auto" w:fill="D9D9D9"/>
            <w:noWrap/>
            <w:vAlign w:val="bottom"/>
            <w:hideMark/>
          </w:tcPr>
          <w:p w14:paraId="54DBAAE7"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0.459</w:t>
            </w:r>
          </w:p>
        </w:tc>
      </w:tr>
      <w:tr w:rsidR="00574918" w:rsidRPr="00574918" w14:paraId="58F78AC9" w14:textId="77777777" w:rsidTr="00C260F3">
        <w:trPr>
          <w:trHeight w:val="22"/>
        </w:trPr>
        <w:tc>
          <w:tcPr>
            <w:tcW w:w="2070" w:type="dxa"/>
            <w:vMerge w:val="restart"/>
            <w:shd w:val="clear" w:color="auto" w:fill="auto"/>
            <w:noWrap/>
            <w:vAlign w:val="center"/>
            <w:hideMark/>
          </w:tcPr>
          <w:p w14:paraId="2B71091D"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Morphology</w:t>
            </w:r>
          </w:p>
        </w:tc>
        <w:tc>
          <w:tcPr>
            <w:tcW w:w="1710" w:type="dxa"/>
            <w:shd w:val="clear" w:color="auto" w:fill="auto"/>
            <w:noWrap/>
            <w:vAlign w:val="center"/>
            <w:hideMark/>
          </w:tcPr>
          <w:p w14:paraId="2A776AA3"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Thickness</w:t>
            </w:r>
          </w:p>
        </w:tc>
        <w:tc>
          <w:tcPr>
            <w:tcW w:w="1080" w:type="dxa"/>
            <w:shd w:val="clear" w:color="auto" w:fill="auto"/>
            <w:noWrap/>
            <w:vAlign w:val="bottom"/>
            <w:hideMark/>
          </w:tcPr>
          <w:p w14:paraId="4242C588"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0.618</w:t>
            </w:r>
          </w:p>
        </w:tc>
        <w:tc>
          <w:tcPr>
            <w:tcW w:w="1080" w:type="dxa"/>
            <w:shd w:val="clear" w:color="auto" w:fill="auto"/>
            <w:noWrap/>
            <w:vAlign w:val="bottom"/>
            <w:hideMark/>
          </w:tcPr>
          <w:p w14:paraId="16A0D5D7"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0.549</w:t>
            </w:r>
          </w:p>
        </w:tc>
        <w:tc>
          <w:tcPr>
            <w:tcW w:w="1080" w:type="dxa"/>
            <w:shd w:val="clear" w:color="auto" w:fill="auto"/>
            <w:noWrap/>
            <w:vAlign w:val="bottom"/>
            <w:hideMark/>
          </w:tcPr>
          <w:p w14:paraId="33384E02"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0.074</w:t>
            </w:r>
          </w:p>
        </w:tc>
        <w:tc>
          <w:tcPr>
            <w:tcW w:w="1080" w:type="dxa"/>
            <w:shd w:val="clear" w:color="auto" w:fill="auto"/>
            <w:noWrap/>
            <w:vAlign w:val="bottom"/>
            <w:hideMark/>
          </w:tcPr>
          <w:p w14:paraId="12155F59"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0.790</w:t>
            </w:r>
          </w:p>
        </w:tc>
      </w:tr>
      <w:tr w:rsidR="00574918" w:rsidRPr="00574918" w14:paraId="31D7AEAB" w14:textId="77777777" w:rsidTr="00C260F3">
        <w:trPr>
          <w:trHeight w:val="22"/>
        </w:trPr>
        <w:tc>
          <w:tcPr>
            <w:tcW w:w="2070" w:type="dxa"/>
            <w:vMerge/>
            <w:shd w:val="clear" w:color="auto" w:fill="auto"/>
            <w:noWrap/>
            <w:vAlign w:val="center"/>
            <w:hideMark/>
          </w:tcPr>
          <w:p w14:paraId="2B94165D"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auto"/>
            <w:noWrap/>
            <w:vAlign w:val="center"/>
            <w:hideMark/>
          </w:tcPr>
          <w:p w14:paraId="6B2AC35A"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CSA</w:t>
            </w:r>
          </w:p>
        </w:tc>
        <w:tc>
          <w:tcPr>
            <w:tcW w:w="1080" w:type="dxa"/>
            <w:shd w:val="clear" w:color="auto" w:fill="auto"/>
            <w:noWrap/>
            <w:vAlign w:val="bottom"/>
            <w:hideMark/>
          </w:tcPr>
          <w:p w14:paraId="62953E2B"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0.229</w:t>
            </w:r>
          </w:p>
        </w:tc>
        <w:tc>
          <w:tcPr>
            <w:tcW w:w="1080" w:type="dxa"/>
            <w:shd w:val="clear" w:color="auto" w:fill="auto"/>
            <w:noWrap/>
            <w:vAlign w:val="bottom"/>
            <w:hideMark/>
          </w:tcPr>
          <w:p w14:paraId="127ED5CF"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0.797</w:t>
            </w:r>
          </w:p>
        </w:tc>
        <w:tc>
          <w:tcPr>
            <w:tcW w:w="1080" w:type="dxa"/>
            <w:shd w:val="clear" w:color="auto" w:fill="auto"/>
            <w:noWrap/>
            <w:vAlign w:val="bottom"/>
            <w:hideMark/>
          </w:tcPr>
          <w:p w14:paraId="26DD260A" w14:textId="77777777" w:rsidR="00574918" w:rsidRPr="00574918" w:rsidRDefault="00574918" w:rsidP="00574918">
            <w:pPr>
              <w:keepNext/>
              <w:keepLines/>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0.220</w:t>
            </w:r>
          </w:p>
        </w:tc>
        <w:tc>
          <w:tcPr>
            <w:tcW w:w="1080" w:type="dxa"/>
            <w:shd w:val="clear" w:color="auto" w:fill="auto"/>
            <w:noWrap/>
            <w:vAlign w:val="bottom"/>
            <w:hideMark/>
          </w:tcPr>
          <w:p w14:paraId="0D091E2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0.647</w:t>
            </w:r>
          </w:p>
        </w:tc>
      </w:tr>
      <w:tr w:rsidR="00574918" w:rsidRPr="00574918" w14:paraId="6D2C6097" w14:textId="77777777" w:rsidTr="00574918">
        <w:trPr>
          <w:trHeight w:val="22"/>
        </w:trPr>
        <w:tc>
          <w:tcPr>
            <w:tcW w:w="2070" w:type="dxa"/>
            <w:vMerge w:val="restart"/>
            <w:shd w:val="clear" w:color="auto" w:fill="D9D9D9"/>
            <w:noWrap/>
            <w:vAlign w:val="center"/>
            <w:hideMark/>
          </w:tcPr>
          <w:p w14:paraId="3A549570"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Mechanical Properties</w:t>
            </w:r>
          </w:p>
        </w:tc>
        <w:tc>
          <w:tcPr>
            <w:tcW w:w="1710" w:type="dxa"/>
            <w:shd w:val="clear" w:color="auto" w:fill="D9D9D9"/>
            <w:noWrap/>
            <w:vAlign w:val="center"/>
            <w:hideMark/>
          </w:tcPr>
          <w:p w14:paraId="59F5AFD2"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Shear Modulus</w:t>
            </w:r>
          </w:p>
        </w:tc>
        <w:tc>
          <w:tcPr>
            <w:tcW w:w="1080" w:type="dxa"/>
            <w:shd w:val="clear" w:color="auto" w:fill="D9D9D9"/>
            <w:noWrap/>
            <w:vAlign w:val="bottom"/>
            <w:hideMark/>
          </w:tcPr>
          <w:p w14:paraId="4166E5BA"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0.512</w:t>
            </w:r>
          </w:p>
        </w:tc>
        <w:tc>
          <w:tcPr>
            <w:tcW w:w="1080" w:type="dxa"/>
            <w:shd w:val="clear" w:color="auto" w:fill="D9D9D9"/>
            <w:noWrap/>
            <w:vAlign w:val="bottom"/>
            <w:hideMark/>
          </w:tcPr>
          <w:p w14:paraId="2387F3A1"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0.606</w:t>
            </w:r>
          </w:p>
        </w:tc>
        <w:tc>
          <w:tcPr>
            <w:tcW w:w="1080" w:type="dxa"/>
            <w:shd w:val="clear" w:color="auto" w:fill="D9D9D9"/>
            <w:noWrap/>
            <w:vAlign w:val="bottom"/>
            <w:hideMark/>
          </w:tcPr>
          <w:p w14:paraId="319A1FE9"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0.487</w:t>
            </w:r>
          </w:p>
        </w:tc>
        <w:tc>
          <w:tcPr>
            <w:tcW w:w="1080" w:type="dxa"/>
            <w:shd w:val="clear" w:color="auto" w:fill="D9D9D9"/>
            <w:noWrap/>
            <w:vAlign w:val="bottom"/>
            <w:hideMark/>
          </w:tcPr>
          <w:p w14:paraId="00C6FED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0.496</w:t>
            </w:r>
          </w:p>
        </w:tc>
      </w:tr>
      <w:tr w:rsidR="00574918" w:rsidRPr="00574918" w14:paraId="136C1E41" w14:textId="77777777" w:rsidTr="00574918">
        <w:trPr>
          <w:trHeight w:val="22"/>
        </w:trPr>
        <w:tc>
          <w:tcPr>
            <w:tcW w:w="2070" w:type="dxa"/>
            <w:vMerge/>
            <w:shd w:val="clear" w:color="auto" w:fill="D9D9D9"/>
            <w:noWrap/>
            <w:vAlign w:val="center"/>
            <w:hideMark/>
          </w:tcPr>
          <w:p w14:paraId="5A8267CF"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D9D9D9"/>
            <w:noWrap/>
            <w:vAlign w:val="center"/>
            <w:hideMark/>
          </w:tcPr>
          <w:p w14:paraId="57D5453E"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Viscosity</w:t>
            </w:r>
          </w:p>
        </w:tc>
        <w:tc>
          <w:tcPr>
            <w:tcW w:w="1080" w:type="dxa"/>
            <w:shd w:val="clear" w:color="auto" w:fill="D9D9D9"/>
            <w:noWrap/>
            <w:vAlign w:val="bottom"/>
            <w:hideMark/>
          </w:tcPr>
          <w:p w14:paraId="2BCE3B95"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0.771</w:t>
            </w:r>
          </w:p>
        </w:tc>
        <w:tc>
          <w:tcPr>
            <w:tcW w:w="1080" w:type="dxa"/>
            <w:shd w:val="clear" w:color="auto" w:fill="D9D9D9"/>
            <w:noWrap/>
            <w:vAlign w:val="bottom"/>
            <w:hideMark/>
          </w:tcPr>
          <w:p w14:paraId="21D097BA"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0.476</w:t>
            </w:r>
          </w:p>
        </w:tc>
        <w:tc>
          <w:tcPr>
            <w:tcW w:w="1080" w:type="dxa"/>
            <w:shd w:val="clear" w:color="auto" w:fill="D9D9D9"/>
            <w:noWrap/>
            <w:vAlign w:val="bottom"/>
            <w:hideMark/>
          </w:tcPr>
          <w:p w14:paraId="5A5970D1"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0.109</w:t>
            </w:r>
          </w:p>
        </w:tc>
        <w:tc>
          <w:tcPr>
            <w:tcW w:w="1080" w:type="dxa"/>
            <w:shd w:val="clear" w:color="auto" w:fill="D9D9D9"/>
            <w:noWrap/>
            <w:vAlign w:val="bottom"/>
            <w:hideMark/>
          </w:tcPr>
          <w:p w14:paraId="3449EF3F"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0.746</w:t>
            </w:r>
          </w:p>
        </w:tc>
      </w:tr>
      <w:tr w:rsidR="00574918" w:rsidRPr="00574918" w14:paraId="5FF591E8" w14:textId="77777777" w:rsidTr="00C260F3">
        <w:trPr>
          <w:trHeight w:val="22"/>
        </w:trPr>
        <w:tc>
          <w:tcPr>
            <w:tcW w:w="2070" w:type="dxa"/>
            <w:vMerge w:val="restart"/>
            <w:shd w:val="clear" w:color="auto" w:fill="auto"/>
            <w:noWrap/>
            <w:vAlign w:val="center"/>
            <w:hideMark/>
          </w:tcPr>
          <w:p w14:paraId="35D15956"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Lower Extremity Function</w:t>
            </w:r>
          </w:p>
        </w:tc>
        <w:tc>
          <w:tcPr>
            <w:tcW w:w="1710" w:type="dxa"/>
            <w:shd w:val="clear" w:color="auto" w:fill="auto"/>
            <w:noWrap/>
            <w:vAlign w:val="center"/>
            <w:hideMark/>
          </w:tcPr>
          <w:p w14:paraId="3B5D1B26"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CMJ Height</w:t>
            </w:r>
          </w:p>
        </w:tc>
        <w:tc>
          <w:tcPr>
            <w:tcW w:w="1080" w:type="dxa"/>
            <w:shd w:val="clear" w:color="auto" w:fill="auto"/>
            <w:noWrap/>
            <w:vAlign w:val="bottom"/>
            <w:hideMark/>
          </w:tcPr>
          <w:p w14:paraId="7DE751A6"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3.608</w:t>
            </w:r>
          </w:p>
        </w:tc>
        <w:tc>
          <w:tcPr>
            <w:tcW w:w="1080" w:type="dxa"/>
            <w:shd w:val="clear" w:color="auto" w:fill="auto"/>
            <w:noWrap/>
            <w:vAlign w:val="bottom"/>
            <w:hideMark/>
          </w:tcPr>
          <w:p w14:paraId="2E344D22" w14:textId="77777777" w:rsidR="00574918" w:rsidRPr="00574918" w:rsidRDefault="00574918" w:rsidP="00574918">
            <w:pPr>
              <w:keepNext/>
              <w:keepLines/>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0.046</w:t>
            </w:r>
          </w:p>
        </w:tc>
        <w:tc>
          <w:tcPr>
            <w:tcW w:w="1080" w:type="dxa"/>
            <w:shd w:val="clear" w:color="auto" w:fill="auto"/>
            <w:noWrap/>
            <w:vAlign w:val="bottom"/>
            <w:hideMark/>
          </w:tcPr>
          <w:p w14:paraId="277FE6B2"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0.011</w:t>
            </w:r>
          </w:p>
        </w:tc>
        <w:tc>
          <w:tcPr>
            <w:tcW w:w="1080" w:type="dxa"/>
            <w:shd w:val="clear" w:color="auto" w:fill="auto"/>
            <w:noWrap/>
            <w:vAlign w:val="bottom"/>
            <w:hideMark/>
          </w:tcPr>
          <w:p w14:paraId="70C2103B"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0.918</w:t>
            </w:r>
          </w:p>
        </w:tc>
      </w:tr>
      <w:tr w:rsidR="00574918" w:rsidRPr="00574918" w14:paraId="67A5173B" w14:textId="77777777" w:rsidTr="00C260F3">
        <w:trPr>
          <w:trHeight w:val="22"/>
        </w:trPr>
        <w:tc>
          <w:tcPr>
            <w:tcW w:w="2070" w:type="dxa"/>
            <w:vMerge/>
            <w:shd w:val="clear" w:color="auto" w:fill="auto"/>
            <w:noWrap/>
            <w:vAlign w:val="center"/>
            <w:hideMark/>
          </w:tcPr>
          <w:p w14:paraId="6AEB4F77"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p>
        </w:tc>
        <w:tc>
          <w:tcPr>
            <w:tcW w:w="1710" w:type="dxa"/>
            <w:shd w:val="clear" w:color="auto" w:fill="auto"/>
            <w:noWrap/>
            <w:vAlign w:val="center"/>
            <w:hideMark/>
          </w:tcPr>
          <w:p w14:paraId="60546E6E"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Drop CMJ Height</w:t>
            </w:r>
          </w:p>
        </w:tc>
        <w:tc>
          <w:tcPr>
            <w:tcW w:w="1080" w:type="dxa"/>
            <w:shd w:val="clear" w:color="auto" w:fill="auto"/>
            <w:noWrap/>
            <w:vAlign w:val="bottom"/>
            <w:hideMark/>
          </w:tcPr>
          <w:p w14:paraId="221D68E0"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0.370</w:t>
            </w:r>
          </w:p>
        </w:tc>
        <w:tc>
          <w:tcPr>
            <w:tcW w:w="1080" w:type="dxa"/>
            <w:shd w:val="clear" w:color="auto" w:fill="auto"/>
            <w:noWrap/>
            <w:vAlign w:val="bottom"/>
            <w:hideMark/>
          </w:tcPr>
          <w:p w14:paraId="5D4D16F7"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0.695</w:t>
            </w:r>
          </w:p>
        </w:tc>
        <w:tc>
          <w:tcPr>
            <w:tcW w:w="1080" w:type="dxa"/>
            <w:shd w:val="clear" w:color="auto" w:fill="auto"/>
            <w:noWrap/>
            <w:vAlign w:val="bottom"/>
            <w:hideMark/>
          </w:tcPr>
          <w:p w14:paraId="7176E768"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0.125</w:t>
            </w:r>
          </w:p>
        </w:tc>
        <w:tc>
          <w:tcPr>
            <w:tcW w:w="1080" w:type="dxa"/>
            <w:shd w:val="clear" w:color="auto" w:fill="auto"/>
            <w:noWrap/>
            <w:vAlign w:val="bottom"/>
            <w:hideMark/>
          </w:tcPr>
          <w:p w14:paraId="79986D46"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0.729</w:t>
            </w:r>
          </w:p>
        </w:tc>
      </w:tr>
      <w:tr w:rsidR="00574918" w:rsidRPr="00574918" w14:paraId="63092E3B" w14:textId="77777777" w:rsidTr="00574918">
        <w:trPr>
          <w:trHeight w:val="22"/>
        </w:trPr>
        <w:tc>
          <w:tcPr>
            <w:tcW w:w="2070" w:type="dxa"/>
            <w:vMerge w:val="restart"/>
            <w:tcBorders>
              <w:bottom w:val="single" w:sz="4" w:space="0" w:color="auto"/>
            </w:tcBorders>
            <w:shd w:val="clear" w:color="auto" w:fill="D9D9D9"/>
            <w:noWrap/>
            <w:vAlign w:val="center"/>
            <w:hideMark/>
          </w:tcPr>
          <w:p w14:paraId="43791590" w14:textId="77777777" w:rsidR="00574918" w:rsidRPr="00574918" w:rsidRDefault="00574918" w:rsidP="00574918">
            <w:pPr>
              <w:keepNext/>
              <w:keepLines/>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Quadriceps Muscle Performance</w:t>
            </w:r>
          </w:p>
        </w:tc>
        <w:tc>
          <w:tcPr>
            <w:tcW w:w="1710" w:type="dxa"/>
            <w:shd w:val="clear" w:color="auto" w:fill="D9D9D9"/>
            <w:noWrap/>
            <w:vAlign w:val="center"/>
            <w:hideMark/>
          </w:tcPr>
          <w:p w14:paraId="173D1B11"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MVIC</w:t>
            </w:r>
          </w:p>
        </w:tc>
        <w:tc>
          <w:tcPr>
            <w:tcW w:w="1080" w:type="dxa"/>
            <w:shd w:val="clear" w:color="auto" w:fill="D9D9D9"/>
            <w:noWrap/>
            <w:vAlign w:val="bottom"/>
            <w:hideMark/>
          </w:tcPr>
          <w:p w14:paraId="1E442848"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2.068</w:t>
            </w:r>
          </w:p>
        </w:tc>
        <w:tc>
          <w:tcPr>
            <w:tcW w:w="1080" w:type="dxa"/>
            <w:shd w:val="clear" w:color="auto" w:fill="D9D9D9"/>
            <w:noWrap/>
            <w:vAlign w:val="bottom"/>
            <w:hideMark/>
          </w:tcPr>
          <w:p w14:paraId="37CA021C"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0.150</w:t>
            </w:r>
          </w:p>
        </w:tc>
        <w:tc>
          <w:tcPr>
            <w:tcW w:w="1080" w:type="dxa"/>
            <w:shd w:val="clear" w:color="auto" w:fill="D9D9D9"/>
            <w:noWrap/>
            <w:vAlign w:val="bottom"/>
            <w:hideMark/>
          </w:tcPr>
          <w:p w14:paraId="5BBFCF9A"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3.743</w:t>
            </w:r>
          </w:p>
        </w:tc>
        <w:tc>
          <w:tcPr>
            <w:tcW w:w="1080" w:type="dxa"/>
            <w:shd w:val="clear" w:color="auto" w:fill="D9D9D9"/>
            <w:noWrap/>
            <w:vAlign w:val="bottom"/>
            <w:hideMark/>
          </w:tcPr>
          <w:p w14:paraId="688C2235"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0.078</w:t>
            </w:r>
          </w:p>
        </w:tc>
      </w:tr>
      <w:tr w:rsidR="00574918" w:rsidRPr="00574918" w14:paraId="7C3BE05C" w14:textId="77777777" w:rsidTr="00574918">
        <w:trPr>
          <w:trHeight w:val="22"/>
        </w:trPr>
        <w:tc>
          <w:tcPr>
            <w:tcW w:w="2070" w:type="dxa"/>
            <w:vMerge/>
            <w:tcBorders>
              <w:bottom w:val="single" w:sz="4" w:space="0" w:color="auto"/>
            </w:tcBorders>
            <w:shd w:val="clear" w:color="auto" w:fill="D9D9D9"/>
            <w:noWrap/>
            <w:vAlign w:val="bottom"/>
            <w:hideMark/>
          </w:tcPr>
          <w:p w14:paraId="723F8B9C" w14:textId="77777777" w:rsidR="00574918" w:rsidRPr="00574918" w:rsidRDefault="00574918" w:rsidP="00574918">
            <w:pPr>
              <w:keepNext/>
              <w:keepLines/>
              <w:spacing w:after="0" w:line="240" w:lineRule="auto"/>
              <w:jc w:val="right"/>
              <w:rPr>
                <w:rFonts w:ascii="Times New Roman" w:eastAsia="Times New Roman" w:hAnsi="Times New Roman" w:cs="Times New Roman"/>
                <w:color w:val="000000"/>
                <w:sz w:val="20"/>
                <w:szCs w:val="20"/>
              </w:rPr>
            </w:pPr>
          </w:p>
        </w:tc>
        <w:tc>
          <w:tcPr>
            <w:tcW w:w="1710" w:type="dxa"/>
            <w:tcBorders>
              <w:bottom w:val="single" w:sz="4" w:space="0" w:color="auto"/>
            </w:tcBorders>
            <w:shd w:val="clear" w:color="auto" w:fill="D9D9D9"/>
            <w:noWrap/>
            <w:vAlign w:val="center"/>
            <w:hideMark/>
          </w:tcPr>
          <w:p w14:paraId="0ADBDB62" w14:textId="77777777" w:rsidR="00574918" w:rsidRPr="00574918" w:rsidRDefault="00574918" w:rsidP="00574918">
            <w:pPr>
              <w:keepNext/>
              <w:keepLines/>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CAR</w:t>
            </w:r>
          </w:p>
        </w:tc>
        <w:tc>
          <w:tcPr>
            <w:tcW w:w="1080" w:type="dxa"/>
            <w:tcBorders>
              <w:bottom w:val="single" w:sz="4" w:space="0" w:color="auto"/>
            </w:tcBorders>
            <w:shd w:val="clear" w:color="auto" w:fill="D9D9D9"/>
            <w:noWrap/>
            <w:vAlign w:val="bottom"/>
            <w:hideMark/>
          </w:tcPr>
          <w:p w14:paraId="2F7BEDE2"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1.787</w:t>
            </w:r>
          </w:p>
        </w:tc>
        <w:tc>
          <w:tcPr>
            <w:tcW w:w="1080" w:type="dxa"/>
            <w:tcBorders>
              <w:bottom w:val="single" w:sz="4" w:space="0" w:color="auto"/>
            </w:tcBorders>
            <w:shd w:val="clear" w:color="auto" w:fill="D9D9D9"/>
            <w:noWrap/>
            <w:vAlign w:val="bottom"/>
            <w:hideMark/>
          </w:tcPr>
          <w:p w14:paraId="4061C22E"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0.199</w:t>
            </w:r>
          </w:p>
        </w:tc>
        <w:tc>
          <w:tcPr>
            <w:tcW w:w="1080" w:type="dxa"/>
            <w:tcBorders>
              <w:bottom w:val="single" w:sz="4" w:space="0" w:color="auto"/>
            </w:tcBorders>
            <w:shd w:val="clear" w:color="auto" w:fill="D9D9D9"/>
            <w:noWrap/>
            <w:vAlign w:val="bottom"/>
            <w:hideMark/>
          </w:tcPr>
          <w:p w14:paraId="016338B4"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3.326</w:t>
            </w:r>
          </w:p>
        </w:tc>
        <w:tc>
          <w:tcPr>
            <w:tcW w:w="1080" w:type="dxa"/>
            <w:tcBorders>
              <w:bottom w:val="single" w:sz="4" w:space="0" w:color="auto"/>
            </w:tcBorders>
            <w:shd w:val="clear" w:color="auto" w:fill="D9D9D9"/>
            <w:noWrap/>
            <w:vAlign w:val="bottom"/>
            <w:hideMark/>
          </w:tcPr>
          <w:p w14:paraId="56830AA3" w14:textId="77777777" w:rsidR="00574918" w:rsidRPr="00574918" w:rsidRDefault="00574918" w:rsidP="00574918">
            <w:pPr>
              <w:keepNext/>
              <w:keepLines/>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0.099</w:t>
            </w:r>
          </w:p>
        </w:tc>
      </w:tr>
    </w:tbl>
    <w:p w14:paraId="201B2A3A" w14:textId="77777777" w:rsidR="00574918" w:rsidRPr="00574918" w:rsidRDefault="00574918" w:rsidP="00574918">
      <w:pPr>
        <w:keepNext/>
        <w:keepLines/>
        <w:spacing w:after="0" w:line="480" w:lineRule="auto"/>
        <w:rPr>
          <w:rFonts w:ascii="Times New Roman" w:eastAsia="Times New Roman" w:hAnsi="Times New Roman" w:cs="Times New Roman"/>
          <w:sz w:val="24"/>
          <w:szCs w:val="24"/>
        </w:rPr>
        <w:sectPr w:rsidR="00574918" w:rsidRPr="00574918" w:rsidSect="00D870B9">
          <w:endnotePr>
            <w:numFmt w:val="decimal"/>
          </w:endnotePr>
          <w:pgSz w:w="12240" w:h="15840"/>
          <w:pgMar w:top="1627" w:right="1584" w:bottom="2246" w:left="2304" w:header="1152" w:footer="1152" w:gutter="0"/>
          <w:cols w:space="720"/>
          <w:docGrid w:linePitch="326"/>
        </w:sectPr>
      </w:pPr>
      <w:r w:rsidRPr="00574918">
        <w:rPr>
          <w:rFonts w:ascii="Times New Roman" w:eastAsia="Times New Roman" w:hAnsi="Times New Roman" w:cs="Times New Roman"/>
          <w:sz w:val="24"/>
          <w:szCs w:val="24"/>
        </w:rPr>
        <w:t>CSA = cross-sectional area; CMJ = counter-movement jump; MVIC = maximal voluntary isometric contraction; CAR = central activation ratio</w:t>
      </w:r>
    </w:p>
    <w:p w14:paraId="4D2FAFD6" w14:textId="77777777" w:rsidR="00574918" w:rsidRDefault="00574918">
      <w:pPr>
        <w:rPr>
          <w:rFonts w:ascii="Times New Roman" w:eastAsia="Times New Roman" w:hAnsi="Times New Roman" w:cs="Times New Roman"/>
          <w:sz w:val="24"/>
          <w:szCs w:val="24"/>
        </w:rPr>
      </w:pPr>
    </w:p>
    <w:p w14:paraId="39798A7F" w14:textId="77777777" w:rsidR="00574918" w:rsidRPr="00574918" w:rsidRDefault="00574918" w:rsidP="00574918">
      <w:pPr>
        <w:spacing w:line="480" w:lineRule="auto"/>
        <w:rPr>
          <w:rFonts w:ascii="Times New Roman" w:hAnsi="Times New Roman" w:cs="Times New Roman"/>
        </w:rPr>
      </w:pPr>
      <w:bookmarkStart w:id="6" w:name="_Toc38475247"/>
      <w:r w:rsidRPr="00574918">
        <w:rPr>
          <w:rFonts w:ascii="Times New Roman" w:hAnsi="Times New Roman" w:cs="Times New Roman"/>
          <w:b/>
        </w:rPr>
        <w:t>Table S.2.</w:t>
      </w:r>
      <w:r>
        <w:rPr>
          <w:rFonts w:ascii="Times New Roman" w:hAnsi="Times New Roman" w:cs="Times New Roman"/>
        </w:rPr>
        <w:t xml:space="preserve"> </w:t>
      </w:r>
      <w:r w:rsidRPr="00574918">
        <w:rPr>
          <w:rFonts w:ascii="Times New Roman" w:hAnsi="Times New Roman" w:cs="Times New Roman"/>
        </w:rPr>
        <w:t>Effects of group and time of generalized linear mixed model for outcome measures in Aim 4 after outlier removal.</w:t>
      </w:r>
      <w:bookmarkEnd w:id="6"/>
    </w:p>
    <w:tbl>
      <w:tblPr>
        <w:tblW w:w="8100" w:type="dxa"/>
        <w:tblLayout w:type="fixed"/>
        <w:tblCellMar>
          <w:top w:w="58" w:type="dxa"/>
          <w:left w:w="115" w:type="dxa"/>
          <w:bottom w:w="58" w:type="dxa"/>
          <w:right w:w="115" w:type="dxa"/>
        </w:tblCellMar>
        <w:tblLook w:val="04A0" w:firstRow="1" w:lastRow="0" w:firstColumn="1" w:lastColumn="0" w:noHBand="0" w:noVBand="1"/>
      </w:tblPr>
      <w:tblGrid>
        <w:gridCol w:w="2070"/>
        <w:gridCol w:w="1710"/>
        <w:gridCol w:w="1080"/>
        <w:gridCol w:w="1080"/>
        <w:gridCol w:w="1080"/>
        <w:gridCol w:w="1080"/>
      </w:tblGrid>
      <w:tr w:rsidR="00574918" w:rsidRPr="00574918" w14:paraId="21952A89" w14:textId="77777777" w:rsidTr="00C260F3">
        <w:trPr>
          <w:trHeight w:val="33"/>
        </w:trPr>
        <w:tc>
          <w:tcPr>
            <w:tcW w:w="2070" w:type="dxa"/>
            <w:vMerge w:val="restart"/>
            <w:tcBorders>
              <w:top w:val="single" w:sz="4" w:space="0" w:color="auto"/>
            </w:tcBorders>
            <w:shd w:val="clear" w:color="auto" w:fill="auto"/>
            <w:noWrap/>
            <w:vAlign w:val="center"/>
            <w:hideMark/>
          </w:tcPr>
          <w:p w14:paraId="06C2F73E" w14:textId="77777777" w:rsidR="00574918" w:rsidRPr="00574918" w:rsidRDefault="00574918" w:rsidP="00574918">
            <w:pPr>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Category</w:t>
            </w:r>
          </w:p>
        </w:tc>
        <w:tc>
          <w:tcPr>
            <w:tcW w:w="1710" w:type="dxa"/>
            <w:vMerge w:val="restart"/>
            <w:tcBorders>
              <w:top w:val="single" w:sz="4" w:space="0" w:color="auto"/>
            </w:tcBorders>
            <w:shd w:val="clear" w:color="auto" w:fill="auto"/>
            <w:noWrap/>
            <w:vAlign w:val="center"/>
            <w:hideMark/>
          </w:tcPr>
          <w:p w14:paraId="0093B57B" w14:textId="77777777" w:rsidR="00574918" w:rsidRPr="00574918" w:rsidRDefault="00574918" w:rsidP="00574918">
            <w:pPr>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Outcome</w:t>
            </w:r>
          </w:p>
        </w:tc>
        <w:tc>
          <w:tcPr>
            <w:tcW w:w="2160" w:type="dxa"/>
            <w:gridSpan w:val="2"/>
            <w:tcBorders>
              <w:top w:val="single" w:sz="4" w:space="0" w:color="auto"/>
              <w:bottom w:val="single" w:sz="4" w:space="0" w:color="auto"/>
            </w:tcBorders>
            <w:shd w:val="clear" w:color="auto" w:fill="auto"/>
            <w:noWrap/>
            <w:vAlign w:val="bottom"/>
            <w:hideMark/>
          </w:tcPr>
          <w:p w14:paraId="3DA5ECC0"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Time</w:t>
            </w:r>
          </w:p>
        </w:tc>
        <w:tc>
          <w:tcPr>
            <w:tcW w:w="2160" w:type="dxa"/>
            <w:gridSpan w:val="2"/>
            <w:tcBorders>
              <w:top w:val="single" w:sz="4" w:space="0" w:color="auto"/>
              <w:bottom w:val="single" w:sz="4" w:space="0" w:color="auto"/>
            </w:tcBorders>
            <w:shd w:val="clear" w:color="auto" w:fill="auto"/>
            <w:noWrap/>
            <w:vAlign w:val="bottom"/>
            <w:hideMark/>
          </w:tcPr>
          <w:p w14:paraId="21785D04"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Group</w:t>
            </w:r>
          </w:p>
        </w:tc>
      </w:tr>
      <w:tr w:rsidR="00574918" w:rsidRPr="00574918" w14:paraId="53C62DC8" w14:textId="77777777" w:rsidTr="00C260F3">
        <w:trPr>
          <w:trHeight w:val="20"/>
        </w:trPr>
        <w:tc>
          <w:tcPr>
            <w:tcW w:w="2070" w:type="dxa"/>
            <w:vMerge/>
            <w:shd w:val="clear" w:color="auto" w:fill="auto"/>
            <w:noWrap/>
            <w:vAlign w:val="bottom"/>
            <w:hideMark/>
          </w:tcPr>
          <w:p w14:paraId="728D9991"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p>
        </w:tc>
        <w:tc>
          <w:tcPr>
            <w:tcW w:w="1710" w:type="dxa"/>
            <w:vMerge/>
            <w:shd w:val="clear" w:color="auto" w:fill="auto"/>
            <w:noWrap/>
            <w:vAlign w:val="bottom"/>
            <w:hideMark/>
          </w:tcPr>
          <w:p w14:paraId="3D493AAD"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p>
        </w:tc>
        <w:tc>
          <w:tcPr>
            <w:tcW w:w="1080" w:type="dxa"/>
            <w:tcBorders>
              <w:top w:val="single" w:sz="4" w:space="0" w:color="auto"/>
            </w:tcBorders>
            <w:shd w:val="clear" w:color="auto" w:fill="auto"/>
            <w:noWrap/>
            <w:vAlign w:val="bottom"/>
            <w:hideMark/>
          </w:tcPr>
          <w:p w14:paraId="3D5CC103"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F</w:t>
            </w:r>
          </w:p>
        </w:tc>
        <w:tc>
          <w:tcPr>
            <w:tcW w:w="1080" w:type="dxa"/>
            <w:tcBorders>
              <w:top w:val="single" w:sz="4" w:space="0" w:color="auto"/>
            </w:tcBorders>
            <w:shd w:val="clear" w:color="auto" w:fill="auto"/>
            <w:noWrap/>
            <w:vAlign w:val="bottom"/>
            <w:hideMark/>
          </w:tcPr>
          <w:p w14:paraId="2A65527A"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w:t>
            </w:r>
          </w:p>
        </w:tc>
        <w:tc>
          <w:tcPr>
            <w:tcW w:w="1080" w:type="dxa"/>
            <w:tcBorders>
              <w:top w:val="single" w:sz="4" w:space="0" w:color="auto"/>
            </w:tcBorders>
            <w:shd w:val="clear" w:color="auto" w:fill="auto"/>
            <w:noWrap/>
            <w:vAlign w:val="bottom"/>
            <w:hideMark/>
          </w:tcPr>
          <w:p w14:paraId="0C19E99E"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F</w:t>
            </w:r>
          </w:p>
        </w:tc>
        <w:tc>
          <w:tcPr>
            <w:tcW w:w="1080" w:type="dxa"/>
            <w:tcBorders>
              <w:top w:val="single" w:sz="4" w:space="0" w:color="auto"/>
            </w:tcBorders>
            <w:shd w:val="clear" w:color="auto" w:fill="auto"/>
            <w:noWrap/>
            <w:vAlign w:val="bottom"/>
            <w:hideMark/>
          </w:tcPr>
          <w:p w14:paraId="5923F6F6"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w:t>
            </w:r>
          </w:p>
        </w:tc>
      </w:tr>
      <w:tr w:rsidR="00574918" w:rsidRPr="00574918" w14:paraId="273DFC2E" w14:textId="77777777" w:rsidTr="00C260F3">
        <w:trPr>
          <w:trHeight w:val="52"/>
        </w:trPr>
        <w:tc>
          <w:tcPr>
            <w:tcW w:w="2070" w:type="dxa"/>
            <w:shd w:val="clear" w:color="auto" w:fill="auto"/>
            <w:noWrap/>
            <w:vAlign w:val="center"/>
            <w:hideMark/>
          </w:tcPr>
          <w:p w14:paraId="74D73981"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Symptoms</w:t>
            </w:r>
          </w:p>
        </w:tc>
        <w:tc>
          <w:tcPr>
            <w:tcW w:w="1710" w:type="dxa"/>
            <w:shd w:val="clear" w:color="auto" w:fill="auto"/>
            <w:noWrap/>
            <w:vAlign w:val="center"/>
            <w:hideMark/>
          </w:tcPr>
          <w:p w14:paraId="7FC6009F"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VISA-P</w:t>
            </w:r>
          </w:p>
        </w:tc>
        <w:tc>
          <w:tcPr>
            <w:tcW w:w="1080" w:type="dxa"/>
            <w:shd w:val="clear" w:color="auto" w:fill="auto"/>
            <w:noWrap/>
            <w:vAlign w:val="bottom"/>
            <w:hideMark/>
          </w:tcPr>
          <w:p w14:paraId="6A12D03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6.587</w:t>
            </w:r>
          </w:p>
        </w:tc>
        <w:tc>
          <w:tcPr>
            <w:tcW w:w="1080" w:type="dxa"/>
            <w:shd w:val="clear" w:color="auto" w:fill="auto"/>
            <w:noWrap/>
            <w:vAlign w:val="bottom"/>
            <w:hideMark/>
          </w:tcPr>
          <w:p w14:paraId="6ECAC2F1"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0.005</w:t>
            </w:r>
          </w:p>
        </w:tc>
        <w:tc>
          <w:tcPr>
            <w:tcW w:w="1080" w:type="dxa"/>
            <w:shd w:val="clear" w:color="auto" w:fill="auto"/>
            <w:noWrap/>
            <w:vAlign w:val="bottom"/>
            <w:hideMark/>
          </w:tcPr>
          <w:p w14:paraId="73A5862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6.064</w:t>
            </w:r>
          </w:p>
        </w:tc>
        <w:tc>
          <w:tcPr>
            <w:tcW w:w="1080" w:type="dxa"/>
            <w:shd w:val="clear" w:color="auto" w:fill="auto"/>
            <w:noWrap/>
            <w:vAlign w:val="bottom"/>
            <w:hideMark/>
          </w:tcPr>
          <w:p w14:paraId="3018172E"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0.029</w:t>
            </w:r>
          </w:p>
        </w:tc>
      </w:tr>
      <w:tr w:rsidR="00574918" w:rsidRPr="00574918" w14:paraId="2769FF1E" w14:textId="77777777" w:rsidTr="00574918">
        <w:trPr>
          <w:trHeight w:val="22"/>
        </w:trPr>
        <w:tc>
          <w:tcPr>
            <w:tcW w:w="2070" w:type="dxa"/>
            <w:vMerge w:val="restart"/>
            <w:shd w:val="clear" w:color="auto" w:fill="D9D9D9"/>
            <w:noWrap/>
            <w:vAlign w:val="center"/>
            <w:hideMark/>
          </w:tcPr>
          <w:p w14:paraId="10003A98"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Psychological Factors</w:t>
            </w:r>
          </w:p>
        </w:tc>
        <w:tc>
          <w:tcPr>
            <w:tcW w:w="1710" w:type="dxa"/>
            <w:shd w:val="clear" w:color="auto" w:fill="D9D9D9"/>
            <w:noWrap/>
            <w:vAlign w:val="center"/>
            <w:hideMark/>
          </w:tcPr>
          <w:p w14:paraId="73D49070"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TSK</w:t>
            </w:r>
          </w:p>
        </w:tc>
        <w:tc>
          <w:tcPr>
            <w:tcW w:w="1080" w:type="dxa"/>
            <w:shd w:val="clear" w:color="auto" w:fill="D9D9D9"/>
            <w:noWrap/>
            <w:vAlign w:val="bottom"/>
            <w:hideMark/>
          </w:tcPr>
          <w:p w14:paraId="3CB613D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3.528</w:t>
            </w:r>
          </w:p>
        </w:tc>
        <w:tc>
          <w:tcPr>
            <w:tcW w:w="1080" w:type="dxa"/>
            <w:shd w:val="clear" w:color="auto" w:fill="D9D9D9"/>
            <w:noWrap/>
            <w:vAlign w:val="bottom"/>
            <w:hideMark/>
          </w:tcPr>
          <w:p w14:paraId="30251D2B"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0.045</w:t>
            </w:r>
          </w:p>
        </w:tc>
        <w:tc>
          <w:tcPr>
            <w:tcW w:w="1080" w:type="dxa"/>
            <w:shd w:val="clear" w:color="auto" w:fill="D9D9D9"/>
            <w:noWrap/>
            <w:vAlign w:val="bottom"/>
            <w:hideMark/>
          </w:tcPr>
          <w:p w14:paraId="1ADCB53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1.428</w:t>
            </w:r>
          </w:p>
        </w:tc>
        <w:tc>
          <w:tcPr>
            <w:tcW w:w="1080" w:type="dxa"/>
            <w:shd w:val="clear" w:color="auto" w:fill="D9D9D9"/>
            <w:noWrap/>
            <w:vAlign w:val="bottom"/>
            <w:hideMark/>
          </w:tcPr>
          <w:p w14:paraId="2020DA7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0.253</w:t>
            </w:r>
          </w:p>
        </w:tc>
      </w:tr>
      <w:tr w:rsidR="00574918" w:rsidRPr="00574918" w14:paraId="43EE6040" w14:textId="77777777" w:rsidTr="00574918">
        <w:trPr>
          <w:trHeight w:val="22"/>
        </w:trPr>
        <w:tc>
          <w:tcPr>
            <w:tcW w:w="2070" w:type="dxa"/>
            <w:vMerge/>
            <w:shd w:val="clear" w:color="auto" w:fill="D9D9D9"/>
            <w:noWrap/>
            <w:vAlign w:val="center"/>
            <w:hideMark/>
          </w:tcPr>
          <w:p w14:paraId="286CED5A"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710" w:type="dxa"/>
            <w:shd w:val="clear" w:color="auto" w:fill="D9D9D9"/>
            <w:noWrap/>
            <w:vAlign w:val="center"/>
            <w:hideMark/>
          </w:tcPr>
          <w:p w14:paraId="75DA6C29"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DASS-21</w:t>
            </w:r>
          </w:p>
        </w:tc>
        <w:tc>
          <w:tcPr>
            <w:tcW w:w="1080" w:type="dxa"/>
            <w:shd w:val="clear" w:color="auto" w:fill="D9D9D9"/>
            <w:noWrap/>
            <w:vAlign w:val="bottom"/>
            <w:hideMark/>
          </w:tcPr>
          <w:p w14:paraId="5774524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2.800</w:t>
            </w:r>
          </w:p>
        </w:tc>
        <w:tc>
          <w:tcPr>
            <w:tcW w:w="1080" w:type="dxa"/>
            <w:shd w:val="clear" w:color="auto" w:fill="D9D9D9"/>
            <w:noWrap/>
            <w:vAlign w:val="bottom"/>
            <w:hideMark/>
          </w:tcPr>
          <w:p w14:paraId="2484A77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0.081</w:t>
            </w:r>
          </w:p>
        </w:tc>
        <w:tc>
          <w:tcPr>
            <w:tcW w:w="1080" w:type="dxa"/>
            <w:shd w:val="clear" w:color="auto" w:fill="D9D9D9"/>
            <w:noWrap/>
            <w:vAlign w:val="bottom"/>
            <w:hideMark/>
          </w:tcPr>
          <w:p w14:paraId="1018380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6.678</w:t>
            </w:r>
          </w:p>
        </w:tc>
        <w:tc>
          <w:tcPr>
            <w:tcW w:w="1080" w:type="dxa"/>
            <w:shd w:val="clear" w:color="auto" w:fill="D9D9D9"/>
            <w:noWrap/>
            <w:vAlign w:val="bottom"/>
            <w:hideMark/>
          </w:tcPr>
          <w:p w14:paraId="0C2A0AD6"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0.005</w:t>
            </w:r>
          </w:p>
        </w:tc>
      </w:tr>
      <w:tr w:rsidR="00574918" w:rsidRPr="00574918" w14:paraId="2A33EEEF" w14:textId="77777777" w:rsidTr="00C260F3">
        <w:trPr>
          <w:trHeight w:val="22"/>
        </w:trPr>
        <w:tc>
          <w:tcPr>
            <w:tcW w:w="2070" w:type="dxa"/>
            <w:vMerge w:val="restart"/>
            <w:shd w:val="clear" w:color="auto" w:fill="auto"/>
            <w:noWrap/>
            <w:vAlign w:val="center"/>
            <w:hideMark/>
          </w:tcPr>
          <w:p w14:paraId="2AEF4D0B"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Morphology</w:t>
            </w:r>
          </w:p>
        </w:tc>
        <w:tc>
          <w:tcPr>
            <w:tcW w:w="1710" w:type="dxa"/>
            <w:shd w:val="clear" w:color="auto" w:fill="auto"/>
            <w:noWrap/>
            <w:vAlign w:val="center"/>
            <w:hideMark/>
          </w:tcPr>
          <w:p w14:paraId="396B7803"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Thickness</w:t>
            </w:r>
          </w:p>
        </w:tc>
        <w:tc>
          <w:tcPr>
            <w:tcW w:w="1080" w:type="dxa"/>
            <w:shd w:val="clear" w:color="auto" w:fill="auto"/>
            <w:noWrap/>
            <w:vAlign w:val="bottom"/>
            <w:hideMark/>
          </w:tcPr>
          <w:p w14:paraId="6AE7DCD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0.618</w:t>
            </w:r>
          </w:p>
        </w:tc>
        <w:tc>
          <w:tcPr>
            <w:tcW w:w="1080" w:type="dxa"/>
            <w:shd w:val="clear" w:color="auto" w:fill="auto"/>
            <w:noWrap/>
            <w:vAlign w:val="bottom"/>
            <w:hideMark/>
          </w:tcPr>
          <w:p w14:paraId="5C0FDE1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0.549</w:t>
            </w:r>
          </w:p>
        </w:tc>
        <w:tc>
          <w:tcPr>
            <w:tcW w:w="1080" w:type="dxa"/>
            <w:shd w:val="clear" w:color="auto" w:fill="auto"/>
            <w:noWrap/>
            <w:vAlign w:val="bottom"/>
            <w:hideMark/>
          </w:tcPr>
          <w:p w14:paraId="67C855B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0.074</w:t>
            </w:r>
          </w:p>
        </w:tc>
        <w:tc>
          <w:tcPr>
            <w:tcW w:w="1080" w:type="dxa"/>
            <w:shd w:val="clear" w:color="auto" w:fill="auto"/>
            <w:noWrap/>
            <w:vAlign w:val="bottom"/>
            <w:hideMark/>
          </w:tcPr>
          <w:p w14:paraId="0B8C8E1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0.790</w:t>
            </w:r>
          </w:p>
        </w:tc>
      </w:tr>
      <w:tr w:rsidR="00574918" w:rsidRPr="00574918" w14:paraId="4667FE6F" w14:textId="77777777" w:rsidTr="00C260F3">
        <w:trPr>
          <w:trHeight w:val="22"/>
        </w:trPr>
        <w:tc>
          <w:tcPr>
            <w:tcW w:w="2070" w:type="dxa"/>
            <w:vMerge/>
            <w:shd w:val="clear" w:color="auto" w:fill="auto"/>
            <w:noWrap/>
            <w:vAlign w:val="center"/>
            <w:hideMark/>
          </w:tcPr>
          <w:p w14:paraId="256213DA"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710" w:type="dxa"/>
            <w:shd w:val="clear" w:color="auto" w:fill="auto"/>
            <w:noWrap/>
            <w:vAlign w:val="center"/>
            <w:hideMark/>
          </w:tcPr>
          <w:p w14:paraId="3EA0618B"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CSA</w:t>
            </w:r>
          </w:p>
        </w:tc>
        <w:tc>
          <w:tcPr>
            <w:tcW w:w="1080" w:type="dxa"/>
            <w:shd w:val="clear" w:color="auto" w:fill="auto"/>
            <w:noWrap/>
            <w:vAlign w:val="bottom"/>
            <w:hideMark/>
          </w:tcPr>
          <w:p w14:paraId="29CAF90C"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0.579</w:t>
            </w:r>
          </w:p>
        </w:tc>
        <w:tc>
          <w:tcPr>
            <w:tcW w:w="1080" w:type="dxa"/>
            <w:shd w:val="clear" w:color="auto" w:fill="auto"/>
            <w:noWrap/>
            <w:vAlign w:val="bottom"/>
            <w:hideMark/>
          </w:tcPr>
          <w:p w14:paraId="6AC11C3F"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0.570</w:t>
            </w:r>
          </w:p>
        </w:tc>
        <w:tc>
          <w:tcPr>
            <w:tcW w:w="1080" w:type="dxa"/>
            <w:shd w:val="clear" w:color="auto" w:fill="auto"/>
            <w:noWrap/>
            <w:vAlign w:val="bottom"/>
            <w:hideMark/>
          </w:tcPr>
          <w:p w14:paraId="0D658364"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r w:rsidRPr="00574918">
              <w:rPr>
                <w:rFonts w:ascii="Times New Roman" w:eastAsia="Times New Roman" w:hAnsi="Times New Roman" w:cs="Times New Roman"/>
                <w:sz w:val="20"/>
                <w:szCs w:val="20"/>
              </w:rPr>
              <w:t>0.403</w:t>
            </w:r>
          </w:p>
        </w:tc>
        <w:tc>
          <w:tcPr>
            <w:tcW w:w="1080" w:type="dxa"/>
            <w:shd w:val="clear" w:color="auto" w:fill="auto"/>
            <w:noWrap/>
            <w:vAlign w:val="bottom"/>
            <w:hideMark/>
          </w:tcPr>
          <w:p w14:paraId="0A6E596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0.536</w:t>
            </w:r>
          </w:p>
        </w:tc>
      </w:tr>
      <w:tr w:rsidR="00574918" w:rsidRPr="00574918" w14:paraId="0F4C8DC6" w14:textId="77777777" w:rsidTr="00574918">
        <w:trPr>
          <w:trHeight w:val="22"/>
        </w:trPr>
        <w:tc>
          <w:tcPr>
            <w:tcW w:w="2070" w:type="dxa"/>
            <w:vMerge w:val="restart"/>
            <w:shd w:val="clear" w:color="auto" w:fill="D9D9D9"/>
            <w:noWrap/>
            <w:vAlign w:val="center"/>
            <w:hideMark/>
          </w:tcPr>
          <w:p w14:paraId="1E98CF81"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Mechanical Properties</w:t>
            </w:r>
          </w:p>
        </w:tc>
        <w:tc>
          <w:tcPr>
            <w:tcW w:w="1710" w:type="dxa"/>
            <w:shd w:val="clear" w:color="auto" w:fill="D9D9D9"/>
            <w:noWrap/>
            <w:vAlign w:val="center"/>
            <w:hideMark/>
          </w:tcPr>
          <w:p w14:paraId="675D3FE8"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Shear Modulus</w:t>
            </w:r>
          </w:p>
        </w:tc>
        <w:tc>
          <w:tcPr>
            <w:tcW w:w="1080" w:type="dxa"/>
            <w:shd w:val="clear" w:color="auto" w:fill="D9D9D9"/>
            <w:noWrap/>
            <w:vAlign w:val="bottom"/>
            <w:hideMark/>
          </w:tcPr>
          <w:p w14:paraId="7F69A26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0.512</w:t>
            </w:r>
          </w:p>
        </w:tc>
        <w:tc>
          <w:tcPr>
            <w:tcW w:w="1080" w:type="dxa"/>
            <w:shd w:val="clear" w:color="auto" w:fill="D9D9D9"/>
            <w:noWrap/>
            <w:vAlign w:val="bottom"/>
            <w:hideMark/>
          </w:tcPr>
          <w:p w14:paraId="12879A8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0.606</w:t>
            </w:r>
          </w:p>
        </w:tc>
        <w:tc>
          <w:tcPr>
            <w:tcW w:w="1080" w:type="dxa"/>
            <w:shd w:val="clear" w:color="auto" w:fill="D9D9D9"/>
            <w:noWrap/>
            <w:vAlign w:val="bottom"/>
            <w:hideMark/>
          </w:tcPr>
          <w:p w14:paraId="773F78D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0.487</w:t>
            </w:r>
          </w:p>
        </w:tc>
        <w:tc>
          <w:tcPr>
            <w:tcW w:w="1080" w:type="dxa"/>
            <w:shd w:val="clear" w:color="auto" w:fill="D9D9D9"/>
            <w:noWrap/>
            <w:vAlign w:val="bottom"/>
            <w:hideMark/>
          </w:tcPr>
          <w:p w14:paraId="590AD2F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0.496</w:t>
            </w:r>
          </w:p>
        </w:tc>
      </w:tr>
      <w:tr w:rsidR="00574918" w:rsidRPr="00574918" w14:paraId="5524C3A6" w14:textId="77777777" w:rsidTr="00574918">
        <w:trPr>
          <w:trHeight w:val="22"/>
        </w:trPr>
        <w:tc>
          <w:tcPr>
            <w:tcW w:w="2070" w:type="dxa"/>
            <w:vMerge/>
            <w:shd w:val="clear" w:color="auto" w:fill="D9D9D9"/>
            <w:noWrap/>
            <w:vAlign w:val="center"/>
            <w:hideMark/>
          </w:tcPr>
          <w:p w14:paraId="06E7AD50"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710" w:type="dxa"/>
            <w:shd w:val="clear" w:color="auto" w:fill="D9D9D9"/>
            <w:noWrap/>
            <w:vAlign w:val="center"/>
            <w:hideMark/>
          </w:tcPr>
          <w:p w14:paraId="00F09B60"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Viscosity</w:t>
            </w:r>
          </w:p>
        </w:tc>
        <w:tc>
          <w:tcPr>
            <w:tcW w:w="1080" w:type="dxa"/>
            <w:shd w:val="clear" w:color="auto" w:fill="D9D9D9"/>
            <w:noWrap/>
            <w:vAlign w:val="bottom"/>
            <w:hideMark/>
          </w:tcPr>
          <w:p w14:paraId="2985660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0.771</w:t>
            </w:r>
          </w:p>
        </w:tc>
        <w:tc>
          <w:tcPr>
            <w:tcW w:w="1080" w:type="dxa"/>
            <w:shd w:val="clear" w:color="auto" w:fill="D9D9D9"/>
            <w:noWrap/>
            <w:vAlign w:val="bottom"/>
            <w:hideMark/>
          </w:tcPr>
          <w:p w14:paraId="7DA7DE3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0.476</w:t>
            </w:r>
          </w:p>
        </w:tc>
        <w:tc>
          <w:tcPr>
            <w:tcW w:w="1080" w:type="dxa"/>
            <w:shd w:val="clear" w:color="auto" w:fill="D9D9D9"/>
            <w:noWrap/>
            <w:vAlign w:val="bottom"/>
            <w:hideMark/>
          </w:tcPr>
          <w:p w14:paraId="2C04570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0.109</w:t>
            </w:r>
          </w:p>
        </w:tc>
        <w:tc>
          <w:tcPr>
            <w:tcW w:w="1080" w:type="dxa"/>
            <w:shd w:val="clear" w:color="auto" w:fill="D9D9D9"/>
            <w:noWrap/>
            <w:vAlign w:val="bottom"/>
            <w:hideMark/>
          </w:tcPr>
          <w:p w14:paraId="3D8C945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0.746</w:t>
            </w:r>
          </w:p>
        </w:tc>
      </w:tr>
      <w:tr w:rsidR="00574918" w:rsidRPr="00574918" w14:paraId="020BDFD5" w14:textId="77777777" w:rsidTr="00C260F3">
        <w:trPr>
          <w:trHeight w:val="22"/>
        </w:trPr>
        <w:tc>
          <w:tcPr>
            <w:tcW w:w="2070" w:type="dxa"/>
            <w:vMerge w:val="restart"/>
            <w:shd w:val="clear" w:color="auto" w:fill="auto"/>
            <w:noWrap/>
            <w:vAlign w:val="center"/>
            <w:hideMark/>
          </w:tcPr>
          <w:p w14:paraId="7E72878D"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Lower Extremity Function</w:t>
            </w:r>
          </w:p>
        </w:tc>
        <w:tc>
          <w:tcPr>
            <w:tcW w:w="1710" w:type="dxa"/>
            <w:shd w:val="clear" w:color="auto" w:fill="auto"/>
            <w:noWrap/>
            <w:vAlign w:val="center"/>
            <w:hideMark/>
          </w:tcPr>
          <w:p w14:paraId="0AC71AAC"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CMJ Height</w:t>
            </w:r>
          </w:p>
        </w:tc>
        <w:tc>
          <w:tcPr>
            <w:tcW w:w="1080" w:type="dxa"/>
            <w:shd w:val="clear" w:color="auto" w:fill="auto"/>
            <w:noWrap/>
            <w:vAlign w:val="bottom"/>
            <w:hideMark/>
          </w:tcPr>
          <w:p w14:paraId="1356E21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3.608</w:t>
            </w:r>
          </w:p>
        </w:tc>
        <w:tc>
          <w:tcPr>
            <w:tcW w:w="1080" w:type="dxa"/>
            <w:shd w:val="clear" w:color="auto" w:fill="auto"/>
            <w:noWrap/>
            <w:vAlign w:val="bottom"/>
            <w:hideMark/>
          </w:tcPr>
          <w:p w14:paraId="072B9F1D"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0.046</w:t>
            </w:r>
          </w:p>
        </w:tc>
        <w:tc>
          <w:tcPr>
            <w:tcW w:w="1080" w:type="dxa"/>
            <w:shd w:val="clear" w:color="auto" w:fill="auto"/>
            <w:noWrap/>
            <w:vAlign w:val="bottom"/>
            <w:hideMark/>
          </w:tcPr>
          <w:p w14:paraId="2F83D57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0.011</w:t>
            </w:r>
          </w:p>
        </w:tc>
        <w:tc>
          <w:tcPr>
            <w:tcW w:w="1080" w:type="dxa"/>
            <w:shd w:val="clear" w:color="auto" w:fill="auto"/>
            <w:noWrap/>
            <w:vAlign w:val="bottom"/>
            <w:hideMark/>
          </w:tcPr>
          <w:p w14:paraId="6FA0ACA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0.918</w:t>
            </w:r>
          </w:p>
        </w:tc>
      </w:tr>
      <w:tr w:rsidR="00574918" w:rsidRPr="00574918" w14:paraId="7092E876" w14:textId="77777777" w:rsidTr="00C260F3">
        <w:trPr>
          <w:trHeight w:val="22"/>
        </w:trPr>
        <w:tc>
          <w:tcPr>
            <w:tcW w:w="2070" w:type="dxa"/>
            <w:vMerge/>
            <w:shd w:val="clear" w:color="auto" w:fill="auto"/>
            <w:noWrap/>
            <w:vAlign w:val="center"/>
            <w:hideMark/>
          </w:tcPr>
          <w:p w14:paraId="1C96902D"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710" w:type="dxa"/>
            <w:shd w:val="clear" w:color="auto" w:fill="auto"/>
            <w:noWrap/>
            <w:vAlign w:val="center"/>
            <w:hideMark/>
          </w:tcPr>
          <w:p w14:paraId="5725BEC1"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Drop CMJ Height</w:t>
            </w:r>
          </w:p>
        </w:tc>
        <w:tc>
          <w:tcPr>
            <w:tcW w:w="1080" w:type="dxa"/>
            <w:shd w:val="clear" w:color="auto" w:fill="auto"/>
            <w:noWrap/>
            <w:vAlign w:val="bottom"/>
            <w:hideMark/>
          </w:tcPr>
          <w:p w14:paraId="5E13C9A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0.370</w:t>
            </w:r>
          </w:p>
        </w:tc>
        <w:tc>
          <w:tcPr>
            <w:tcW w:w="1080" w:type="dxa"/>
            <w:shd w:val="clear" w:color="auto" w:fill="auto"/>
            <w:noWrap/>
            <w:vAlign w:val="bottom"/>
            <w:hideMark/>
          </w:tcPr>
          <w:p w14:paraId="382B055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0.695</w:t>
            </w:r>
          </w:p>
        </w:tc>
        <w:tc>
          <w:tcPr>
            <w:tcW w:w="1080" w:type="dxa"/>
            <w:shd w:val="clear" w:color="auto" w:fill="auto"/>
            <w:noWrap/>
            <w:vAlign w:val="bottom"/>
            <w:hideMark/>
          </w:tcPr>
          <w:p w14:paraId="657800D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0.125</w:t>
            </w:r>
          </w:p>
        </w:tc>
        <w:tc>
          <w:tcPr>
            <w:tcW w:w="1080" w:type="dxa"/>
            <w:shd w:val="clear" w:color="auto" w:fill="auto"/>
            <w:noWrap/>
            <w:vAlign w:val="bottom"/>
            <w:hideMark/>
          </w:tcPr>
          <w:p w14:paraId="47C5211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0.729</w:t>
            </w:r>
          </w:p>
        </w:tc>
      </w:tr>
      <w:tr w:rsidR="00574918" w:rsidRPr="00574918" w14:paraId="6B8D7417" w14:textId="77777777" w:rsidTr="00574918">
        <w:trPr>
          <w:trHeight w:val="22"/>
        </w:trPr>
        <w:tc>
          <w:tcPr>
            <w:tcW w:w="2070" w:type="dxa"/>
            <w:vMerge w:val="restart"/>
            <w:tcBorders>
              <w:bottom w:val="single" w:sz="4" w:space="0" w:color="auto"/>
            </w:tcBorders>
            <w:shd w:val="clear" w:color="auto" w:fill="D9D9D9"/>
            <w:noWrap/>
            <w:vAlign w:val="center"/>
            <w:hideMark/>
          </w:tcPr>
          <w:p w14:paraId="4EECDBCC"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Quadriceps Muscle Performance</w:t>
            </w:r>
          </w:p>
        </w:tc>
        <w:tc>
          <w:tcPr>
            <w:tcW w:w="1710" w:type="dxa"/>
            <w:shd w:val="clear" w:color="auto" w:fill="D9D9D9"/>
            <w:noWrap/>
            <w:vAlign w:val="center"/>
            <w:hideMark/>
          </w:tcPr>
          <w:p w14:paraId="6FB8EE5C"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MVIC</w:t>
            </w:r>
          </w:p>
        </w:tc>
        <w:tc>
          <w:tcPr>
            <w:tcW w:w="1080" w:type="dxa"/>
            <w:shd w:val="clear" w:color="auto" w:fill="D9D9D9"/>
            <w:noWrap/>
            <w:vAlign w:val="bottom"/>
            <w:hideMark/>
          </w:tcPr>
          <w:p w14:paraId="249D23A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2.068</w:t>
            </w:r>
          </w:p>
        </w:tc>
        <w:tc>
          <w:tcPr>
            <w:tcW w:w="1080" w:type="dxa"/>
            <w:shd w:val="clear" w:color="auto" w:fill="D9D9D9"/>
            <w:noWrap/>
            <w:vAlign w:val="bottom"/>
            <w:hideMark/>
          </w:tcPr>
          <w:p w14:paraId="3B6E7F3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0.150</w:t>
            </w:r>
          </w:p>
        </w:tc>
        <w:tc>
          <w:tcPr>
            <w:tcW w:w="1080" w:type="dxa"/>
            <w:shd w:val="clear" w:color="auto" w:fill="D9D9D9"/>
            <w:noWrap/>
            <w:vAlign w:val="bottom"/>
            <w:hideMark/>
          </w:tcPr>
          <w:p w14:paraId="1912180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3.743</w:t>
            </w:r>
          </w:p>
        </w:tc>
        <w:tc>
          <w:tcPr>
            <w:tcW w:w="1080" w:type="dxa"/>
            <w:shd w:val="clear" w:color="auto" w:fill="D9D9D9"/>
            <w:noWrap/>
            <w:vAlign w:val="bottom"/>
            <w:hideMark/>
          </w:tcPr>
          <w:p w14:paraId="663071D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0.078</w:t>
            </w:r>
          </w:p>
        </w:tc>
      </w:tr>
      <w:tr w:rsidR="00574918" w:rsidRPr="00574918" w14:paraId="672C1F20" w14:textId="77777777" w:rsidTr="00574918">
        <w:trPr>
          <w:trHeight w:val="22"/>
        </w:trPr>
        <w:tc>
          <w:tcPr>
            <w:tcW w:w="2070" w:type="dxa"/>
            <w:vMerge/>
            <w:tcBorders>
              <w:bottom w:val="single" w:sz="4" w:space="0" w:color="auto"/>
            </w:tcBorders>
            <w:shd w:val="clear" w:color="auto" w:fill="D9D9D9"/>
            <w:noWrap/>
            <w:vAlign w:val="bottom"/>
            <w:hideMark/>
          </w:tcPr>
          <w:p w14:paraId="2CAB8EC4" w14:textId="77777777" w:rsidR="00574918" w:rsidRPr="00574918" w:rsidRDefault="00574918" w:rsidP="00574918">
            <w:pPr>
              <w:spacing w:after="0" w:line="240" w:lineRule="auto"/>
              <w:jc w:val="right"/>
              <w:rPr>
                <w:rFonts w:ascii="Times New Roman" w:eastAsia="Times New Roman" w:hAnsi="Times New Roman" w:cs="Times New Roman"/>
                <w:color w:val="000000"/>
                <w:sz w:val="20"/>
                <w:szCs w:val="20"/>
              </w:rPr>
            </w:pPr>
          </w:p>
        </w:tc>
        <w:tc>
          <w:tcPr>
            <w:tcW w:w="1710" w:type="dxa"/>
            <w:tcBorders>
              <w:bottom w:val="single" w:sz="4" w:space="0" w:color="auto"/>
            </w:tcBorders>
            <w:shd w:val="clear" w:color="auto" w:fill="D9D9D9"/>
            <w:noWrap/>
            <w:vAlign w:val="center"/>
            <w:hideMark/>
          </w:tcPr>
          <w:p w14:paraId="4C90CB25"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CAR</w:t>
            </w:r>
          </w:p>
        </w:tc>
        <w:tc>
          <w:tcPr>
            <w:tcW w:w="1080" w:type="dxa"/>
            <w:tcBorders>
              <w:bottom w:val="single" w:sz="4" w:space="0" w:color="auto"/>
            </w:tcBorders>
            <w:shd w:val="clear" w:color="auto" w:fill="D9D9D9"/>
            <w:noWrap/>
            <w:vAlign w:val="bottom"/>
            <w:hideMark/>
          </w:tcPr>
          <w:p w14:paraId="69CE316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1.787</w:t>
            </w:r>
          </w:p>
        </w:tc>
        <w:tc>
          <w:tcPr>
            <w:tcW w:w="1080" w:type="dxa"/>
            <w:tcBorders>
              <w:bottom w:val="single" w:sz="4" w:space="0" w:color="auto"/>
            </w:tcBorders>
            <w:shd w:val="clear" w:color="auto" w:fill="D9D9D9"/>
            <w:noWrap/>
            <w:vAlign w:val="bottom"/>
            <w:hideMark/>
          </w:tcPr>
          <w:p w14:paraId="2649B93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0.199</w:t>
            </w:r>
          </w:p>
        </w:tc>
        <w:tc>
          <w:tcPr>
            <w:tcW w:w="1080" w:type="dxa"/>
            <w:tcBorders>
              <w:bottom w:val="single" w:sz="4" w:space="0" w:color="auto"/>
            </w:tcBorders>
            <w:shd w:val="clear" w:color="auto" w:fill="D9D9D9"/>
            <w:noWrap/>
            <w:vAlign w:val="bottom"/>
            <w:hideMark/>
          </w:tcPr>
          <w:p w14:paraId="7552944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3.326</w:t>
            </w:r>
          </w:p>
        </w:tc>
        <w:tc>
          <w:tcPr>
            <w:tcW w:w="1080" w:type="dxa"/>
            <w:tcBorders>
              <w:bottom w:val="single" w:sz="4" w:space="0" w:color="auto"/>
            </w:tcBorders>
            <w:shd w:val="clear" w:color="auto" w:fill="D9D9D9"/>
            <w:noWrap/>
            <w:vAlign w:val="bottom"/>
            <w:hideMark/>
          </w:tcPr>
          <w:p w14:paraId="7C0F047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0.099</w:t>
            </w:r>
          </w:p>
        </w:tc>
      </w:tr>
    </w:tbl>
    <w:p w14:paraId="22B3083C" w14:textId="77777777" w:rsidR="00574918" w:rsidRDefault="00574918" w:rsidP="00574918">
      <w:pPr>
        <w:keepLines/>
        <w:spacing w:after="0" w:line="480" w:lineRule="auto"/>
        <w:rPr>
          <w:rFonts w:ascii="Times New Roman" w:eastAsia="Times New Roman" w:hAnsi="Times New Roman" w:cs="Times New Roman"/>
          <w:sz w:val="24"/>
          <w:szCs w:val="24"/>
        </w:rPr>
      </w:pPr>
      <w:bookmarkStart w:id="7" w:name="_Hlk38298780"/>
      <w:r w:rsidRPr="00574918">
        <w:rPr>
          <w:rFonts w:ascii="Times New Roman" w:eastAsia="Times New Roman" w:hAnsi="Times New Roman" w:cs="Times New Roman"/>
          <w:sz w:val="24"/>
          <w:szCs w:val="24"/>
        </w:rPr>
        <w:t>CSA = cross-sectional area; CMJ = counter-movement jump; MVIC = maximal voluntary isometric contraction; CAR = central activation ratio.</w:t>
      </w:r>
    </w:p>
    <w:p w14:paraId="494FB811" w14:textId="77777777" w:rsidR="00574918" w:rsidRDefault="00574918">
      <w:pP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14:paraId="12554EF4" w14:textId="77777777" w:rsidR="00574918" w:rsidRPr="00574918" w:rsidRDefault="00574918" w:rsidP="00574918">
      <w:pPr>
        <w:rPr>
          <w:rFonts w:ascii="Times New Roman" w:hAnsi="Times New Roman" w:cs="Times New Roman"/>
        </w:rPr>
      </w:pPr>
      <w:bookmarkStart w:id="8" w:name="_Toc40441914"/>
      <w:r w:rsidRPr="00574918">
        <w:rPr>
          <w:rFonts w:ascii="Times New Roman" w:hAnsi="Times New Roman" w:cs="Times New Roman"/>
          <w:b/>
        </w:rPr>
        <w:lastRenderedPageBreak/>
        <w:t>Table S.3.</w:t>
      </w:r>
      <w:r w:rsidRPr="00574918">
        <w:rPr>
          <w:rFonts w:ascii="Times New Roman" w:hAnsi="Times New Roman" w:cs="Times New Roman"/>
        </w:rPr>
        <w:t xml:space="preserve"> Estimated marginal means, standard error and pair-wise comparisons of timepoints for the pooled sample prior to outlier removal.</w:t>
      </w:r>
      <w:bookmarkEnd w:id="8"/>
    </w:p>
    <w:tbl>
      <w:tblPr>
        <w:tblW w:w="11875" w:type="dxa"/>
        <w:tblLayout w:type="fixed"/>
        <w:tblCellMar>
          <w:top w:w="58" w:type="dxa"/>
          <w:left w:w="115" w:type="dxa"/>
          <w:bottom w:w="58" w:type="dxa"/>
          <w:right w:w="115" w:type="dxa"/>
        </w:tblCellMar>
        <w:tblLook w:val="04A0" w:firstRow="1" w:lastRow="0" w:firstColumn="1" w:lastColumn="0" w:noHBand="0" w:noVBand="1"/>
      </w:tblPr>
      <w:tblGrid>
        <w:gridCol w:w="1752"/>
        <w:gridCol w:w="1432"/>
        <w:gridCol w:w="804"/>
        <w:gridCol w:w="804"/>
        <w:gridCol w:w="805"/>
        <w:gridCol w:w="804"/>
        <w:gridCol w:w="804"/>
        <w:gridCol w:w="805"/>
        <w:gridCol w:w="1288"/>
        <w:gridCol w:w="1288"/>
        <w:gridCol w:w="1289"/>
      </w:tblGrid>
      <w:tr w:rsidR="00574918" w:rsidRPr="00574918" w14:paraId="1B40CC04" w14:textId="77777777" w:rsidTr="00C260F3">
        <w:trPr>
          <w:trHeight w:val="139"/>
        </w:trPr>
        <w:tc>
          <w:tcPr>
            <w:tcW w:w="1752" w:type="dxa"/>
            <w:vMerge w:val="restart"/>
            <w:tcBorders>
              <w:top w:val="single" w:sz="4" w:space="0" w:color="auto"/>
            </w:tcBorders>
            <w:shd w:val="clear" w:color="auto" w:fill="auto"/>
            <w:noWrap/>
            <w:vAlign w:val="center"/>
            <w:hideMark/>
          </w:tcPr>
          <w:p w14:paraId="6DC293E5" w14:textId="77777777" w:rsidR="00574918" w:rsidRPr="00574918" w:rsidRDefault="00574918" w:rsidP="00574918">
            <w:pPr>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Category</w:t>
            </w:r>
          </w:p>
        </w:tc>
        <w:tc>
          <w:tcPr>
            <w:tcW w:w="1432" w:type="dxa"/>
            <w:vMerge w:val="restart"/>
            <w:tcBorders>
              <w:top w:val="single" w:sz="4" w:space="0" w:color="auto"/>
            </w:tcBorders>
            <w:shd w:val="clear" w:color="auto" w:fill="auto"/>
            <w:noWrap/>
            <w:vAlign w:val="center"/>
            <w:hideMark/>
          </w:tcPr>
          <w:p w14:paraId="5CB0AD4E" w14:textId="77777777" w:rsidR="00574918" w:rsidRPr="00574918" w:rsidRDefault="00574918" w:rsidP="00574918">
            <w:pPr>
              <w:spacing w:after="0" w:line="240" w:lineRule="auto"/>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Outcome</w:t>
            </w:r>
          </w:p>
        </w:tc>
        <w:tc>
          <w:tcPr>
            <w:tcW w:w="1608" w:type="dxa"/>
            <w:gridSpan w:val="2"/>
            <w:tcBorders>
              <w:top w:val="single" w:sz="4" w:space="0" w:color="auto"/>
              <w:bottom w:val="single" w:sz="4" w:space="0" w:color="auto"/>
            </w:tcBorders>
            <w:shd w:val="clear" w:color="auto" w:fill="auto"/>
            <w:noWrap/>
            <w:vAlign w:val="center"/>
            <w:hideMark/>
          </w:tcPr>
          <w:p w14:paraId="00F55F95"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Baseline</w:t>
            </w:r>
          </w:p>
        </w:tc>
        <w:tc>
          <w:tcPr>
            <w:tcW w:w="1609" w:type="dxa"/>
            <w:gridSpan w:val="2"/>
            <w:tcBorders>
              <w:top w:val="single" w:sz="4" w:space="0" w:color="auto"/>
              <w:bottom w:val="single" w:sz="4" w:space="0" w:color="auto"/>
            </w:tcBorders>
            <w:shd w:val="clear" w:color="auto" w:fill="auto"/>
            <w:noWrap/>
            <w:vAlign w:val="center"/>
            <w:hideMark/>
          </w:tcPr>
          <w:p w14:paraId="60608D3A"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6-Weeks</w:t>
            </w:r>
          </w:p>
        </w:tc>
        <w:tc>
          <w:tcPr>
            <w:tcW w:w="1609" w:type="dxa"/>
            <w:gridSpan w:val="2"/>
            <w:tcBorders>
              <w:top w:val="single" w:sz="4" w:space="0" w:color="auto"/>
              <w:bottom w:val="single" w:sz="4" w:space="0" w:color="auto"/>
            </w:tcBorders>
            <w:shd w:val="clear" w:color="auto" w:fill="auto"/>
            <w:noWrap/>
            <w:vAlign w:val="center"/>
            <w:hideMark/>
          </w:tcPr>
          <w:p w14:paraId="7316C974"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12-Weeks</w:t>
            </w:r>
          </w:p>
        </w:tc>
        <w:tc>
          <w:tcPr>
            <w:tcW w:w="3865" w:type="dxa"/>
            <w:gridSpan w:val="3"/>
            <w:tcBorders>
              <w:top w:val="single" w:sz="4" w:space="0" w:color="auto"/>
              <w:bottom w:val="single" w:sz="4" w:space="0" w:color="auto"/>
            </w:tcBorders>
            <w:shd w:val="clear" w:color="auto" w:fill="auto"/>
            <w:noWrap/>
            <w:vAlign w:val="center"/>
            <w:hideMark/>
          </w:tcPr>
          <w:p w14:paraId="4C3B5536"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p-values</w:t>
            </w:r>
          </w:p>
        </w:tc>
      </w:tr>
      <w:tr w:rsidR="00574918" w:rsidRPr="00574918" w14:paraId="580D07DE" w14:textId="77777777" w:rsidTr="00C260F3">
        <w:trPr>
          <w:trHeight w:val="20"/>
        </w:trPr>
        <w:tc>
          <w:tcPr>
            <w:tcW w:w="1752" w:type="dxa"/>
            <w:vMerge/>
            <w:tcBorders>
              <w:bottom w:val="single" w:sz="4" w:space="0" w:color="auto"/>
            </w:tcBorders>
            <w:shd w:val="clear" w:color="auto" w:fill="auto"/>
            <w:noWrap/>
            <w:vAlign w:val="bottom"/>
            <w:hideMark/>
          </w:tcPr>
          <w:p w14:paraId="1FDF6F4D"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p>
        </w:tc>
        <w:tc>
          <w:tcPr>
            <w:tcW w:w="1432" w:type="dxa"/>
            <w:vMerge/>
            <w:tcBorders>
              <w:bottom w:val="single" w:sz="4" w:space="0" w:color="auto"/>
            </w:tcBorders>
            <w:shd w:val="clear" w:color="auto" w:fill="auto"/>
            <w:noWrap/>
            <w:vAlign w:val="bottom"/>
            <w:hideMark/>
          </w:tcPr>
          <w:p w14:paraId="59BD9924" w14:textId="77777777" w:rsidR="00574918" w:rsidRPr="00574918" w:rsidRDefault="00574918" w:rsidP="00574918">
            <w:pPr>
              <w:spacing w:after="0" w:line="240" w:lineRule="auto"/>
              <w:jc w:val="center"/>
              <w:rPr>
                <w:rFonts w:ascii="Times New Roman" w:eastAsia="Times New Roman" w:hAnsi="Times New Roman" w:cs="Times New Roman"/>
                <w:sz w:val="20"/>
                <w:szCs w:val="20"/>
              </w:rPr>
            </w:pPr>
          </w:p>
        </w:tc>
        <w:tc>
          <w:tcPr>
            <w:tcW w:w="804" w:type="dxa"/>
            <w:tcBorders>
              <w:top w:val="single" w:sz="4" w:space="0" w:color="auto"/>
              <w:bottom w:val="single" w:sz="4" w:space="0" w:color="auto"/>
            </w:tcBorders>
            <w:shd w:val="clear" w:color="auto" w:fill="auto"/>
            <w:noWrap/>
            <w:vAlign w:val="bottom"/>
            <w:hideMark/>
          </w:tcPr>
          <w:p w14:paraId="59A8CE72"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M</w:t>
            </w:r>
          </w:p>
        </w:tc>
        <w:tc>
          <w:tcPr>
            <w:tcW w:w="804" w:type="dxa"/>
            <w:tcBorders>
              <w:top w:val="single" w:sz="4" w:space="0" w:color="auto"/>
              <w:bottom w:val="single" w:sz="4" w:space="0" w:color="auto"/>
            </w:tcBorders>
            <w:shd w:val="clear" w:color="auto" w:fill="auto"/>
            <w:noWrap/>
            <w:vAlign w:val="bottom"/>
            <w:hideMark/>
          </w:tcPr>
          <w:p w14:paraId="3C04D97C"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SE</w:t>
            </w:r>
          </w:p>
        </w:tc>
        <w:tc>
          <w:tcPr>
            <w:tcW w:w="805" w:type="dxa"/>
            <w:tcBorders>
              <w:top w:val="single" w:sz="4" w:space="0" w:color="auto"/>
              <w:bottom w:val="single" w:sz="4" w:space="0" w:color="auto"/>
            </w:tcBorders>
            <w:shd w:val="clear" w:color="auto" w:fill="auto"/>
            <w:noWrap/>
            <w:vAlign w:val="bottom"/>
            <w:hideMark/>
          </w:tcPr>
          <w:p w14:paraId="21183D5F"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M</w:t>
            </w:r>
          </w:p>
        </w:tc>
        <w:tc>
          <w:tcPr>
            <w:tcW w:w="804" w:type="dxa"/>
            <w:tcBorders>
              <w:top w:val="single" w:sz="4" w:space="0" w:color="auto"/>
              <w:bottom w:val="single" w:sz="4" w:space="0" w:color="auto"/>
            </w:tcBorders>
            <w:shd w:val="clear" w:color="auto" w:fill="auto"/>
            <w:noWrap/>
            <w:vAlign w:val="bottom"/>
            <w:hideMark/>
          </w:tcPr>
          <w:p w14:paraId="39F71864"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SE</w:t>
            </w:r>
          </w:p>
        </w:tc>
        <w:tc>
          <w:tcPr>
            <w:tcW w:w="804" w:type="dxa"/>
            <w:tcBorders>
              <w:top w:val="single" w:sz="4" w:space="0" w:color="auto"/>
              <w:bottom w:val="single" w:sz="4" w:space="0" w:color="auto"/>
            </w:tcBorders>
            <w:shd w:val="clear" w:color="auto" w:fill="auto"/>
            <w:noWrap/>
            <w:vAlign w:val="bottom"/>
            <w:hideMark/>
          </w:tcPr>
          <w:p w14:paraId="576F749E"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M</w:t>
            </w:r>
          </w:p>
        </w:tc>
        <w:tc>
          <w:tcPr>
            <w:tcW w:w="805" w:type="dxa"/>
            <w:tcBorders>
              <w:top w:val="single" w:sz="4" w:space="0" w:color="auto"/>
              <w:bottom w:val="single" w:sz="4" w:space="0" w:color="auto"/>
            </w:tcBorders>
            <w:shd w:val="clear" w:color="auto" w:fill="auto"/>
            <w:noWrap/>
            <w:vAlign w:val="bottom"/>
            <w:hideMark/>
          </w:tcPr>
          <w:p w14:paraId="69D9A564"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SE</w:t>
            </w:r>
          </w:p>
        </w:tc>
        <w:tc>
          <w:tcPr>
            <w:tcW w:w="1288" w:type="dxa"/>
            <w:tcBorders>
              <w:top w:val="single" w:sz="4" w:space="0" w:color="auto"/>
              <w:bottom w:val="single" w:sz="4" w:space="0" w:color="auto"/>
            </w:tcBorders>
            <w:shd w:val="clear" w:color="auto" w:fill="auto"/>
            <w:noWrap/>
            <w:vAlign w:val="bottom"/>
            <w:hideMark/>
          </w:tcPr>
          <w:p w14:paraId="5DAADEEB"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Baseline to 6-Weeks</w:t>
            </w:r>
          </w:p>
        </w:tc>
        <w:tc>
          <w:tcPr>
            <w:tcW w:w="1288" w:type="dxa"/>
            <w:tcBorders>
              <w:top w:val="single" w:sz="4" w:space="0" w:color="auto"/>
              <w:bottom w:val="single" w:sz="4" w:space="0" w:color="auto"/>
            </w:tcBorders>
            <w:shd w:val="clear" w:color="auto" w:fill="auto"/>
            <w:noWrap/>
            <w:vAlign w:val="bottom"/>
            <w:hideMark/>
          </w:tcPr>
          <w:p w14:paraId="7F36C54B"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Baseline to 12-Weeks</w:t>
            </w:r>
          </w:p>
        </w:tc>
        <w:tc>
          <w:tcPr>
            <w:tcW w:w="1289" w:type="dxa"/>
            <w:tcBorders>
              <w:top w:val="single" w:sz="4" w:space="0" w:color="auto"/>
              <w:bottom w:val="single" w:sz="4" w:space="0" w:color="auto"/>
            </w:tcBorders>
            <w:shd w:val="clear" w:color="auto" w:fill="auto"/>
            <w:noWrap/>
            <w:vAlign w:val="bottom"/>
            <w:hideMark/>
          </w:tcPr>
          <w:p w14:paraId="733BCBF9" w14:textId="77777777" w:rsidR="00574918" w:rsidRPr="00574918" w:rsidRDefault="00574918" w:rsidP="00574918">
            <w:pPr>
              <w:spacing w:after="0" w:line="240" w:lineRule="auto"/>
              <w:jc w:val="center"/>
              <w:rPr>
                <w:rFonts w:ascii="Times New Roman" w:eastAsia="Times New Roman" w:hAnsi="Times New Roman" w:cs="Times New Roman"/>
                <w:b/>
                <w:bCs/>
                <w:color w:val="000000"/>
                <w:sz w:val="20"/>
                <w:szCs w:val="20"/>
              </w:rPr>
            </w:pPr>
            <w:r w:rsidRPr="00574918">
              <w:rPr>
                <w:rFonts w:ascii="Times New Roman" w:eastAsia="Times New Roman" w:hAnsi="Times New Roman" w:cs="Times New Roman"/>
                <w:b/>
                <w:bCs/>
                <w:color w:val="000000"/>
                <w:sz w:val="20"/>
                <w:szCs w:val="20"/>
              </w:rPr>
              <w:t>6-Weeks to 12-Weeks</w:t>
            </w:r>
          </w:p>
        </w:tc>
      </w:tr>
      <w:tr w:rsidR="00574918" w:rsidRPr="00574918" w14:paraId="2F8477FE" w14:textId="77777777" w:rsidTr="00C260F3">
        <w:trPr>
          <w:trHeight w:val="94"/>
        </w:trPr>
        <w:tc>
          <w:tcPr>
            <w:tcW w:w="1752" w:type="dxa"/>
            <w:tcBorders>
              <w:top w:val="single" w:sz="4" w:space="0" w:color="auto"/>
            </w:tcBorders>
            <w:shd w:val="clear" w:color="auto" w:fill="auto"/>
            <w:noWrap/>
            <w:vAlign w:val="center"/>
            <w:hideMark/>
          </w:tcPr>
          <w:p w14:paraId="06F3A598"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Symptoms</w:t>
            </w:r>
          </w:p>
        </w:tc>
        <w:tc>
          <w:tcPr>
            <w:tcW w:w="1432" w:type="dxa"/>
            <w:tcBorders>
              <w:top w:val="single" w:sz="4" w:space="0" w:color="auto"/>
            </w:tcBorders>
            <w:shd w:val="clear" w:color="auto" w:fill="auto"/>
            <w:noWrap/>
            <w:vAlign w:val="center"/>
            <w:hideMark/>
          </w:tcPr>
          <w:p w14:paraId="4C2478CE"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VISA-P (points)</w:t>
            </w:r>
          </w:p>
        </w:tc>
        <w:tc>
          <w:tcPr>
            <w:tcW w:w="804" w:type="dxa"/>
            <w:tcBorders>
              <w:top w:val="single" w:sz="4" w:space="0" w:color="auto"/>
            </w:tcBorders>
            <w:shd w:val="clear" w:color="auto" w:fill="auto"/>
            <w:noWrap/>
            <w:vAlign w:val="center"/>
            <w:hideMark/>
          </w:tcPr>
          <w:p w14:paraId="2E3B66B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59.6</w:t>
            </w:r>
          </w:p>
        </w:tc>
        <w:tc>
          <w:tcPr>
            <w:tcW w:w="804" w:type="dxa"/>
            <w:tcBorders>
              <w:top w:val="single" w:sz="4" w:space="0" w:color="auto"/>
            </w:tcBorders>
            <w:shd w:val="clear" w:color="auto" w:fill="auto"/>
            <w:noWrap/>
            <w:vAlign w:val="center"/>
            <w:hideMark/>
          </w:tcPr>
          <w:p w14:paraId="37DFE88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3.8</w:t>
            </w:r>
          </w:p>
        </w:tc>
        <w:tc>
          <w:tcPr>
            <w:tcW w:w="805" w:type="dxa"/>
            <w:tcBorders>
              <w:top w:val="single" w:sz="4" w:space="0" w:color="auto"/>
            </w:tcBorders>
            <w:shd w:val="clear" w:color="auto" w:fill="auto"/>
            <w:noWrap/>
            <w:vAlign w:val="center"/>
            <w:hideMark/>
          </w:tcPr>
          <w:p w14:paraId="23E7399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68.8</w:t>
            </w:r>
          </w:p>
        </w:tc>
        <w:tc>
          <w:tcPr>
            <w:tcW w:w="804" w:type="dxa"/>
            <w:tcBorders>
              <w:top w:val="single" w:sz="4" w:space="0" w:color="auto"/>
            </w:tcBorders>
            <w:shd w:val="clear" w:color="auto" w:fill="auto"/>
            <w:noWrap/>
            <w:vAlign w:val="center"/>
            <w:hideMark/>
          </w:tcPr>
          <w:p w14:paraId="7898129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3.8</w:t>
            </w:r>
          </w:p>
        </w:tc>
        <w:tc>
          <w:tcPr>
            <w:tcW w:w="804" w:type="dxa"/>
            <w:tcBorders>
              <w:top w:val="single" w:sz="4" w:space="0" w:color="auto"/>
            </w:tcBorders>
            <w:shd w:val="clear" w:color="auto" w:fill="auto"/>
            <w:noWrap/>
            <w:vAlign w:val="center"/>
            <w:hideMark/>
          </w:tcPr>
          <w:p w14:paraId="7D0E1D6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75.6</w:t>
            </w:r>
          </w:p>
        </w:tc>
        <w:tc>
          <w:tcPr>
            <w:tcW w:w="805" w:type="dxa"/>
            <w:tcBorders>
              <w:top w:val="single" w:sz="4" w:space="0" w:color="auto"/>
            </w:tcBorders>
            <w:shd w:val="clear" w:color="auto" w:fill="auto"/>
            <w:noWrap/>
            <w:vAlign w:val="center"/>
            <w:hideMark/>
          </w:tcPr>
          <w:p w14:paraId="218B87B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4.0</w:t>
            </w:r>
          </w:p>
        </w:tc>
        <w:tc>
          <w:tcPr>
            <w:tcW w:w="1288" w:type="dxa"/>
            <w:tcBorders>
              <w:top w:val="single" w:sz="4" w:space="0" w:color="auto"/>
            </w:tcBorders>
            <w:shd w:val="clear" w:color="auto" w:fill="auto"/>
            <w:noWrap/>
            <w:vAlign w:val="center"/>
            <w:hideMark/>
          </w:tcPr>
          <w:p w14:paraId="00E30680"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0.043</w:t>
            </w:r>
          </w:p>
        </w:tc>
        <w:tc>
          <w:tcPr>
            <w:tcW w:w="1288" w:type="dxa"/>
            <w:tcBorders>
              <w:top w:val="single" w:sz="4" w:space="0" w:color="auto"/>
            </w:tcBorders>
            <w:shd w:val="clear" w:color="auto" w:fill="auto"/>
            <w:noWrap/>
            <w:vAlign w:val="center"/>
            <w:hideMark/>
          </w:tcPr>
          <w:p w14:paraId="207D0FC1"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0.001</w:t>
            </w:r>
          </w:p>
        </w:tc>
        <w:tc>
          <w:tcPr>
            <w:tcW w:w="1289" w:type="dxa"/>
            <w:tcBorders>
              <w:top w:val="single" w:sz="4" w:space="0" w:color="auto"/>
            </w:tcBorders>
            <w:shd w:val="clear" w:color="auto" w:fill="auto"/>
            <w:noWrap/>
            <w:vAlign w:val="center"/>
            <w:hideMark/>
          </w:tcPr>
          <w:p w14:paraId="78D21BE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0.136</w:t>
            </w:r>
          </w:p>
        </w:tc>
      </w:tr>
      <w:tr w:rsidR="00574918" w:rsidRPr="00574918" w14:paraId="7E632F96" w14:textId="77777777" w:rsidTr="00C260F3">
        <w:trPr>
          <w:trHeight w:val="68"/>
        </w:trPr>
        <w:tc>
          <w:tcPr>
            <w:tcW w:w="1752" w:type="dxa"/>
            <w:vMerge w:val="restart"/>
            <w:shd w:val="clear" w:color="auto" w:fill="D9D9D9"/>
            <w:noWrap/>
            <w:vAlign w:val="center"/>
            <w:hideMark/>
          </w:tcPr>
          <w:p w14:paraId="07FC2710"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Psychological Factors</w:t>
            </w:r>
          </w:p>
        </w:tc>
        <w:tc>
          <w:tcPr>
            <w:tcW w:w="1432" w:type="dxa"/>
            <w:shd w:val="clear" w:color="auto" w:fill="D9D9D9"/>
            <w:noWrap/>
            <w:vAlign w:val="center"/>
            <w:hideMark/>
          </w:tcPr>
          <w:p w14:paraId="6F7357D8"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TSK (points)</w:t>
            </w:r>
          </w:p>
        </w:tc>
        <w:tc>
          <w:tcPr>
            <w:tcW w:w="804" w:type="dxa"/>
            <w:shd w:val="clear" w:color="auto" w:fill="D9D9D9"/>
            <w:noWrap/>
            <w:vAlign w:val="center"/>
            <w:hideMark/>
          </w:tcPr>
          <w:p w14:paraId="36FDDAC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36.4</w:t>
            </w:r>
          </w:p>
        </w:tc>
        <w:tc>
          <w:tcPr>
            <w:tcW w:w="804" w:type="dxa"/>
            <w:shd w:val="clear" w:color="auto" w:fill="D9D9D9"/>
            <w:noWrap/>
            <w:vAlign w:val="center"/>
            <w:hideMark/>
          </w:tcPr>
          <w:p w14:paraId="43BFC28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w:t>
            </w:r>
          </w:p>
        </w:tc>
        <w:tc>
          <w:tcPr>
            <w:tcW w:w="805" w:type="dxa"/>
            <w:shd w:val="clear" w:color="auto" w:fill="D9D9D9"/>
            <w:noWrap/>
            <w:vAlign w:val="center"/>
            <w:hideMark/>
          </w:tcPr>
          <w:p w14:paraId="2E9605D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35.8</w:t>
            </w:r>
          </w:p>
        </w:tc>
        <w:tc>
          <w:tcPr>
            <w:tcW w:w="804" w:type="dxa"/>
            <w:shd w:val="clear" w:color="auto" w:fill="D9D9D9"/>
            <w:noWrap/>
            <w:vAlign w:val="center"/>
            <w:hideMark/>
          </w:tcPr>
          <w:p w14:paraId="4C6AD24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w:t>
            </w:r>
          </w:p>
        </w:tc>
        <w:tc>
          <w:tcPr>
            <w:tcW w:w="804" w:type="dxa"/>
            <w:shd w:val="clear" w:color="auto" w:fill="D9D9D9"/>
            <w:noWrap/>
            <w:vAlign w:val="center"/>
            <w:hideMark/>
          </w:tcPr>
          <w:p w14:paraId="39130C4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34.2</w:t>
            </w:r>
          </w:p>
        </w:tc>
        <w:tc>
          <w:tcPr>
            <w:tcW w:w="805" w:type="dxa"/>
            <w:shd w:val="clear" w:color="auto" w:fill="D9D9D9"/>
            <w:noWrap/>
            <w:vAlign w:val="center"/>
            <w:hideMark/>
          </w:tcPr>
          <w:p w14:paraId="2ACB932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w:t>
            </w:r>
          </w:p>
        </w:tc>
        <w:tc>
          <w:tcPr>
            <w:tcW w:w="1288" w:type="dxa"/>
            <w:shd w:val="clear" w:color="auto" w:fill="D9D9D9"/>
            <w:noWrap/>
            <w:vAlign w:val="center"/>
            <w:hideMark/>
          </w:tcPr>
          <w:p w14:paraId="5ED92D5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0.448</w:t>
            </w:r>
          </w:p>
        </w:tc>
        <w:tc>
          <w:tcPr>
            <w:tcW w:w="1288" w:type="dxa"/>
            <w:shd w:val="clear" w:color="auto" w:fill="D9D9D9"/>
            <w:noWrap/>
            <w:vAlign w:val="center"/>
            <w:hideMark/>
          </w:tcPr>
          <w:p w14:paraId="4CAC305A"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0.015</w:t>
            </w:r>
          </w:p>
        </w:tc>
        <w:tc>
          <w:tcPr>
            <w:tcW w:w="1289" w:type="dxa"/>
            <w:shd w:val="clear" w:color="auto" w:fill="D9D9D9"/>
            <w:noWrap/>
            <w:vAlign w:val="center"/>
            <w:hideMark/>
          </w:tcPr>
          <w:p w14:paraId="04C7C1D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0.075</w:t>
            </w:r>
          </w:p>
        </w:tc>
      </w:tr>
      <w:tr w:rsidR="00574918" w:rsidRPr="00574918" w14:paraId="466E67B6" w14:textId="77777777" w:rsidTr="00C260F3">
        <w:trPr>
          <w:trHeight w:val="86"/>
        </w:trPr>
        <w:tc>
          <w:tcPr>
            <w:tcW w:w="1752" w:type="dxa"/>
            <w:vMerge/>
            <w:shd w:val="clear" w:color="auto" w:fill="D9D9D9"/>
            <w:noWrap/>
            <w:vAlign w:val="center"/>
            <w:hideMark/>
          </w:tcPr>
          <w:p w14:paraId="3E258454"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D9D9D9"/>
            <w:noWrap/>
            <w:vAlign w:val="center"/>
            <w:hideMark/>
          </w:tcPr>
          <w:p w14:paraId="405267A7"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DASS-21 (points)</w:t>
            </w:r>
          </w:p>
        </w:tc>
        <w:tc>
          <w:tcPr>
            <w:tcW w:w="804" w:type="dxa"/>
            <w:shd w:val="clear" w:color="auto" w:fill="D9D9D9"/>
            <w:noWrap/>
            <w:vAlign w:val="center"/>
            <w:hideMark/>
          </w:tcPr>
          <w:p w14:paraId="345F430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3.2</w:t>
            </w:r>
          </w:p>
        </w:tc>
        <w:tc>
          <w:tcPr>
            <w:tcW w:w="804" w:type="dxa"/>
            <w:shd w:val="clear" w:color="auto" w:fill="D9D9D9"/>
            <w:noWrap/>
            <w:vAlign w:val="center"/>
            <w:hideMark/>
          </w:tcPr>
          <w:p w14:paraId="459BBA8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w:t>
            </w:r>
          </w:p>
        </w:tc>
        <w:tc>
          <w:tcPr>
            <w:tcW w:w="805" w:type="dxa"/>
            <w:shd w:val="clear" w:color="auto" w:fill="D9D9D9"/>
            <w:noWrap/>
            <w:vAlign w:val="center"/>
            <w:hideMark/>
          </w:tcPr>
          <w:p w14:paraId="024F124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4.3</w:t>
            </w:r>
          </w:p>
        </w:tc>
        <w:tc>
          <w:tcPr>
            <w:tcW w:w="804" w:type="dxa"/>
            <w:shd w:val="clear" w:color="auto" w:fill="D9D9D9"/>
            <w:noWrap/>
            <w:vAlign w:val="center"/>
            <w:hideMark/>
          </w:tcPr>
          <w:p w14:paraId="2E7DDE3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w:t>
            </w:r>
          </w:p>
        </w:tc>
        <w:tc>
          <w:tcPr>
            <w:tcW w:w="804" w:type="dxa"/>
            <w:shd w:val="clear" w:color="auto" w:fill="D9D9D9"/>
            <w:noWrap/>
            <w:vAlign w:val="center"/>
            <w:hideMark/>
          </w:tcPr>
          <w:p w14:paraId="2DC3312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6.2</w:t>
            </w:r>
          </w:p>
        </w:tc>
        <w:tc>
          <w:tcPr>
            <w:tcW w:w="805" w:type="dxa"/>
            <w:shd w:val="clear" w:color="auto" w:fill="D9D9D9"/>
            <w:noWrap/>
            <w:vAlign w:val="center"/>
            <w:hideMark/>
          </w:tcPr>
          <w:p w14:paraId="3440E2E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w:t>
            </w:r>
          </w:p>
        </w:tc>
        <w:tc>
          <w:tcPr>
            <w:tcW w:w="1288" w:type="dxa"/>
            <w:shd w:val="clear" w:color="auto" w:fill="D9D9D9"/>
            <w:noWrap/>
            <w:vAlign w:val="center"/>
            <w:hideMark/>
          </w:tcPr>
          <w:p w14:paraId="384EAEC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0.383</w:t>
            </w:r>
          </w:p>
        </w:tc>
        <w:tc>
          <w:tcPr>
            <w:tcW w:w="1288" w:type="dxa"/>
            <w:shd w:val="clear" w:color="auto" w:fill="D9D9D9"/>
            <w:noWrap/>
            <w:vAlign w:val="center"/>
            <w:hideMark/>
          </w:tcPr>
          <w:p w14:paraId="3D94253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0.027</w:t>
            </w:r>
          </w:p>
        </w:tc>
        <w:tc>
          <w:tcPr>
            <w:tcW w:w="1289" w:type="dxa"/>
            <w:shd w:val="clear" w:color="auto" w:fill="D9D9D9"/>
            <w:noWrap/>
            <w:vAlign w:val="center"/>
            <w:hideMark/>
          </w:tcPr>
          <w:p w14:paraId="7763B04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0.146</w:t>
            </w:r>
          </w:p>
        </w:tc>
      </w:tr>
      <w:tr w:rsidR="00574918" w:rsidRPr="00574918" w14:paraId="2F9674A5" w14:textId="77777777" w:rsidTr="00C260F3">
        <w:trPr>
          <w:trHeight w:val="22"/>
        </w:trPr>
        <w:tc>
          <w:tcPr>
            <w:tcW w:w="1752" w:type="dxa"/>
            <w:vMerge w:val="restart"/>
            <w:shd w:val="clear" w:color="auto" w:fill="auto"/>
            <w:noWrap/>
            <w:vAlign w:val="center"/>
            <w:hideMark/>
          </w:tcPr>
          <w:p w14:paraId="148D9BBE"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Morphology</w:t>
            </w:r>
          </w:p>
        </w:tc>
        <w:tc>
          <w:tcPr>
            <w:tcW w:w="1432" w:type="dxa"/>
            <w:shd w:val="clear" w:color="auto" w:fill="auto"/>
            <w:noWrap/>
            <w:vAlign w:val="center"/>
            <w:hideMark/>
          </w:tcPr>
          <w:p w14:paraId="179C8DB6"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Thickness (mm)</w:t>
            </w:r>
          </w:p>
        </w:tc>
        <w:tc>
          <w:tcPr>
            <w:tcW w:w="804" w:type="dxa"/>
            <w:shd w:val="clear" w:color="auto" w:fill="auto"/>
            <w:noWrap/>
            <w:vAlign w:val="center"/>
            <w:hideMark/>
          </w:tcPr>
          <w:p w14:paraId="6BF52FB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6.9</w:t>
            </w:r>
          </w:p>
        </w:tc>
        <w:tc>
          <w:tcPr>
            <w:tcW w:w="804" w:type="dxa"/>
            <w:shd w:val="clear" w:color="auto" w:fill="auto"/>
            <w:noWrap/>
            <w:vAlign w:val="center"/>
            <w:hideMark/>
          </w:tcPr>
          <w:p w14:paraId="383587C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w:t>
            </w:r>
          </w:p>
        </w:tc>
        <w:tc>
          <w:tcPr>
            <w:tcW w:w="805" w:type="dxa"/>
            <w:shd w:val="clear" w:color="auto" w:fill="auto"/>
            <w:noWrap/>
            <w:vAlign w:val="center"/>
            <w:hideMark/>
          </w:tcPr>
          <w:p w14:paraId="78A7C65F"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6.8</w:t>
            </w:r>
          </w:p>
        </w:tc>
        <w:tc>
          <w:tcPr>
            <w:tcW w:w="804" w:type="dxa"/>
            <w:shd w:val="clear" w:color="auto" w:fill="auto"/>
            <w:noWrap/>
            <w:vAlign w:val="center"/>
            <w:hideMark/>
          </w:tcPr>
          <w:p w14:paraId="577210D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w:t>
            </w:r>
          </w:p>
        </w:tc>
        <w:tc>
          <w:tcPr>
            <w:tcW w:w="804" w:type="dxa"/>
            <w:shd w:val="clear" w:color="auto" w:fill="auto"/>
            <w:noWrap/>
            <w:vAlign w:val="center"/>
            <w:hideMark/>
          </w:tcPr>
          <w:p w14:paraId="4DFDCCE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6.6</w:t>
            </w:r>
          </w:p>
        </w:tc>
        <w:tc>
          <w:tcPr>
            <w:tcW w:w="805" w:type="dxa"/>
            <w:shd w:val="clear" w:color="auto" w:fill="auto"/>
            <w:noWrap/>
            <w:vAlign w:val="center"/>
            <w:hideMark/>
          </w:tcPr>
          <w:p w14:paraId="1CAB3D0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w:t>
            </w:r>
          </w:p>
        </w:tc>
        <w:tc>
          <w:tcPr>
            <w:tcW w:w="1288" w:type="dxa"/>
            <w:shd w:val="clear" w:color="auto" w:fill="auto"/>
            <w:noWrap/>
            <w:vAlign w:val="center"/>
            <w:hideMark/>
          </w:tcPr>
          <w:p w14:paraId="7050C70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0.427</w:t>
            </w:r>
          </w:p>
        </w:tc>
        <w:tc>
          <w:tcPr>
            <w:tcW w:w="1288" w:type="dxa"/>
            <w:shd w:val="clear" w:color="auto" w:fill="auto"/>
            <w:noWrap/>
            <w:vAlign w:val="center"/>
            <w:hideMark/>
          </w:tcPr>
          <w:p w14:paraId="65EF313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0.329</w:t>
            </w:r>
          </w:p>
        </w:tc>
        <w:tc>
          <w:tcPr>
            <w:tcW w:w="1289" w:type="dxa"/>
            <w:shd w:val="clear" w:color="auto" w:fill="auto"/>
            <w:noWrap/>
            <w:vAlign w:val="center"/>
            <w:hideMark/>
          </w:tcPr>
          <w:p w14:paraId="243F687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0.678</w:t>
            </w:r>
          </w:p>
        </w:tc>
      </w:tr>
      <w:tr w:rsidR="00574918" w:rsidRPr="00574918" w14:paraId="03DC0519" w14:textId="77777777" w:rsidTr="00C260F3">
        <w:trPr>
          <w:trHeight w:val="22"/>
        </w:trPr>
        <w:tc>
          <w:tcPr>
            <w:tcW w:w="1752" w:type="dxa"/>
            <w:vMerge/>
            <w:shd w:val="clear" w:color="auto" w:fill="auto"/>
            <w:noWrap/>
            <w:vAlign w:val="center"/>
            <w:hideMark/>
          </w:tcPr>
          <w:p w14:paraId="3A059D42"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auto"/>
            <w:noWrap/>
            <w:vAlign w:val="center"/>
            <w:hideMark/>
          </w:tcPr>
          <w:p w14:paraId="046EB31D"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CSA (mm</w:t>
            </w:r>
            <w:r w:rsidRPr="00574918">
              <w:rPr>
                <w:rFonts w:ascii="Times New Roman" w:eastAsia="Times New Roman" w:hAnsi="Times New Roman" w:cs="Times New Roman"/>
                <w:color w:val="000000"/>
                <w:sz w:val="20"/>
                <w:szCs w:val="20"/>
                <w:vertAlign w:val="superscript"/>
              </w:rPr>
              <w:t>2</w:t>
            </w:r>
            <w:r w:rsidRPr="00574918">
              <w:rPr>
                <w:rFonts w:ascii="Times New Roman" w:eastAsia="Times New Roman" w:hAnsi="Times New Roman" w:cs="Times New Roman"/>
                <w:color w:val="000000"/>
                <w:sz w:val="20"/>
                <w:szCs w:val="20"/>
              </w:rPr>
              <w:t>)</w:t>
            </w:r>
          </w:p>
        </w:tc>
        <w:tc>
          <w:tcPr>
            <w:tcW w:w="804" w:type="dxa"/>
            <w:shd w:val="clear" w:color="auto" w:fill="auto"/>
            <w:noWrap/>
            <w:vAlign w:val="center"/>
            <w:hideMark/>
          </w:tcPr>
          <w:p w14:paraId="25DA139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115.3</w:t>
            </w:r>
          </w:p>
        </w:tc>
        <w:tc>
          <w:tcPr>
            <w:tcW w:w="804" w:type="dxa"/>
            <w:shd w:val="clear" w:color="auto" w:fill="auto"/>
            <w:noWrap/>
            <w:vAlign w:val="center"/>
            <w:hideMark/>
          </w:tcPr>
          <w:p w14:paraId="3A2F2AB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10.8</w:t>
            </w:r>
          </w:p>
        </w:tc>
        <w:tc>
          <w:tcPr>
            <w:tcW w:w="805" w:type="dxa"/>
            <w:shd w:val="clear" w:color="auto" w:fill="auto"/>
            <w:noWrap/>
            <w:vAlign w:val="center"/>
            <w:hideMark/>
          </w:tcPr>
          <w:p w14:paraId="3E87005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118.0</w:t>
            </w:r>
          </w:p>
        </w:tc>
        <w:tc>
          <w:tcPr>
            <w:tcW w:w="804" w:type="dxa"/>
            <w:shd w:val="clear" w:color="auto" w:fill="auto"/>
            <w:noWrap/>
            <w:vAlign w:val="center"/>
            <w:hideMark/>
          </w:tcPr>
          <w:p w14:paraId="5C25744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10.8</w:t>
            </w:r>
          </w:p>
        </w:tc>
        <w:tc>
          <w:tcPr>
            <w:tcW w:w="804" w:type="dxa"/>
            <w:shd w:val="clear" w:color="auto" w:fill="auto"/>
            <w:noWrap/>
            <w:vAlign w:val="center"/>
            <w:hideMark/>
          </w:tcPr>
          <w:p w14:paraId="23EAC41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119.7</w:t>
            </w:r>
          </w:p>
        </w:tc>
        <w:tc>
          <w:tcPr>
            <w:tcW w:w="805" w:type="dxa"/>
            <w:shd w:val="clear" w:color="auto" w:fill="auto"/>
            <w:noWrap/>
            <w:vAlign w:val="center"/>
            <w:hideMark/>
          </w:tcPr>
          <w:p w14:paraId="0071DA0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12.0</w:t>
            </w:r>
          </w:p>
        </w:tc>
        <w:tc>
          <w:tcPr>
            <w:tcW w:w="1288" w:type="dxa"/>
            <w:shd w:val="clear" w:color="auto" w:fill="auto"/>
            <w:noWrap/>
            <w:vAlign w:val="center"/>
            <w:hideMark/>
          </w:tcPr>
          <w:p w14:paraId="2AC654C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0.613</w:t>
            </w:r>
          </w:p>
        </w:tc>
        <w:tc>
          <w:tcPr>
            <w:tcW w:w="1288" w:type="dxa"/>
            <w:shd w:val="clear" w:color="auto" w:fill="auto"/>
            <w:noWrap/>
            <w:vAlign w:val="center"/>
            <w:hideMark/>
          </w:tcPr>
          <w:p w14:paraId="15AF110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0.558</w:t>
            </w:r>
          </w:p>
        </w:tc>
        <w:tc>
          <w:tcPr>
            <w:tcW w:w="1289" w:type="dxa"/>
            <w:shd w:val="clear" w:color="auto" w:fill="auto"/>
            <w:noWrap/>
            <w:vAlign w:val="center"/>
            <w:hideMark/>
          </w:tcPr>
          <w:p w14:paraId="782D7B3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0.821</w:t>
            </w:r>
          </w:p>
        </w:tc>
      </w:tr>
      <w:tr w:rsidR="00574918" w:rsidRPr="00574918" w14:paraId="7C955C2D" w14:textId="77777777" w:rsidTr="00C260F3">
        <w:trPr>
          <w:trHeight w:val="22"/>
        </w:trPr>
        <w:tc>
          <w:tcPr>
            <w:tcW w:w="1752" w:type="dxa"/>
            <w:vMerge w:val="restart"/>
            <w:shd w:val="clear" w:color="auto" w:fill="D9D9D9"/>
            <w:noWrap/>
            <w:vAlign w:val="center"/>
            <w:hideMark/>
          </w:tcPr>
          <w:p w14:paraId="2ABC365F"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 xml:space="preserve">Mechanical </w:t>
            </w:r>
          </w:p>
        </w:tc>
        <w:tc>
          <w:tcPr>
            <w:tcW w:w="1432" w:type="dxa"/>
            <w:shd w:val="clear" w:color="auto" w:fill="D9D9D9"/>
            <w:noWrap/>
            <w:vAlign w:val="center"/>
            <w:hideMark/>
          </w:tcPr>
          <w:p w14:paraId="117EAD63"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Shear Modulus (kPa)</w:t>
            </w:r>
          </w:p>
        </w:tc>
        <w:tc>
          <w:tcPr>
            <w:tcW w:w="804" w:type="dxa"/>
            <w:shd w:val="clear" w:color="auto" w:fill="D9D9D9"/>
            <w:noWrap/>
            <w:vAlign w:val="center"/>
            <w:hideMark/>
          </w:tcPr>
          <w:p w14:paraId="43CE5E6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70.6</w:t>
            </w:r>
          </w:p>
        </w:tc>
        <w:tc>
          <w:tcPr>
            <w:tcW w:w="804" w:type="dxa"/>
            <w:shd w:val="clear" w:color="auto" w:fill="D9D9D9"/>
            <w:noWrap/>
            <w:vAlign w:val="center"/>
            <w:hideMark/>
          </w:tcPr>
          <w:p w14:paraId="5F0821B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6.3</w:t>
            </w:r>
          </w:p>
        </w:tc>
        <w:tc>
          <w:tcPr>
            <w:tcW w:w="805" w:type="dxa"/>
            <w:shd w:val="clear" w:color="auto" w:fill="D9D9D9"/>
            <w:noWrap/>
            <w:vAlign w:val="center"/>
            <w:hideMark/>
          </w:tcPr>
          <w:p w14:paraId="5601EE8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77.1</w:t>
            </w:r>
          </w:p>
        </w:tc>
        <w:tc>
          <w:tcPr>
            <w:tcW w:w="804" w:type="dxa"/>
            <w:shd w:val="clear" w:color="auto" w:fill="D9D9D9"/>
            <w:noWrap/>
            <w:vAlign w:val="center"/>
            <w:hideMark/>
          </w:tcPr>
          <w:p w14:paraId="232784D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6.2</w:t>
            </w:r>
          </w:p>
        </w:tc>
        <w:tc>
          <w:tcPr>
            <w:tcW w:w="804" w:type="dxa"/>
            <w:shd w:val="clear" w:color="auto" w:fill="D9D9D9"/>
            <w:noWrap/>
            <w:vAlign w:val="center"/>
            <w:hideMark/>
          </w:tcPr>
          <w:p w14:paraId="3E20B60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79.8</w:t>
            </w:r>
          </w:p>
        </w:tc>
        <w:tc>
          <w:tcPr>
            <w:tcW w:w="805" w:type="dxa"/>
            <w:shd w:val="clear" w:color="auto" w:fill="D9D9D9"/>
            <w:noWrap/>
            <w:vAlign w:val="center"/>
            <w:hideMark/>
          </w:tcPr>
          <w:p w14:paraId="07F3F6A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9.2</w:t>
            </w:r>
          </w:p>
        </w:tc>
        <w:tc>
          <w:tcPr>
            <w:tcW w:w="1288" w:type="dxa"/>
            <w:shd w:val="clear" w:color="auto" w:fill="D9D9D9"/>
            <w:noWrap/>
            <w:vAlign w:val="center"/>
            <w:hideMark/>
          </w:tcPr>
          <w:p w14:paraId="354AECF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0.427</w:t>
            </w:r>
          </w:p>
        </w:tc>
        <w:tc>
          <w:tcPr>
            <w:tcW w:w="1288" w:type="dxa"/>
            <w:shd w:val="clear" w:color="auto" w:fill="D9D9D9"/>
            <w:noWrap/>
            <w:vAlign w:val="center"/>
            <w:hideMark/>
          </w:tcPr>
          <w:p w14:paraId="1670A5D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0.391</w:t>
            </w:r>
          </w:p>
        </w:tc>
        <w:tc>
          <w:tcPr>
            <w:tcW w:w="1289" w:type="dxa"/>
            <w:shd w:val="clear" w:color="auto" w:fill="D9D9D9"/>
            <w:noWrap/>
            <w:vAlign w:val="center"/>
            <w:hideMark/>
          </w:tcPr>
          <w:p w14:paraId="7A968C68"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0.796</w:t>
            </w:r>
          </w:p>
        </w:tc>
      </w:tr>
      <w:tr w:rsidR="00574918" w:rsidRPr="00574918" w14:paraId="2617DA85" w14:textId="77777777" w:rsidTr="00C260F3">
        <w:trPr>
          <w:trHeight w:val="22"/>
        </w:trPr>
        <w:tc>
          <w:tcPr>
            <w:tcW w:w="1752" w:type="dxa"/>
            <w:vMerge/>
            <w:shd w:val="clear" w:color="auto" w:fill="D9D9D9"/>
            <w:noWrap/>
            <w:vAlign w:val="center"/>
            <w:hideMark/>
          </w:tcPr>
          <w:p w14:paraId="08FE27DB"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D9D9D9"/>
            <w:noWrap/>
            <w:vAlign w:val="center"/>
            <w:hideMark/>
          </w:tcPr>
          <w:p w14:paraId="194BB9A1"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Viscosity (Pa*sec)</w:t>
            </w:r>
          </w:p>
        </w:tc>
        <w:tc>
          <w:tcPr>
            <w:tcW w:w="804" w:type="dxa"/>
            <w:shd w:val="clear" w:color="auto" w:fill="D9D9D9"/>
            <w:noWrap/>
            <w:vAlign w:val="center"/>
            <w:hideMark/>
          </w:tcPr>
          <w:p w14:paraId="091D0A6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31.6</w:t>
            </w:r>
          </w:p>
        </w:tc>
        <w:tc>
          <w:tcPr>
            <w:tcW w:w="804" w:type="dxa"/>
            <w:shd w:val="clear" w:color="auto" w:fill="D9D9D9"/>
            <w:noWrap/>
            <w:vAlign w:val="center"/>
            <w:hideMark/>
          </w:tcPr>
          <w:p w14:paraId="3A245AF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2.4</w:t>
            </w:r>
          </w:p>
        </w:tc>
        <w:tc>
          <w:tcPr>
            <w:tcW w:w="805" w:type="dxa"/>
            <w:shd w:val="clear" w:color="auto" w:fill="D9D9D9"/>
            <w:noWrap/>
            <w:vAlign w:val="center"/>
            <w:hideMark/>
          </w:tcPr>
          <w:p w14:paraId="1FC1CDB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29.7</w:t>
            </w:r>
          </w:p>
        </w:tc>
        <w:tc>
          <w:tcPr>
            <w:tcW w:w="804" w:type="dxa"/>
            <w:shd w:val="clear" w:color="auto" w:fill="D9D9D9"/>
            <w:noWrap/>
            <w:vAlign w:val="center"/>
            <w:hideMark/>
          </w:tcPr>
          <w:p w14:paraId="68FE5446"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2.3</w:t>
            </w:r>
          </w:p>
        </w:tc>
        <w:tc>
          <w:tcPr>
            <w:tcW w:w="804" w:type="dxa"/>
            <w:shd w:val="clear" w:color="auto" w:fill="D9D9D9"/>
            <w:noWrap/>
            <w:vAlign w:val="center"/>
            <w:hideMark/>
          </w:tcPr>
          <w:p w14:paraId="7FF3FD5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33.0</w:t>
            </w:r>
          </w:p>
        </w:tc>
        <w:tc>
          <w:tcPr>
            <w:tcW w:w="805" w:type="dxa"/>
            <w:shd w:val="clear" w:color="auto" w:fill="D9D9D9"/>
            <w:noWrap/>
            <w:vAlign w:val="center"/>
            <w:hideMark/>
          </w:tcPr>
          <w:p w14:paraId="4E4B9CE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3.1</w:t>
            </w:r>
          </w:p>
        </w:tc>
        <w:tc>
          <w:tcPr>
            <w:tcW w:w="1288" w:type="dxa"/>
            <w:shd w:val="clear" w:color="auto" w:fill="D9D9D9"/>
            <w:noWrap/>
            <w:vAlign w:val="center"/>
            <w:hideMark/>
          </w:tcPr>
          <w:p w14:paraId="45CEDB6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0.396</w:t>
            </w:r>
          </w:p>
        </w:tc>
        <w:tc>
          <w:tcPr>
            <w:tcW w:w="1288" w:type="dxa"/>
            <w:shd w:val="clear" w:color="auto" w:fill="D9D9D9"/>
            <w:noWrap/>
            <w:vAlign w:val="center"/>
            <w:hideMark/>
          </w:tcPr>
          <w:p w14:paraId="2BC2D81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0.628</w:t>
            </w:r>
          </w:p>
        </w:tc>
        <w:tc>
          <w:tcPr>
            <w:tcW w:w="1289" w:type="dxa"/>
            <w:shd w:val="clear" w:color="auto" w:fill="D9D9D9"/>
            <w:noWrap/>
            <w:vAlign w:val="center"/>
            <w:hideMark/>
          </w:tcPr>
          <w:p w14:paraId="6CE847D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0.268</w:t>
            </w:r>
          </w:p>
        </w:tc>
      </w:tr>
      <w:tr w:rsidR="00574918" w:rsidRPr="00574918" w14:paraId="0EE5EC68" w14:textId="77777777" w:rsidTr="00C260F3">
        <w:trPr>
          <w:trHeight w:val="22"/>
        </w:trPr>
        <w:tc>
          <w:tcPr>
            <w:tcW w:w="1752" w:type="dxa"/>
            <w:vMerge w:val="restart"/>
            <w:shd w:val="clear" w:color="auto" w:fill="auto"/>
            <w:noWrap/>
            <w:vAlign w:val="center"/>
            <w:hideMark/>
          </w:tcPr>
          <w:p w14:paraId="7C26DFC7"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Lower Extremity Function</w:t>
            </w:r>
          </w:p>
        </w:tc>
        <w:tc>
          <w:tcPr>
            <w:tcW w:w="1432" w:type="dxa"/>
            <w:shd w:val="clear" w:color="auto" w:fill="auto"/>
            <w:noWrap/>
            <w:vAlign w:val="center"/>
            <w:hideMark/>
          </w:tcPr>
          <w:p w14:paraId="7A63CFB9"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CMJ Height (cm)</w:t>
            </w:r>
          </w:p>
        </w:tc>
        <w:tc>
          <w:tcPr>
            <w:tcW w:w="804" w:type="dxa"/>
            <w:shd w:val="clear" w:color="auto" w:fill="auto"/>
            <w:noWrap/>
            <w:vAlign w:val="center"/>
            <w:hideMark/>
          </w:tcPr>
          <w:p w14:paraId="6224E4E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12.1</w:t>
            </w:r>
          </w:p>
        </w:tc>
        <w:tc>
          <w:tcPr>
            <w:tcW w:w="804" w:type="dxa"/>
            <w:shd w:val="clear" w:color="auto" w:fill="auto"/>
            <w:noWrap/>
            <w:vAlign w:val="center"/>
            <w:hideMark/>
          </w:tcPr>
          <w:p w14:paraId="3C6ED6D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w:t>
            </w:r>
          </w:p>
        </w:tc>
        <w:tc>
          <w:tcPr>
            <w:tcW w:w="805" w:type="dxa"/>
            <w:shd w:val="clear" w:color="auto" w:fill="auto"/>
            <w:noWrap/>
            <w:vAlign w:val="center"/>
            <w:hideMark/>
          </w:tcPr>
          <w:p w14:paraId="03343320"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13.3</w:t>
            </w:r>
          </w:p>
        </w:tc>
        <w:tc>
          <w:tcPr>
            <w:tcW w:w="804" w:type="dxa"/>
            <w:shd w:val="clear" w:color="auto" w:fill="auto"/>
            <w:noWrap/>
            <w:vAlign w:val="center"/>
            <w:hideMark/>
          </w:tcPr>
          <w:p w14:paraId="0499F74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w:t>
            </w:r>
          </w:p>
        </w:tc>
        <w:tc>
          <w:tcPr>
            <w:tcW w:w="804" w:type="dxa"/>
            <w:shd w:val="clear" w:color="auto" w:fill="auto"/>
            <w:noWrap/>
            <w:vAlign w:val="center"/>
            <w:hideMark/>
          </w:tcPr>
          <w:p w14:paraId="21AFBEB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13.7</w:t>
            </w:r>
          </w:p>
        </w:tc>
        <w:tc>
          <w:tcPr>
            <w:tcW w:w="805" w:type="dxa"/>
            <w:shd w:val="clear" w:color="auto" w:fill="auto"/>
            <w:noWrap/>
            <w:vAlign w:val="center"/>
            <w:hideMark/>
          </w:tcPr>
          <w:p w14:paraId="6E34B9ED"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w:t>
            </w:r>
          </w:p>
        </w:tc>
        <w:tc>
          <w:tcPr>
            <w:tcW w:w="1288" w:type="dxa"/>
            <w:shd w:val="clear" w:color="auto" w:fill="auto"/>
            <w:noWrap/>
            <w:vAlign w:val="center"/>
            <w:hideMark/>
          </w:tcPr>
          <w:p w14:paraId="77CDBE48"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0.033</w:t>
            </w:r>
          </w:p>
        </w:tc>
        <w:tc>
          <w:tcPr>
            <w:tcW w:w="1288" w:type="dxa"/>
            <w:shd w:val="clear" w:color="auto" w:fill="auto"/>
            <w:noWrap/>
            <w:vAlign w:val="center"/>
            <w:hideMark/>
          </w:tcPr>
          <w:p w14:paraId="2B09B815" w14:textId="77777777" w:rsidR="00574918" w:rsidRPr="00574918" w:rsidRDefault="00574918" w:rsidP="00574918">
            <w:pPr>
              <w:spacing w:after="0" w:line="240" w:lineRule="auto"/>
              <w:jc w:val="center"/>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0.045</w:t>
            </w:r>
          </w:p>
        </w:tc>
        <w:tc>
          <w:tcPr>
            <w:tcW w:w="1289" w:type="dxa"/>
            <w:shd w:val="clear" w:color="auto" w:fill="auto"/>
            <w:noWrap/>
            <w:vAlign w:val="center"/>
            <w:hideMark/>
          </w:tcPr>
          <w:p w14:paraId="2EE7D51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0.620</w:t>
            </w:r>
          </w:p>
        </w:tc>
      </w:tr>
      <w:tr w:rsidR="00574918" w:rsidRPr="00574918" w14:paraId="793AEB26" w14:textId="77777777" w:rsidTr="00C260F3">
        <w:trPr>
          <w:trHeight w:val="22"/>
        </w:trPr>
        <w:tc>
          <w:tcPr>
            <w:tcW w:w="1752" w:type="dxa"/>
            <w:vMerge/>
            <w:shd w:val="clear" w:color="auto" w:fill="auto"/>
            <w:noWrap/>
            <w:vAlign w:val="center"/>
            <w:hideMark/>
          </w:tcPr>
          <w:p w14:paraId="25AB1598"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p>
        </w:tc>
        <w:tc>
          <w:tcPr>
            <w:tcW w:w="1432" w:type="dxa"/>
            <w:shd w:val="clear" w:color="auto" w:fill="auto"/>
            <w:noWrap/>
            <w:vAlign w:val="center"/>
            <w:hideMark/>
          </w:tcPr>
          <w:p w14:paraId="2F682A75"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Drop CMJ Height (cm)</w:t>
            </w:r>
          </w:p>
        </w:tc>
        <w:tc>
          <w:tcPr>
            <w:tcW w:w="804" w:type="dxa"/>
            <w:shd w:val="clear" w:color="auto" w:fill="auto"/>
            <w:noWrap/>
            <w:vAlign w:val="center"/>
            <w:hideMark/>
          </w:tcPr>
          <w:p w14:paraId="4A3193D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13.4</w:t>
            </w:r>
          </w:p>
        </w:tc>
        <w:tc>
          <w:tcPr>
            <w:tcW w:w="804" w:type="dxa"/>
            <w:shd w:val="clear" w:color="auto" w:fill="auto"/>
            <w:noWrap/>
            <w:vAlign w:val="center"/>
            <w:hideMark/>
          </w:tcPr>
          <w:p w14:paraId="6B02321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1.2</w:t>
            </w:r>
          </w:p>
        </w:tc>
        <w:tc>
          <w:tcPr>
            <w:tcW w:w="805" w:type="dxa"/>
            <w:shd w:val="clear" w:color="auto" w:fill="auto"/>
            <w:noWrap/>
            <w:vAlign w:val="center"/>
            <w:hideMark/>
          </w:tcPr>
          <w:p w14:paraId="4E488E05"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13.9</w:t>
            </w:r>
          </w:p>
        </w:tc>
        <w:tc>
          <w:tcPr>
            <w:tcW w:w="804" w:type="dxa"/>
            <w:shd w:val="clear" w:color="auto" w:fill="auto"/>
            <w:noWrap/>
            <w:vAlign w:val="center"/>
            <w:hideMark/>
          </w:tcPr>
          <w:p w14:paraId="507D44C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w:t>
            </w:r>
          </w:p>
        </w:tc>
        <w:tc>
          <w:tcPr>
            <w:tcW w:w="804" w:type="dxa"/>
            <w:shd w:val="clear" w:color="auto" w:fill="auto"/>
            <w:noWrap/>
            <w:vAlign w:val="center"/>
            <w:hideMark/>
          </w:tcPr>
          <w:p w14:paraId="70C4AD3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13.4</w:t>
            </w:r>
          </w:p>
        </w:tc>
        <w:tc>
          <w:tcPr>
            <w:tcW w:w="805" w:type="dxa"/>
            <w:shd w:val="clear" w:color="auto" w:fill="auto"/>
            <w:noWrap/>
            <w:vAlign w:val="center"/>
            <w:hideMark/>
          </w:tcPr>
          <w:p w14:paraId="4436A4F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1.4</w:t>
            </w:r>
          </w:p>
        </w:tc>
        <w:tc>
          <w:tcPr>
            <w:tcW w:w="1288" w:type="dxa"/>
            <w:shd w:val="clear" w:color="auto" w:fill="auto"/>
            <w:noWrap/>
            <w:vAlign w:val="center"/>
            <w:hideMark/>
          </w:tcPr>
          <w:p w14:paraId="7F62C32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0.423</w:t>
            </w:r>
          </w:p>
        </w:tc>
        <w:tc>
          <w:tcPr>
            <w:tcW w:w="1288" w:type="dxa"/>
            <w:shd w:val="clear" w:color="auto" w:fill="auto"/>
            <w:noWrap/>
            <w:vAlign w:val="center"/>
            <w:hideMark/>
          </w:tcPr>
          <w:p w14:paraId="0AE4ECC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0.953</w:t>
            </w:r>
          </w:p>
        </w:tc>
        <w:tc>
          <w:tcPr>
            <w:tcW w:w="1289" w:type="dxa"/>
            <w:shd w:val="clear" w:color="auto" w:fill="auto"/>
            <w:noWrap/>
            <w:vAlign w:val="center"/>
            <w:hideMark/>
          </w:tcPr>
          <w:p w14:paraId="0B5C913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0.588</w:t>
            </w:r>
          </w:p>
        </w:tc>
      </w:tr>
      <w:tr w:rsidR="00574918" w:rsidRPr="00574918" w14:paraId="35C9AD19" w14:textId="77777777" w:rsidTr="00C260F3">
        <w:trPr>
          <w:trHeight w:val="22"/>
        </w:trPr>
        <w:tc>
          <w:tcPr>
            <w:tcW w:w="1752" w:type="dxa"/>
            <w:vMerge w:val="restart"/>
            <w:shd w:val="clear" w:color="auto" w:fill="D9D9D9"/>
            <w:noWrap/>
            <w:vAlign w:val="center"/>
            <w:hideMark/>
          </w:tcPr>
          <w:p w14:paraId="645C15A7" w14:textId="77777777" w:rsidR="00574918" w:rsidRPr="00574918" w:rsidRDefault="00574918" w:rsidP="00574918">
            <w:pPr>
              <w:spacing w:after="0" w:line="240" w:lineRule="auto"/>
              <w:rPr>
                <w:rFonts w:ascii="Times New Roman" w:eastAsia="Times New Roman" w:hAnsi="Times New Roman" w:cs="Times New Roman"/>
                <w:b/>
                <w:color w:val="000000"/>
                <w:sz w:val="20"/>
                <w:szCs w:val="20"/>
              </w:rPr>
            </w:pPr>
            <w:r w:rsidRPr="00574918">
              <w:rPr>
                <w:rFonts w:ascii="Times New Roman" w:eastAsia="Times New Roman" w:hAnsi="Times New Roman" w:cs="Times New Roman"/>
                <w:b/>
                <w:color w:val="000000"/>
                <w:sz w:val="20"/>
                <w:szCs w:val="20"/>
              </w:rPr>
              <w:t>Quadriceps Muscle Performance</w:t>
            </w:r>
          </w:p>
        </w:tc>
        <w:tc>
          <w:tcPr>
            <w:tcW w:w="1432" w:type="dxa"/>
            <w:shd w:val="clear" w:color="auto" w:fill="D9D9D9"/>
            <w:noWrap/>
            <w:vAlign w:val="center"/>
            <w:hideMark/>
          </w:tcPr>
          <w:p w14:paraId="3BB78375"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MVIC (N)</w:t>
            </w:r>
          </w:p>
        </w:tc>
        <w:tc>
          <w:tcPr>
            <w:tcW w:w="804" w:type="dxa"/>
            <w:shd w:val="clear" w:color="auto" w:fill="D9D9D9"/>
            <w:noWrap/>
            <w:vAlign w:val="center"/>
            <w:hideMark/>
          </w:tcPr>
          <w:p w14:paraId="0A3AE68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860.9</w:t>
            </w:r>
          </w:p>
        </w:tc>
        <w:tc>
          <w:tcPr>
            <w:tcW w:w="804" w:type="dxa"/>
            <w:shd w:val="clear" w:color="auto" w:fill="D9D9D9"/>
            <w:noWrap/>
            <w:vAlign w:val="center"/>
            <w:hideMark/>
          </w:tcPr>
          <w:p w14:paraId="10AAF71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56.7</w:t>
            </w:r>
          </w:p>
        </w:tc>
        <w:tc>
          <w:tcPr>
            <w:tcW w:w="805" w:type="dxa"/>
            <w:shd w:val="clear" w:color="auto" w:fill="D9D9D9"/>
            <w:noWrap/>
            <w:vAlign w:val="center"/>
            <w:hideMark/>
          </w:tcPr>
          <w:p w14:paraId="09D6786A"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995.9</w:t>
            </w:r>
          </w:p>
        </w:tc>
        <w:tc>
          <w:tcPr>
            <w:tcW w:w="804" w:type="dxa"/>
            <w:shd w:val="clear" w:color="auto" w:fill="D9D9D9"/>
            <w:noWrap/>
            <w:vAlign w:val="center"/>
            <w:hideMark/>
          </w:tcPr>
          <w:p w14:paraId="03D6376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60.0</w:t>
            </w:r>
          </w:p>
        </w:tc>
        <w:tc>
          <w:tcPr>
            <w:tcW w:w="804" w:type="dxa"/>
            <w:shd w:val="clear" w:color="auto" w:fill="D9D9D9"/>
            <w:noWrap/>
            <w:vAlign w:val="center"/>
            <w:hideMark/>
          </w:tcPr>
          <w:p w14:paraId="4C191DEC"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1053.4</w:t>
            </w:r>
          </w:p>
        </w:tc>
        <w:tc>
          <w:tcPr>
            <w:tcW w:w="805" w:type="dxa"/>
            <w:shd w:val="clear" w:color="auto" w:fill="D9D9D9"/>
            <w:noWrap/>
            <w:vAlign w:val="center"/>
            <w:hideMark/>
          </w:tcPr>
          <w:p w14:paraId="7A9DD1F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85.6</w:t>
            </w:r>
          </w:p>
        </w:tc>
        <w:tc>
          <w:tcPr>
            <w:tcW w:w="1288" w:type="dxa"/>
            <w:shd w:val="clear" w:color="auto" w:fill="D9D9D9"/>
            <w:noWrap/>
            <w:vAlign w:val="center"/>
            <w:hideMark/>
          </w:tcPr>
          <w:p w14:paraId="138C7B13"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0.138</w:t>
            </w:r>
          </w:p>
        </w:tc>
        <w:tc>
          <w:tcPr>
            <w:tcW w:w="1288" w:type="dxa"/>
            <w:shd w:val="clear" w:color="auto" w:fill="D9D9D9"/>
            <w:noWrap/>
            <w:vAlign w:val="center"/>
            <w:hideMark/>
          </w:tcPr>
          <w:p w14:paraId="0F5A3E14"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0.082</w:t>
            </w:r>
          </w:p>
        </w:tc>
        <w:tc>
          <w:tcPr>
            <w:tcW w:w="1289" w:type="dxa"/>
            <w:shd w:val="clear" w:color="auto" w:fill="D9D9D9"/>
            <w:noWrap/>
            <w:vAlign w:val="center"/>
            <w:hideMark/>
          </w:tcPr>
          <w:p w14:paraId="140C454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0.601</w:t>
            </w:r>
          </w:p>
        </w:tc>
      </w:tr>
      <w:tr w:rsidR="00574918" w:rsidRPr="00574918" w14:paraId="7829BF2A" w14:textId="77777777" w:rsidTr="00C260F3">
        <w:trPr>
          <w:trHeight w:val="300"/>
        </w:trPr>
        <w:tc>
          <w:tcPr>
            <w:tcW w:w="1752" w:type="dxa"/>
            <w:vMerge/>
            <w:tcBorders>
              <w:bottom w:val="single" w:sz="4" w:space="0" w:color="auto"/>
            </w:tcBorders>
            <w:shd w:val="clear" w:color="auto" w:fill="D9D9D9"/>
            <w:noWrap/>
            <w:vAlign w:val="center"/>
            <w:hideMark/>
          </w:tcPr>
          <w:p w14:paraId="150273CC"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p>
        </w:tc>
        <w:tc>
          <w:tcPr>
            <w:tcW w:w="1432" w:type="dxa"/>
            <w:tcBorders>
              <w:bottom w:val="single" w:sz="4" w:space="0" w:color="auto"/>
            </w:tcBorders>
            <w:shd w:val="clear" w:color="auto" w:fill="D9D9D9"/>
            <w:noWrap/>
            <w:vAlign w:val="center"/>
            <w:hideMark/>
          </w:tcPr>
          <w:p w14:paraId="1A21192D" w14:textId="77777777" w:rsidR="00574918" w:rsidRPr="00574918" w:rsidRDefault="00574918" w:rsidP="00574918">
            <w:pPr>
              <w:spacing w:after="0" w:line="240" w:lineRule="auto"/>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CAR (%)</w:t>
            </w:r>
          </w:p>
        </w:tc>
        <w:tc>
          <w:tcPr>
            <w:tcW w:w="804" w:type="dxa"/>
            <w:tcBorders>
              <w:bottom w:val="single" w:sz="4" w:space="0" w:color="auto"/>
            </w:tcBorders>
            <w:shd w:val="clear" w:color="auto" w:fill="D9D9D9"/>
            <w:noWrap/>
            <w:vAlign w:val="center"/>
            <w:hideMark/>
          </w:tcPr>
          <w:p w14:paraId="02CF927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80.6</w:t>
            </w:r>
          </w:p>
        </w:tc>
        <w:tc>
          <w:tcPr>
            <w:tcW w:w="804" w:type="dxa"/>
            <w:tcBorders>
              <w:bottom w:val="single" w:sz="4" w:space="0" w:color="auto"/>
            </w:tcBorders>
            <w:shd w:val="clear" w:color="auto" w:fill="D9D9D9"/>
            <w:noWrap/>
            <w:vAlign w:val="center"/>
            <w:hideMark/>
          </w:tcPr>
          <w:p w14:paraId="7031AA47"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3.3</w:t>
            </w:r>
          </w:p>
        </w:tc>
        <w:tc>
          <w:tcPr>
            <w:tcW w:w="805" w:type="dxa"/>
            <w:tcBorders>
              <w:bottom w:val="single" w:sz="4" w:space="0" w:color="auto"/>
            </w:tcBorders>
            <w:shd w:val="clear" w:color="auto" w:fill="D9D9D9"/>
            <w:noWrap/>
            <w:vAlign w:val="center"/>
            <w:hideMark/>
          </w:tcPr>
          <w:p w14:paraId="3C5E4C99"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84.1</w:t>
            </w:r>
          </w:p>
        </w:tc>
        <w:tc>
          <w:tcPr>
            <w:tcW w:w="804" w:type="dxa"/>
            <w:tcBorders>
              <w:bottom w:val="single" w:sz="4" w:space="0" w:color="auto"/>
            </w:tcBorders>
            <w:shd w:val="clear" w:color="auto" w:fill="D9D9D9"/>
            <w:noWrap/>
            <w:vAlign w:val="center"/>
            <w:hideMark/>
          </w:tcPr>
          <w:p w14:paraId="08AD5C3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3.8</w:t>
            </w:r>
          </w:p>
        </w:tc>
        <w:tc>
          <w:tcPr>
            <w:tcW w:w="804" w:type="dxa"/>
            <w:tcBorders>
              <w:bottom w:val="single" w:sz="4" w:space="0" w:color="auto"/>
            </w:tcBorders>
            <w:shd w:val="clear" w:color="auto" w:fill="D9D9D9"/>
            <w:noWrap/>
            <w:vAlign w:val="center"/>
            <w:hideMark/>
          </w:tcPr>
          <w:p w14:paraId="7DB8045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90.7</w:t>
            </w:r>
          </w:p>
        </w:tc>
        <w:tc>
          <w:tcPr>
            <w:tcW w:w="805" w:type="dxa"/>
            <w:tcBorders>
              <w:bottom w:val="single" w:sz="4" w:space="0" w:color="auto"/>
            </w:tcBorders>
            <w:shd w:val="clear" w:color="auto" w:fill="D9D9D9"/>
            <w:noWrap/>
            <w:vAlign w:val="center"/>
            <w:hideMark/>
          </w:tcPr>
          <w:p w14:paraId="178AA32B"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4.9</w:t>
            </w:r>
          </w:p>
        </w:tc>
        <w:tc>
          <w:tcPr>
            <w:tcW w:w="1288" w:type="dxa"/>
            <w:tcBorders>
              <w:bottom w:val="single" w:sz="4" w:space="0" w:color="auto"/>
            </w:tcBorders>
            <w:shd w:val="clear" w:color="auto" w:fill="D9D9D9"/>
            <w:noWrap/>
            <w:vAlign w:val="center"/>
            <w:hideMark/>
          </w:tcPr>
          <w:p w14:paraId="3CA27952"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0.440</w:t>
            </w:r>
          </w:p>
        </w:tc>
        <w:tc>
          <w:tcPr>
            <w:tcW w:w="1288" w:type="dxa"/>
            <w:tcBorders>
              <w:bottom w:val="single" w:sz="4" w:space="0" w:color="auto"/>
            </w:tcBorders>
            <w:shd w:val="clear" w:color="auto" w:fill="D9D9D9"/>
            <w:noWrap/>
            <w:vAlign w:val="center"/>
            <w:hideMark/>
          </w:tcPr>
          <w:p w14:paraId="40150A51"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0.076</w:t>
            </w:r>
          </w:p>
        </w:tc>
        <w:tc>
          <w:tcPr>
            <w:tcW w:w="1289" w:type="dxa"/>
            <w:tcBorders>
              <w:bottom w:val="single" w:sz="4" w:space="0" w:color="auto"/>
            </w:tcBorders>
            <w:shd w:val="clear" w:color="auto" w:fill="D9D9D9"/>
            <w:noWrap/>
            <w:vAlign w:val="center"/>
            <w:hideMark/>
          </w:tcPr>
          <w:p w14:paraId="0239A2DE" w14:textId="77777777" w:rsidR="00574918" w:rsidRPr="00574918" w:rsidRDefault="00574918" w:rsidP="00574918">
            <w:pPr>
              <w:spacing w:after="0" w:line="240" w:lineRule="auto"/>
              <w:jc w:val="center"/>
              <w:rPr>
                <w:rFonts w:ascii="Times New Roman" w:eastAsia="Times New Roman" w:hAnsi="Times New Roman" w:cs="Times New Roman"/>
                <w:color w:val="000000"/>
                <w:sz w:val="20"/>
                <w:szCs w:val="20"/>
              </w:rPr>
            </w:pPr>
            <w:r w:rsidRPr="00574918">
              <w:rPr>
                <w:rFonts w:ascii="Times New Roman" w:eastAsia="Times New Roman" w:hAnsi="Times New Roman" w:cs="Times New Roman"/>
                <w:color w:val="000000"/>
                <w:sz w:val="20"/>
                <w:szCs w:val="20"/>
              </w:rPr>
              <w:t>0.250</w:t>
            </w:r>
          </w:p>
        </w:tc>
      </w:tr>
    </w:tbl>
    <w:p w14:paraId="7497A804" w14:textId="26D0A821" w:rsidR="00574918" w:rsidRPr="00574918" w:rsidRDefault="00574918" w:rsidP="00574918">
      <w:pPr>
        <w:keepLines/>
        <w:spacing w:after="0" w:line="480" w:lineRule="auto"/>
        <w:rPr>
          <w:rFonts w:ascii="Times New Roman" w:eastAsia="Times New Roman" w:hAnsi="Times New Roman" w:cs="Times New Roman"/>
          <w:sz w:val="24"/>
          <w:szCs w:val="24"/>
        </w:rPr>
        <w:sectPr w:rsidR="00574918" w:rsidRPr="00574918" w:rsidSect="00A16F6D">
          <w:endnotePr>
            <w:numFmt w:val="decimal"/>
          </w:endnotePr>
          <w:pgSz w:w="15840" w:h="12240" w:orient="landscape"/>
          <w:pgMar w:top="2304" w:right="1627" w:bottom="1584" w:left="2246" w:header="1152" w:footer="1152" w:gutter="0"/>
          <w:cols w:space="720"/>
          <w:docGrid w:linePitch="326"/>
        </w:sectPr>
      </w:pPr>
      <w:r w:rsidRPr="00574918">
        <w:rPr>
          <w:rFonts w:ascii="Times New Roman" w:eastAsia="Times New Roman" w:hAnsi="Times New Roman" w:cs="Times New Roman"/>
          <w:sz w:val="24"/>
          <w:szCs w:val="24"/>
        </w:rPr>
        <w:t>CSA = cross-sectional area; CMJ = counter-movement jump; MVIC = maximal voluntary isometric contraction; CAR = central activation rati</w:t>
      </w:r>
      <w:r w:rsidR="00AB2CB6">
        <w:rPr>
          <w:rFonts w:ascii="Times New Roman" w:eastAsia="Times New Roman" w:hAnsi="Times New Roman" w:cs="Times New Roman"/>
          <w:sz w:val="24"/>
          <w:szCs w:val="24"/>
        </w:rPr>
        <w:t>o</w:t>
      </w:r>
    </w:p>
    <w:bookmarkEnd w:id="7"/>
    <w:p w14:paraId="791598A9" w14:textId="62AE794C" w:rsidR="00574918" w:rsidRDefault="00AB2CB6" w:rsidP="00D5146C">
      <w:pPr>
        <w:rPr>
          <w:rFonts w:ascii="Times New Roman" w:hAnsi="Times New Roman" w:cs="Times New Roman"/>
          <w:b/>
          <w:sz w:val="24"/>
          <w:szCs w:val="24"/>
        </w:rPr>
      </w:pPr>
      <w:r w:rsidRPr="00AB2CB6">
        <w:rPr>
          <w:rFonts w:ascii="Times New Roman" w:hAnsi="Times New Roman" w:cs="Times New Roman"/>
          <w:b/>
          <w:sz w:val="24"/>
          <w:szCs w:val="24"/>
        </w:rPr>
        <w:lastRenderedPageBreak/>
        <w:t>References:</w:t>
      </w:r>
    </w:p>
    <w:p w14:paraId="577B8DC0" w14:textId="15AF5B69" w:rsidR="004E6AAA" w:rsidRPr="004E6AAA" w:rsidRDefault="004E6AAA" w:rsidP="004E6AAA">
      <w:pPr>
        <w:widowControl w:val="0"/>
        <w:autoSpaceDE w:val="0"/>
        <w:autoSpaceDN w:val="0"/>
        <w:adjustRightInd w:val="0"/>
        <w:spacing w:line="240" w:lineRule="auto"/>
        <w:ind w:left="640" w:hanging="640"/>
        <w:rPr>
          <w:rFonts w:ascii="Times New Roman" w:hAnsi="Times New Roman" w:cs="Times New Roman"/>
          <w:noProof/>
          <w:sz w:val="24"/>
          <w:szCs w:val="24"/>
        </w:rPr>
      </w:pPr>
      <w:r>
        <w:rPr>
          <w:rFonts w:ascii="Times New Roman" w:hAnsi="Times New Roman" w:cs="Times New Roman"/>
          <w:bCs/>
          <w:sz w:val="24"/>
          <w:szCs w:val="24"/>
        </w:rPr>
        <w:fldChar w:fldCharType="begin" w:fldLock="1"/>
      </w:r>
      <w:r>
        <w:rPr>
          <w:rFonts w:ascii="Times New Roman" w:hAnsi="Times New Roman" w:cs="Times New Roman"/>
          <w:bCs/>
          <w:sz w:val="24"/>
          <w:szCs w:val="24"/>
        </w:rPr>
        <w:instrText xml:space="preserve">ADDIN Mendeley Bibliography CSL_BIBLIOGRAPHY </w:instrText>
      </w:r>
      <w:r>
        <w:rPr>
          <w:rFonts w:ascii="Times New Roman" w:hAnsi="Times New Roman" w:cs="Times New Roman"/>
          <w:bCs/>
          <w:sz w:val="24"/>
          <w:szCs w:val="24"/>
        </w:rPr>
        <w:fldChar w:fldCharType="separate"/>
      </w:r>
      <w:r w:rsidRPr="004E6AAA">
        <w:rPr>
          <w:rFonts w:ascii="Times New Roman" w:hAnsi="Times New Roman" w:cs="Times New Roman"/>
          <w:noProof/>
          <w:sz w:val="24"/>
          <w:szCs w:val="24"/>
        </w:rPr>
        <w:t xml:space="preserve">1. </w:t>
      </w:r>
      <w:r w:rsidRPr="004E6AAA">
        <w:rPr>
          <w:rFonts w:ascii="Times New Roman" w:hAnsi="Times New Roman" w:cs="Times New Roman"/>
          <w:noProof/>
          <w:sz w:val="24"/>
          <w:szCs w:val="24"/>
        </w:rPr>
        <w:tab/>
        <w:t xml:space="preserve">Hernandez-Sanchez S, Hidalgo MD, Gomez  a. Responsiveness of the VISA-P scale for patellar tendinopathy in athletes. Br J Sports Med. 2012 Mar;3(6):453–7. </w:t>
      </w:r>
    </w:p>
    <w:p w14:paraId="39F9E9D3" w14:textId="77777777" w:rsidR="004E6AAA" w:rsidRPr="004E6AAA" w:rsidRDefault="004E6AAA" w:rsidP="004E6AAA">
      <w:pPr>
        <w:widowControl w:val="0"/>
        <w:autoSpaceDE w:val="0"/>
        <w:autoSpaceDN w:val="0"/>
        <w:adjustRightInd w:val="0"/>
        <w:spacing w:line="240" w:lineRule="auto"/>
        <w:ind w:left="640" w:hanging="640"/>
        <w:rPr>
          <w:rFonts w:ascii="Times New Roman" w:hAnsi="Times New Roman" w:cs="Times New Roman"/>
          <w:noProof/>
          <w:sz w:val="24"/>
          <w:szCs w:val="24"/>
        </w:rPr>
      </w:pPr>
      <w:r w:rsidRPr="004E6AAA">
        <w:rPr>
          <w:rFonts w:ascii="Times New Roman" w:hAnsi="Times New Roman" w:cs="Times New Roman"/>
          <w:noProof/>
          <w:sz w:val="24"/>
          <w:szCs w:val="24"/>
        </w:rPr>
        <w:t xml:space="preserve">2. </w:t>
      </w:r>
      <w:r w:rsidRPr="004E6AAA">
        <w:rPr>
          <w:rFonts w:ascii="Times New Roman" w:hAnsi="Times New Roman" w:cs="Times New Roman"/>
          <w:noProof/>
          <w:sz w:val="24"/>
          <w:szCs w:val="24"/>
        </w:rPr>
        <w:tab/>
        <w:t xml:space="preserve">Lundberg M. Kinesiophobia - Various Aspects of Moving with Musculoskeletal Pain. Göteborg University; 2006. </w:t>
      </w:r>
    </w:p>
    <w:p w14:paraId="438C0CC8" w14:textId="77777777" w:rsidR="004E6AAA" w:rsidRPr="004E6AAA" w:rsidRDefault="004E6AAA" w:rsidP="004E6AAA">
      <w:pPr>
        <w:widowControl w:val="0"/>
        <w:autoSpaceDE w:val="0"/>
        <w:autoSpaceDN w:val="0"/>
        <w:adjustRightInd w:val="0"/>
        <w:spacing w:line="240" w:lineRule="auto"/>
        <w:ind w:left="640" w:hanging="640"/>
        <w:rPr>
          <w:rFonts w:ascii="Times New Roman" w:hAnsi="Times New Roman" w:cs="Times New Roman"/>
          <w:noProof/>
          <w:sz w:val="24"/>
          <w:szCs w:val="24"/>
        </w:rPr>
      </w:pPr>
      <w:r w:rsidRPr="004E6AAA">
        <w:rPr>
          <w:rFonts w:ascii="Times New Roman" w:hAnsi="Times New Roman" w:cs="Times New Roman"/>
          <w:noProof/>
          <w:sz w:val="24"/>
          <w:szCs w:val="24"/>
        </w:rPr>
        <w:t xml:space="preserve">3. </w:t>
      </w:r>
      <w:r w:rsidRPr="004E6AAA">
        <w:rPr>
          <w:rFonts w:ascii="Times New Roman" w:hAnsi="Times New Roman" w:cs="Times New Roman"/>
          <w:noProof/>
          <w:sz w:val="24"/>
          <w:szCs w:val="24"/>
        </w:rPr>
        <w:tab/>
        <w:t>Ostelo RWJG, Swinkels-Meewisse IJCM, Knol DL, Vlaeyen JWS, de Vet HCW. Assessing pain and pain-related fear in acute low back pain: what is the smallest detectable change? Int J Behav Med [Internet]. 2007;14(4):242–8. Available from: http://www.ncbi.nlm.nih.gov/pubmed/18001240</w:t>
      </w:r>
    </w:p>
    <w:p w14:paraId="6ED33948" w14:textId="77777777" w:rsidR="004E6AAA" w:rsidRPr="004E6AAA" w:rsidRDefault="004E6AAA" w:rsidP="004E6AAA">
      <w:pPr>
        <w:widowControl w:val="0"/>
        <w:autoSpaceDE w:val="0"/>
        <w:autoSpaceDN w:val="0"/>
        <w:adjustRightInd w:val="0"/>
        <w:spacing w:line="240" w:lineRule="auto"/>
        <w:ind w:left="640" w:hanging="640"/>
        <w:rPr>
          <w:rFonts w:ascii="Times New Roman" w:hAnsi="Times New Roman" w:cs="Times New Roman"/>
          <w:noProof/>
          <w:sz w:val="24"/>
          <w:szCs w:val="24"/>
        </w:rPr>
      </w:pPr>
      <w:r w:rsidRPr="004E6AAA">
        <w:rPr>
          <w:rFonts w:ascii="Times New Roman" w:hAnsi="Times New Roman" w:cs="Times New Roman"/>
          <w:noProof/>
          <w:sz w:val="24"/>
          <w:szCs w:val="24"/>
        </w:rPr>
        <w:t xml:space="preserve">4. </w:t>
      </w:r>
      <w:r w:rsidRPr="004E6AAA">
        <w:rPr>
          <w:rFonts w:ascii="Times New Roman" w:hAnsi="Times New Roman" w:cs="Times New Roman"/>
          <w:noProof/>
          <w:sz w:val="24"/>
          <w:szCs w:val="24"/>
        </w:rPr>
        <w:tab/>
        <w:t>Ruwaard J, Lange A, Schrieken B, Dolan C V., Emmelkamp P. The effectiveness of online cognitive behavioral treatment in routine clinical practice. PLoS One [Internet]. 2012;7(7):e40089. Available from: http://www.ncbi.nlm.nih.gov/pubmed/22792217</w:t>
      </w:r>
    </w:p>
    <w:p w14:paraId="38497D30" w14:textId="77777777" w:rsidR="004E6AAA" w:rsidRPr="004E6AAA" w:rsidRDefault="004E6AAA" w:rsidP="004E6AAA">
      <w:pPr>
        <w:widowControl w:val="0"/>
        <w:autoSpaceDE w:val="0"/>
        <w:autoSpaceDN w:val="0"/>
        <w:adjustRightInd w:val="0"/>
        <w:spacing w:line="240" w:lineRule="auto"/>
        <w:ind w:left="640" w:hanging="640"/>
        <w:rPr>
          <w:rFonts w:ascii="Times New Roman" w:hAnsi="Times New Roman" w:cs="Times New Roman"/>
          <w:noProof/>
          <w:sz w:val="24"/>
          <w:szCs w:val="24"/>
        </w:rPr>
      </w:pPr>
      <w:r w:rsidRPr="004E6AAA">
        <w:rPr>
          <w:rFonts w:ascii="Times New Roman" w:hAnsi="Times New Roman" w:cs="Times New Roman"/>
          <w:noProof/>
          <w:sz w:val="24"/>
          <w:szCs w:val="24"/>
        </w:rPr>
        <w:t xml:space="preserve">5. </w:t>
      </w:r>
      <w:r w:rsidRPr="004E6AAA">
        <w:rPr>
          <w:rFonts w:ascii="Times New Roman" w:hAnsi="Times New Roman" w:cs="Times New Roman"/>
          <w:noProof/>
          <w:sz w:val="24"/>
          <w:szCs w:val="24"/>
        </w:rPr>
        <w:tab/>
        <w:t>Del Baño-Aledo ME, Martínez-Payá JJ, Ríos-Díaz J, Mejías-Suárez S, Serrano-Carmona S, de Groot-Ferrando A. Ultrasound measures of tendon thickness: Intra-rater, Inter-rater and Inter-machine reliability. Muscles Ligaments Tendons J [Internet]. 2015;7(1):192–9. Available from: http://www.ncbi.nlm.nih.gov/pubmed/28717629</w:t>
      </w:r>
    </w:p>
    <w:p w14:paraId="765461FE" w14:textId="77777777" w:rsidR="004E6AAA" w:rsidRPr="004E6AAA" w:rsidRDefault="004E6AAA" w:rsidP="004E6AAA">
      <w:pPr>
        <w:widowControl w:val="0"/>
        <w:autoSpaceDE w:val="0"/>
        <w:autoSpaceDN w:val="0"/>
        <w:adjustRightInd w:val="0"/>
        <w:spacing w:line="240" w:lineRule="auto"/>
        <w:ind w:left="640" w:hanging="640"/>
        <w:rPr>
          <w:rFonts w:ascii="Times New Roman" w:hAnsi="Times New Roman" w:cs="Times New Roman"/>
          <w:noProof/>
          <w:sz w:val="24"/>
          <w:szCs w:val="24"/>
        </w:rPr>
      </w:pPr>
      <w:r w:rsidRPr="004E6AAA">
        <w:rPr>
          <w:rFonts w:ascii="Times New Roman" w:hAnsi="Times New Roman" w:cs="Times New Roman"/>
          <w:noProof/>
          <w:sz w:val="24"/>
          <w:szCs w:val="24"/>
        </w:rPr>
        <w:t xml:space="preserve">6. </w:t>
      </w:r>
      <w:r w:rsidRPr="004E6AAA">
        <w:rPr>
          <w:rFonts w:ascii="Times New Roman" w:hAnsi="Times New Roman" w:cs="Times New Roman"/>
          <w:noProof/>
          <w:sz w:val="24"/>
          <w:szCs w:val="24"/>
        </w:rPr>
        <w:tab/>
        <w:t>Silbernagel KG, Gustavsson A, Thomeé R, Karlsson J. Evaluation of lower leg function in patients with Achilles tendinopathy. Knee Surgery, Sport Traumatol Arthrosc [Internet]. 2006 Nov 3;14(11):1207–17. Available from: http://link.springer.com/10.1007/s00167-006-0150-6</w:t>
      </w:r>
    </w:p>
    <w:p w14:paraId="1E403906" w14:textId="77777777" w:rsidR="004E6AAA" w:rsidRPr="004E6AAA" w:rsidRDefault="004E6AAA" w:rsidP="004E6AAA">
      <w:pPr>
        <w:widowControl w:val="0"/>
        <w:autoSpaceDE w:val="0"/>
        <w:autoSpaceDN w:val="0"/>
        <w:adjustRightInd w:val="0"/>
        <w:spacing w:line="240" w:lineRule="auto"/>
        <w:ind w:left="640" w:hanging="640"/>
        <w:rPr>
          <w:rFonts w:ascii="Times New Roman" w:hAnsi="Times New Roman" w:cs="Times New Roman"/>
          <w:noProof/>
          <w:sz w:val="24"/>
          <w:szCs w:val="24"/>
        </w:rPr>
      </w:pPr>
      <w:r w:rsidRPr="004E6AAA">
        <w:rPr>
          <w:rFonts w:ascii="Times New Roman" w:hAnsi="Times New Roman" w:cs="Times New Roman"/>
          <w:noProof/>
          <w:sz w:val="24"/>
          <w:szCs w:val="24"/>
        </w:rPr>
        <w:t xml:space="preserve">7. </w:t>
      </w:r>
      <w:r w:rsidRPr="004E6AAA">
        <w:rPr>
          <w:rFonts w:ascii="Times New Roman" w:hAnsi="Times New Roman" w:cs="Times New Roman"/>
          <w:noProof/>
          <w:sz w:val="24"/>
          <w:szCs w:val="24"/>
        </w:rPr>
        <w:tab/>
        <w:t xml:space="preserve">Mentiplay BF, Perraton LG, Bower KJ, Adair B, Pua YH, Williams GP, et al. Assessment of lower limb muscle strength and power using hand-held and fixed dynamometry: A reliability and validity study. PLoS One. 2015;10(10):1–18. </w:t>
      </w:r>
    </w:p>
    <w:p w14:paraId="20D85673" w14:textId="77777777" w:rsidR="004E6AAA" w:rsidRPr="004E6AAA" w:rsidRDefault="004E6AAA" w:rsidP="004E6AAA">
      <w:pPr>
        <w:widowControl w:val="0"/>
        <w:autoSpaceDE w:val="0"/>
        <w:autoSpaceDN w:val="0"/>
        <w:adjustRightInd w:val="0"/>
        <w:spacing w:line="240" w:lineRule="auto"/>
        <w:ind w:left="640" w:hanging="640"/>
        <w:rPr>
          <w:rFonts w:ascii="Times New Roman" w:hAnsi="Times New Roman" w:cs="Times New Roman"/>
          <w:noProof/>
          <w:sz w:val="24"/>
        </w:rPr>
      </w:pPr>
      <w:r w:rsidRPr="004E6AAA">
        <w:rPr>
          <w:rFonts w:ascii="Times New Roman" w:hAnsi="Times New Roman" w:cs="Times New Roman"/>
          <w:noProof/>
          <w:sz w:val="24"/>
          <w:szCs w:val="24"/>
        </w:rPr>
        <w:t xml:space="preserve">8. </w:t>
      </w:r>
      <w:r w:rsidRPr="004E6AAA">
        <w:rPr>
          <w:rFonts w:ascii="Times New Roman" w:hAnsi="Times New Roman" w:cs="Times New Roman"/>
          <w:noProof/>
          <w:sz w:val="24"/>
          <w:szCs w:val="24"/>
        </w:rPr>
        <w:tab/>
        <w:t xml:space="preserve">Norte GE, Frye JL, Hart JM. Reliability of the superimposed-burst technique in patients with patellofemoral pain: A technical report. J Athl Train. 2015;50(11):1207–11. </w:t>
      </w:r>
    </w:p>
    <w:p w14:paraId="5A703EBC" w14:textId="4D44AF5F" w:rsidR="00AB2CB6" w:rsidRPr="00AB2CB6" w:rsidRDefault="004E6AAA" w:rsidP="00D5146C">
      <w:pPr>
        <w:rPr>
          <w:rFonts w:ascii="Times New Roman" w:hAnsi="Times New Roman" w:cs="Times New Roman"/>
          <w:bCs/>
          <w:sz w:val="24"/>
          <w:szCs w:val="24"/>
        </w:rPr>
      </w:pPr>
      <w:r>
        <w:rPr>
          <w:rFonts w:ascii="Times New Roman" w:hAnsi="Times New Roman" w:cs="Times New Roman"/>
          <w:bCs/>
          <w:sz w:val="24"/>
          <w:szCs w:val="24"/>
        </w:rPr>
        <w:fldChar w:fldCharType="end"/>
      </w:r>
    </w:p>
    <w:sectPr w:rsidR="00AB2CB6" w:rsidRPr="00AB2C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E54FCE"/>
    <w:multiLevelType w:val="multilevel"/>
    <w:tmpl w:val="3782BF92"/>
    <w:styleLink w:val="Tables"/>
    <w:lvl w:ilvl="0">
      <w:start w:val="1"/>
      <w:numFmt w:val="none"/>
      <w:pStyle w:val="Table-caption"/>
      <w:suff w:val="nothing"/>
      <w:lvlText w:val="Table "/>
      <w:lvlJc w:val="left"/>
      <w:pPr>
        <w:ind w:left="0" w:firstLine="0"/>
      </w:pPr>
      <w:rPr>
        <w:rFonts w:hint="default"/>
      </w:rPr>
    </w:lvl>
    <w:lvl w:ilvl="1">
      <w:start w:val="1"/>
      <w:numFmt w:val="lowerLetter"/>
      <w:lvlText w:val="%2)"/>
      <w:lvlJc w:val="left"/>
      <w:pPr>
        <w:tabs>
          <w:tab w:val="num" w:pos="360"/>
        </w:tabs>
        <w:ind w:left="720" w:hanging="360"/>
      </w:pPr>
      <w:rPr>
        <w:rFonts w:hint="default"/>
      </w:rPr>
    </w:lvl>
    <w:lvl w:ilvl="2">
      <w:start w:val="1"/>
      <w:numFmt w:val="lowerRoman"/>
      <w:lvlRestart w:val="1"/>
      <w:lvlText w:val="%3)"/>
      <w:lvlJc w:val="left"/>
      <w:pPr>
        <w:tabs>
          <w:tab w:val="num" w:pos="720"/>
        </w:tabs>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23C875A2"/>
    <w:multiLevelType w:val="multilevel"/>
    <w:tmpl w:val="2174CBC2"/>
    <w:styleLink w:val="Figures"/>
    <w:lvl w:ilvl="0">
      <w:start w:val="1"/>
      <w:numFmt w:val="none"/>
      <w:pStyle w:val="Figurecaption"/>
      <w:suff w:val="nothing"/>
      <w:lvlText w:val="Figure "/>
      <w:lvlJc w:val="left"/>
      <w:pPr>
        <w:ind w:left="72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2BFD47C8"/>
    <w:multiLevelType w:val="multilevel"/>
    <w:tmpl w:val="2174CBC2"/>
    <w:numStyleLink w:val="Figures"/>
  </w:abstractNum>
  <w:abstractNum w:abstractNumId="3" w15:restartNumberingAfterBreak="0">
    <w:nsid w:val="604A42E8"/>
    <w:multiLevelType w:val="multilevel"/>
    <w:tmpl w:val="3782BF92"/>
    <w:numStyleLink w:val="Tables"/>
  </w:abstractNum>
  <w:num w:numId="1">
    <w:abstractNumId w:val="1"/>
  </w:num>
  <w:num w:numId="2">
    <w:abstractNumId w:val="2"/>
    <w:lvlOverride w:ilvl="0">
      <w:lvl w:ilvl="0">
        <w:start w:val="1"/>
        <w:numFmt w:val="none"/>
        <w:pStyle w:val="Figurecaption"/>
        <w:suff w:val="nothing"/>
        <w:lvlText w:val="Figure "/>
        <w:lvlJc w:val="left"/>
        <w:pPr>
          <w:ind w:left="720" w:firstLine="0"/>
        </w:pPr>
        <w:rPr>
          <w:rFonts w:hint="default"/>
        </w:rPr>
      </w:lvl>
    </w:lvlOverride>
  </w:num>
  <w:num w:numId="3">
    <w:abstractNumId w:val="0"/>
  </w:num>
  <w:num w:numId="4">
    <w:abstractNumId w:val="3"/>
    <w:lvlOverride w:ilvl="0">
      <w:lvl w:ilvl="0">
        <w:start w:val="1"/>
        <w:numFmt w:val="none"/>
        <w:pStyle w:val="Table-caption"/>
        <w:suff w:val="nothing"/>
        <w:lvlText w:val="Table "/>
        <w:lvlJc w:val="left"/>
        <w:pPr>
          <w:ind w:left="0" w:firstLine="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522"/>
    <w:rsid w:val="00113158"/>
    <w:rsid w:val="004E6AAA"/>
    <w:rsid w:val="00574918"/>
    <w:rsid w:val="007E7F04"/>
    <w:rsid w:val="00866522"/>
    <w:rsid w:val="00960739"/>
    <w:rsid w:val="00AB2CB6"/>
    <w:rsid w:val="00BC2DCD"/>
    <w:rsid w:val="00CC4C85"/>
    <w:rsid w:val="00D51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525BC"/>
  <w15:chartTrackingRefBased/>
  <w15:docId w15:val="{5EB33EC7-7FED-44F3-950A-A7F5DA6C8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next w:val="Normal"/>
    <w:link w:val="Heading6Char"/>
    <w:uiPriority w:val="9"/>
    <w:semiHidden/>
    <w:unhideWhenUsed/>
    <w:qFormat/>
    <w:rsid w:val="00574918"/>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8">
    <w:name w:val="heading 8"/>
    <w:basedOn w:val="Normal"/>
    <w:next w:val="Normal"/>
    <w:link w:val="Heading8Char"/>
    <w:uiPriority w:val="9"/>
    <w:semiHidden/>
    <w:unhideWhenUsed/>
    <w:qFormat/>
    <w:rsid w:val="00574918"/>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igure-image">
    <w:name w:val="Figure - image"/>
    <w:basedOn w:val="Normal"/>
    <w:next w:val="Normal"/>
    <w:uiPriority w:val="1"/>
    <w:rsid w:val="00866522"/>
    <w:pPr>
      <w:keepNext/>
      <w:keepLines/>
      <w:spacing w:before="720" w:after="0" w:line="480" w:lineRule="auto"/>
      <w:jc w:val="center"/>
    </w:pPr>
    <w:rPr>
      <w:rFonts w:ascii="Times New Roman" w:eastAsia="Times New Roman" w:hAnsi="Times New Roman" w:cs="Times New Roman"/>
      <w:szCs w:val="24"/>
    </w:rPr>
  </w:style>
  <w:style w:type="paragraph" w:customStyle="1" w:styleId="Paragraph">
    <w:name w:val="Paragraph"/>
    <w:basedOn w:val="Normal"/>
    <w:link w:val="ParagraphChar"/>
    <w:qFormat/>
    <w:rsid w:val="00574918"/>
    <w:pPr>
      <w:spacing w:after="0" w:line="480" w:lineRule="atLeast"/>
      <w:ind w:firstLine="720"/>
    </w:pPr>
    <w:rPr>
      <w:rFonts w:ascii="Times New Roman" w:eastAsia="Times New Roman" w:hAnsi="Times New Roman" w:cs="Times New Roman"/>
      <w:sz w:val="24"/>
      <w:szCs w:val="24"/>
    </w:rPr>
  </w:style>
  <w:style w:type="numbering" w:customStyle="1" w:styleId="Figures">
    <w:name w:val="Figures"/>
    <w:uiPriority w:val="99"/>
    <w:rsid w:val="00574918"/>
    <w:pPr>
      <w:numPr>
        <w:numId w:val="1"/>
      </w:numPr>
    </w:pPr>
  </w:style>
  <w:style w:type="character" w:customStyle="1" w:styleId="ParagraphChar">
    <w:name w:val="Paragraph Char"/>
    <w:basedOn w:val="DefaultParagraphFont"/>
    <w:link w:val="Paragraph"/>
    <w:rsid w:val="00574918"/>
    <w:rPr>
      <w:rFonts w:ascii="Times New Roman" w:eastAsia="Times New Roman" w:hAnsi="Times New Roman" w:cs="Times New Roman"/>
      <w:sz w:val="24"/>
      <w:szCs w:val="24"/>
    </w:rPr>
  </w:style>
  <w:style w:type="paragraph" w:customStyle="1" w:styleId="APPENDIXTITLE">
    <w:name w:val="APPENDIX TITLE"/>
    <w:basedOn w:val="Normal"/>
    <w:next w:val="Paragraph"/>
    <w:link w:val="APPENDIXTITLEChar"/>
    <w:uiPriority w:val="2"/>
    <w:rsid w:val="00574918"/>
    <w:pPr>
      <w:spacing w:after="240" w:line="240" w:lineRule="auto"/>
      <w:jc w:val="center"/>
    </w:pPr>
    <w:rPr>
      <w:rFonts w:ascii="Times New Roman" w:eastAsia="Times New Roman" w:hAnsi="Times New Roman" w:cs="Times New Roman"/>
      <w:b/>
      <w:sz w:val="24"/>
      <w:szCs w:val="24"/>
    </w:rPr>
  </w:style>
  <w:style w:type="character" w:customStyle="1" w:styleId="APPENDIXTITLEChar">
    <w:name w:val="APPENDIX TITLE Char"/>
    <w:basedOn w:val="DefaultParagraphFont"/>
    <w:link w:val="APPENDIXTITLE"/>
    <w:uiPriority w:val="2"/>
    <w:rsid w:val="00574918"/>
    <w:rPr>
      <w:rFonts w:ascii="Times New Roman" w:eastAsia="Times New Roman" w:hAnsi="Times New Roman" w:cs="Times New Roman"/>
      <w:b/>
      <w:sz w:val="24"/>
      <w:szCs w:val="24"/>
    </w:rPr>
  </w:style>
  <w:style w:type="paragraph" w:customStyle="1" w:styleId="Figurecaption">
    <w:name w:val="Figure caption"/>
    <w:basedOn w:val="Heading8"/>
    <w:next w:val="Paragraph"/>
    <w:link w:val="FigurecaptionChar"/>
    <w:uiPriority w:val="1"/>
    <w:qFormat/>
    <w:rsid w:val="00574918"/>
    <w:pPr>
      <w:keepNext w:val="0"/>
      <w:numPr>
        <w:numId w:val="2"/>
      </w:numPr>
      <w:spacing w:before="240" w:after="720" w:line="240" w:lineRule="auto"/>
      <w:ind w:left="1260" w:hanging="1260"/>
    </w:pPr>
    <w:rPr>
      <w:rFonts w:ascii="Times New Roman" w:eastAsia="Times New Roman" w:hAnsi="Times New Roman" w:cs="Times New Roman"/>
      <w:color w:val="auto"/>
      <w:sz w:val="24"/>
      <w:szCs w:val="24"/>
    </w:rPr>
  </w:style>
  <w:style w:type="character" w:customStyle="1" w:styleId="FigurecaptionChar">
    <w:name w:val="Figure caption Char"/>
    <w:basedOn w:val="DefaultParagraphFont"/>
    <w:link w:val="Figurecaption"/>
    <w:uiPriority w:val="1"/>
    <w:rsid w:val="00574918"/>
    <w:rPr>
      <w:rFonts w:ascii="Times New Roman" w:eastAsia="Times New Roman" w:hAnsi="Times New Roman" w:cs="Times New Roman"/>
      <w:sz w:val="24"/>
      <w:szCs w:val="24"/>
    </w:rPr>
  </w:style>
  <w:style w:type="character" w:customStyle="1" w:styleId="Heading8Char">
    <w:name w:val="Heading 8 Char"/>
    <w:basedOn w:val="DefaultParagraphFont"/>
    <w:link w:val="Heading8"/>
    <w:uiPriority w:val="9"/>
    <w:semiHidden/>
    <w:rsid w:val="00574918"/>
    <w:rPr>
      <w:rFonts w:asciiTheme="majorHAnsi" w:eastAsiaTheme="majorEastAsia" w:hAnsiTheme="majorHAnsi" w:cstheme="majorBidi"/>
      <w:color w:val="272727" w:themeColor="text1" w:themeTint="D8"/>
      <w:sz w:val="21"/>
      <w:szCs w:val="21"/>
    </w:rPr>
  </w:style>
  <w:style w:type="numbering" w:customStyle="1" w:styleId="Tables">
    <w:name w:val="Tables"/>
    <w:uiPriority w:val="99"/>
    <w:rsid w:val="00574918"/>
    <w:pPr>
      <w:numPr>
        <w:numId w:val="3"/>
      </w:numPr>
    </w:pPr>
  </w:style>
  <w:style w:type="table" w:styleId="TableGrid">
    <w:name w:val="Table Grid"/>
    <w:basedOn w:val="TableNormal"/>
    <w:uiPriority w:val="39"/>
    <w:rsid w:val="0057491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
    <w:name w:val="Table content"/>
    <w:basedOn w:val="Normal"/>
    <w:next w:val="Normal"/>
    <w:link w:val="TablecontentChar"/>
    <w:uiPriority w:val="1"/>
    <w:rsid w:val="00574918"/>
    <w:pPr>
      <w:keepLines/>
      <w:spacing w:after="0" w:line="240" w:lineRule="auto"/>
    </w:pPr>
    <w:rPr>
      <w:rFonts w:ascii="Times New Roman" w:eastAsia="Times New Roman" w:hAnsi="Times New Roman" w:cs="Times New Roman"/>
      <w:sz w:val="24"/>
      <w:szCs w:val="24"/>
    </w:rPr>
  </w:style>
  <w:style w:type="character" w:customStyle="1" w:styleId="TablecontentChar">
    <w:name w:val="Table content Char"/>
    <w:basedOn w:val="DefaultParagraphFont"/>
    <w:link w:val="Tablecontent"/>
    <w:uiPriority w:val="1"/>
    <w:rsid w:val="00574918"/>
    <w:rPr>
      <w:rFonts w:ascii="Times New Roman" w:eastAsia="Times New Roman" w:hAnsi="Times New Roman" w:cs="Times New Roman"/>
      <w:sz w:val="24"/>
      <w:szCs w:val="24"/>
    </w:rPr>
  </w:style>
  <w:style w:type="paragraph" w:customStyle="1" w:styleId="Table-caption">
    <w:name w:val="Table - caption"/>
    <w:basedOn w:val="Heading6"/>
    <w:next w:val="Tablecontent"/>
    <w:link w:val="Table-captionChar"/>
    <w:uiPriority w:val="1"/>
    <w:rsid w:val="00574918"/>
    <w:pPr>
      <w:numPr>
        <w:numId w:val="4"/>
      </w:numPr>
      <w:spacing w:before="720" w:after="240" w:line="240" w:lineRule="auto"/>
      <w:ind w:left="1260" w:hanging="1260"/>
    </w:pPr>
    <w:rPr>
      <w:rFonts w:ascii="Times New Roman" w:eastAsia="Times New Roman" w:hAnsi="Times New Roman" w:cs="Times New Roman"/>
      <w:color w:val="auto"/>
      <w:sz w:val="24"/>
      <w:szCs w:val="24"/>
    </w:rPr>
  </w:style>
  <w:style w:type="character" w:customStyle="1" w:styleId="Table-captionChar">
    <w:name w:val="Table - caption Char"/>
    <w:basedOn w:val="DefaultParagraphFont"/>
    <w:link w:val="Table-caption"/>
    <w:uiPriority w:val="1"/>
    <w:rsid w:val="00574918"/>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9"/>
    <w:semiHidden/>
    <w:rsid w:val="00574918"/>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 (1).xsl" StyleName="APA" Version="6"/>
</file>

<file path=customXml/itemProps1.xml><?xml version="1.0" encoding="utf-8"?>
<ds:datastoreItem xmlns:ds="http://schemas.openxmlformats.org/officeDocument/2006/customXml" ds:itemID="{E0BDC3CA-BFF2-475E-A01E-DCC0C65A7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5137</Words>
  <Characters>29286</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University of Delaware</Company>
  <LinksUpToDate>false</LinksUpToDate>
  <CharactersWithSpaces>34355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Sprague</dc:creator>
  <cp:keywords/>
  <dc:description/>
  <cp:lastModifiedBy>Andrew Sprague</cp:lastModifiedBy>
  <cp:revision>4</cp:revision>
  <dcterms:created xsi:type="dcterms:W3CDTF">2020-08-10T22:13:00Z</dcterms:created>
  <dcterms:modified xsi:type="dcterms:W3CDTF">2020-08-10T22:17:00Z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http://csl.mendeley.com/styles/451975021/american-medical-association-no-doi</vt:lpwstr>
  </property>
  <property fmtid="{D5CDD505-2E9C-101B-9397-08002B2CF9AE}" pid="3" name="Mendeley Recent Style Name 0_1">
    <vt:lpwstr>American Medical Association - No DOI</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http://www.zotero.org/styles/pilot-and-feasibility-studies</vt:lpwstr>
  </property>
  <property fmtid="{D5CDD505-2E9C-101B-9397-08002B2CF9AE}" pid="19" name="Mendeley Recent Style Name 8_1">
    <vt:lpwstr>Pilot and Feasibility Studies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http://www.zotero.org/styles/vancouver</vt:lpwstr>
  </property>
  <property fmtid="{D5CDD505-2E9C-101B-9397-08002B2CF9AE}" pid="23" name="Mendeley Document_1">
    <vt:lpwstr>True</vt:lpwstr>
  </property>
  <property fmtid="{D5CDD505-2E9C-101B-9397-08002B2CF9AE}" pid="24" name="Mendeley Unique User Id_1">
    <vt:lpwstr>5f851a32-e0df-34dd-972f-08354ee8cc06</vt:lpwstr>
  </property>
</Properties>
</file>