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378" w:rsidRDefault="00440378" w:rsidP="00440378">
      <w:r w:rsidRPr="00B31430">
        <w:rPr>
          <w:b/>
          <w:bCs/>
        </w:rPr>
        <w:t>Figure S1.</w:t>
      </w:r>
      <w:r w:rsidRPr="007D696F">
        <w:t xml:space="preserve"> Visualization of bias assessment. A) Summary of risk of bias. B) Risk of bias graph.</w:t>
      </w:r>
    </w:p>
    <w:p w:rsidR="00440378" w:rsidRPr="007D696F" w:rsidRDefault="00440378" w:rsidP="00440378">
      <w:r w:rsidRPr="00B31430">
        <w:rPr>
          <w:b/>
          <w:bCs/>
        </w:rPr>
        <w:t>Figure S2.</w:t>
      </w:r>
      <w:r>
        <w:t xml:space="preserve"> Funnel-plot indicating publication bias of each pooled outcome. A) Re-rupture rate; B) Return-to-sport (Same level); C) Complication rate; D) Deep vein thrombosis; E) Adhesion to underlying tendon; F) Sural nerve injury; G) Superficial infection; H) Deep infection; I) Period absence from work; J) ATRS; K) mean of dor</w:t>
      </w:r>
      <w:r>
        <w:rPr>
          <w:rFonts w:hint="eastAsia"/>
        </w:rPr>
        <w:t>s</w:t>
      </w:r>
      <w:r>
        <w:t>iflexion; L) mean of plantarflexion.</w:t>
      </w:r>
    </w:p>
    <w:p w:rsidR="00F465BD" w:rsidRDefault="00F465BD">
      <w:bookmarkStart w:id="0" w:name="_GoBack"/>
      <w:bookmarkEnd w:id="0"/>
    </w:p>
    <w:sectPr w:rsidR="00F46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378"/>
    <w:rsid w:val="00440378"/>
    <w:rsid w:val="00F4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A543E-8066-40A2-A050-C353CB62C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378"/>
    <w:pPr>
      <w:widowControl w:val="0"/>
      <w:spacing w:after="0" w:line="240" w:lineRule="auto"/>
      <w:jc w:val="both"/>
    </w:pPr>
    <w:rPr>
      <w:rFonts w:ascii="Times New Roman" w:eastAsia="SimSun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>Springer Nature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2020-08-21T04:07:00Z</dcterms:created>
  <dcterms:modified xsi:type="dcterms:W3CDTF">2020-08-21T04:07:00Z</dcterms:modified>
</cp:coreProperties>
</file>