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 w14:paraId="69BE9F2E">
      <w:pPr>
        <w:widowControl/>
        <w:spacing w:line="240" w:lineRule="auto"/>
        <w:jc w:val="left"/>
        <w:rPr>
          <w:rFonts w:hint="default" w:ascii="Times New Roman" w:hAnsi="Times New Roman" w:eastAsia="Times New Roman" w:cs="Arial"/>
          <w:b/>
          <w:bCs/>
          <w:sz w:val="28"/>
          <w:szCs w:val="28"/>
          <w:lang w:val="en-GB"/>
        </w:rPr>
      </w:pPr>
      <w:r>
        <w:rPr>
          <w:rFonts w:hint="default" w:ascii="Times New Roman" w:hAnsi="Times New Roman" w:eastAsia="Times New Roman" w:cs="Arial"/>
          <w:b/>
          <w:bCs/>
          <w:sz w:val="28"/>
          <w:szCs w:val="28"/>
          <w:lang w:val="en-GB"/>
        </w:rPr>
        <w:t>ELECTRONIC SUPPLEMENTARY MATERIALS</w:t>
      </w:r>
    </w:p>
    <w:p w14:paraId="35EC265C">
      <w:pPr>
        <w:widowControl/>
        <w:spacing w:line="240" w:lineRule="auto"/>
        <w:jc w:val="left"/>
        <w:rPr>
          <w:rFonts w:ascii="Times New Roman" w:hAnsi="Times New Roman" w:eastAsia="Times New Roman" w:cs="Arial"/>
          <w:b/>
          <w:bCs/>
          <w:sz w:val="28"/>
          <w:szCs w:val="28"/>
          <w:lang w:val="en-GB"/>
        </w:rPr>
      </w:pPr>
    </w:p>
    <w:p w14:paraId="6C1FE3A0">
      <w:pPr>
        <w:spacing w:line="480" w:lineRule="auto"/>
        <w:rPr>
          <w:rFonts w:ascii="Times New Roman" w:hAnsi="Times New Roman" w:eastAsia="Times New Roman" w:cs="Arial"/>
          <w:b/>
          <w:bCs/>
          <w:sz w:val="24"/>
          <w:szCs w:val="24"/>
        </w:rPr>
      </w:pPr>
      <w:r>
        <w:rPr>
          <w:rFonts w:hint="eastAsia" w:ascii="Times New Roman" w:hAnsi="Times New Roman" w:eastAsia="Times New Roman" w:cs="Arial"/>
          <w:b w:val="0"/>
          <w:bCs w:val="0"/>
          <w:sz w:val="24"/>
          <w:szCs w:val="24"/>
        </w:rPr>
        <w:t xml:space="preserve">Molecular imaging research on </w:t>
      </w:r>
      <w:r>
        <w:rPr>
          <w:rFonts w:hint="eastAsia" w:ascii="Times New Roman" w:hAnsi="Times New Roman" w:eastAsia="Times New Roman" w:cs="Arial"/>
          <w:b w:val="0"/>
          <w:bCs w:val="0"/>
          <w:sz w:val="24"/>
          <w:szCs w:val="24"/>
          <w:vertAlign w:val="superscript"/>
        </w:rPr>
        <w:t>18</w:t>
      </w:r>
      <w:r>
        <w:rPr>
          <w:rFonts w:hint="eastAsia" w:ascii="Times New Roman" w:hAnsi="Times New Roman" w:eastAsia="Times New Roman" w:cs="Arial"/>
          <w:b w:val="0"/>
          <w:bCs w:val="0"/>
          <w:sz w:val="24"/>
          <w:szCs w:val="24"/>
        </w:rPr>
        <w:t>F-FDG PET/CT and biomarker analysis predicts the pathological response to neoadjuvant camrelizumab combined with chemotherapy for resectable stage IIIA-IIIB NSCLC.</w:t>
      </w:r>
    </w:p>
    <w:p w14:paraId="1DE76131">
      <w:pPr>
        <w:spacing w:line="480" w:lineRule="auto"/>
        <w:rPr>
          <w:rFonts w:ascii="Times New Roman" w:hAnsi="Times New Roman" w:eastAsia="Times New Roman" w:cs="Arial"/>
          <w:b/>
          <w:bCs/>
          <w:sz w:val="24"/>
          <w:szCs w:val="24"/>
        </w:rPr>
      </w:pPr>
    </w:p>
    <w:p w14:paraId="0F2D7D83">
      <w:pPr>
        <w:adjustRightInd w:val="0"/>
        <w:snapToGrid w:val="0"/>
        <w:spacing w:line="480" w:lineRule="auto"/>
        <w:rPr>
          <w:rFonts w:hint="eastAsia" w:ascii="Times New Roman" w:hAnsi="Times New Roman" w:eastAsia="Times New Roman" w:cs="Arial"/>
          <w:sz w:val="24"/>
          <w:szCs w:val="24"/>
        </w:rPr>
      </w:pPr>
      <w:r>
        <w:rPr>
          <w:rFonts w:hint="eastAsia" w:ascii="Times New Roman" w:hAnsi="Times New Roman" w:eastAsia="Times New Roman" w:cs="Arial"/>
          <w:sz w:val="24"/>
          <w:szCs w:val="24"/>
          <w:lang w:val="en-GB"/>
        </w:rPr>
        <w:t>Journal: Annals of Nuclear Medicine</w:t>
      </w:r>
    </w:p>
    <w:p w14:paraId="1720CA7F">
      <w:pPr>
        <w:spacing w:line="480" w:lineRule="auto"/>
        <w:rPr>
          <w:rFonts w:ascii="Times New Roman" w:hAnsi="Times New Roman" w:eastAsia="Times New Roman" w:cs="Arial"/>
          <w:sz w:val="24"/>
          <w:szCs w:val="24"/>
        </w:rPr>
      </w:pPr>
    </w:p>
    <w:p w14:paraId="0423E6F9">
      <w:pPr>
        <w:spacing w:line="480" w:lineRule="auto"/>
        <w:rPr>
          <w:rFonts w:ascii="Times New Roman" w:hAnsi="Times New Roman" w:eastAsia="Times New Roman" w:cs="Arial"/>
          <w:sz w:val="24"/>
          <w:szCs w:val="24"/>
          <w:vertAlign w:val="superscript"/>
        </w:rPr>
      </w:pPr>
      <w:r>
        <w:rPr>
          <w:rFonts w:ascii="Times New Roman" w:hAnsi="Times New Roman" w:eastAsia="Times New Roman" w:cs="Arial"/>
          <w:sz w:val="24"/>
          <w:szCs w:val="24"/>
        </w:rPr>
        <w:t>Kaiyue Wang</w:t>
      </w:r>
      <w:r>
        <w:rPr>
          <w:rFonts w:hint="eastAsia" w:ascii="Times New Roman" w:hAnsi="Times New Roman" w:eastAsia="宋体" w:cs="Arial"/>
          <w:sz w:val="24"/>
          <w:szCs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 w:eastAsia="宋体" w:cs="Arial"/>
          <w:sz w:val="24"/>
          <w:szCs w:val="24"/>
          <w:vertAlign w:val="superscript"/>
        </w:rPr>
        <w:t>,</w:t>
      </w:r>
      <w:r>
        <w:rPr>
          <w:rFonts w:hint="eastAsia" w:ascii="Times New Roman" w:hAnsi="Times New Roman" w:eastAsia="宋体" w:cs="Arial"/>
          <w:sz w:val="24"/>
          <w:szCs w:val="24"/>
          <w:vertAlign w:val="superscript"/>
          <w:lang w:val="en-US" w:eastAsia="zh-CN"/>
        </w:rPr>
        <w:t>2</w:t>
      </w:r>
      <w:r>
        <w:rPr>
          <w:rFonts w:ascii="Times New Roman" w:hAnsi="Times New Roman" w:eastAsia="Times New Roman" w:cs="Arial"/>
          <w:sz w:val="24"/>
          <w:szCs w:val="24"/>
        </w:rPr>
        <w:t xml:space="preserve">, </w:t>
      </w:r>
      <w:r>
        <w:rPr>
          <w:rFonts w:hint="eastAsia" w:ascii="Times New Roman" w:hAnsi="Times New Roman" w:eastAsia="宋体" w:cs="Arial"/>
          <w:sz w:val="24"/>
          <w:szCs w:val="24"/>
          <w:lang w:val="en-US" w:eastAsia="zh-CN"/>
        </w:rPr>
        <w:t>Xiaohan Wang</w:t>
      </w:r>
      <w:bookmarkStart w:id="4" w:name="_GoBack"/>
      <w:bookmarkEnd w:id="4"/>
      <w:r>
        <w:rPr>
          <w:rFonts w:hint="eastAsia" w:ascii="Times New Roman" w:hAnsi="Times New Roman" w:eastAsia="宋体" w:cs="Arial"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 w:eastAsia="Times New Roman" w:cs="Arial"/>
          <w:sz w:val="24"/>
          <w:szCs w:val="24"/>
        </w:rPr>
        <w:t xml:space="preserve">, </w:t>
      </w:r>
      <w:r>
        <w:rPr>
          <w:rFonts w:ascii="Times New Roman" w:hAnsi="Times New Roman" w:eastAsia="Times New Roman" w:cs="Arial"/>
          <w:sz w:val="24"/>
          <w:szCs w:val="24"/>
        </w:rPr>
        <w:t>Xue Meng</w:t>
      </w:r>
      <w:r>
        <w:rPr>
          <w:rFonts w:hint="eastAsia" w:ascii="Times New Roman" w:hAnsi="Times New Roman" w:eastAsia="宋体" w:cs="Arial"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 w:eastAsia="宋体" w:cs="Arial"/>
          <w:sz w:val="24"/>
          <w:szCs w:val="24"/>
          <w:vertAlign w:val="superscript"/>
        </w:rPr>
        <w:t>,</w:t>
      </w:r>
      <w:r>
        <w:rPr>
          <w:rFonts w:hint="eastAsia" w:ascii="Times New Roman" w:hAnsi="Times New Roman" w:eastAsia="宋体" w:cs="Arial"/>
          <w:sz w:val="24"/>
          <w:szCs w:val="24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Times New Roman" w:cs="Arial"/>
          <w:sz w:val="24"/>
          <w:szCs w:val="24"/>
          <w:vertAlign w:val="superscript"/>
        </w:rPr>
        <w:t>*</w:t>
      </w:r>
      <w:r>
        <w:rPr>
          <w:rFonts w:ascii="Times New Roman" w:hAnsi="Times New Roman" w:eastAsia="Times New Roman" w:cs="Arial"/>
          <w:sz w:val="24"/>
          <w:szCs w:val="24"/>
        </w:rPr>
        <w:t xml:space="preserve">, </w:t>
      </w:r>
      <w:r>
        <w:rPr>
          <w:rFonts w:hint="eastAsia" w:ascii="Times New Roman" w:hAnsi="Times New Roman" w:eastAsia="宋体" w:cs="Arial"/>
          <w:sz w:val="24"/>
          <w:szCs w:val="24"/>
        </w:rPr>
        <w:t>Guodong Zhang</w:t>
      </w:r>
      <w:r>
        <w:rPr>
          <w:rFonts w:hint="eastAsia" w:ascii="Times New Roman" w:hAnsi="Times New Roman" w:eastAsia="宋体" w:cs="Arial"/>
          <w:sz w:val="24"/>
          <w:szCs w:val="24"/>
          <w:vertAlign w:val="superscript"/>
          <w:lang w:val="en-US" w:eastAsia="zh-CN"/>
        </w:rPr>
        <w:t>4</w:t>
      </w:r>
      <w:r>
        <w:rPr>
          <w:rFonts w:hint="eastAsia" w:ascii="Times New Roman" w:hAnsi="Times New Roman" w:eastAsia="Times New Roman" w:cs="Arial"/>
          <w:sz w:val="24"/>
          <w:szCs w:val="24"/>
          <w:vertAlign w:val="superscript"/>
        </w:rPr>
        <w:t>*</w:t>
      </w:r>
      <w:r>
        <w:rPr>
          <w:rFonts w:hint="eastAsia" w:ascii="Times New Roman" w:hAnsi="Times New Roman" w:eastAsia="Times New Roman" w:cs="Arial"/>
          <w:sz w:val="24"/>
          <w:szCs w:val="24"/>
        </w:rPr>
        <w:t xml:space="preserve">, </w:t>
      </w:r>
      <w:r>
        <w:rPr>
          <w:rFonts w:ascii="Times New Roman" w:hAnsi="Times New Roman" w:eastAsia="Times New Roman" w:cs="Arial"/>
          <w:sz w:val="24"/>
          <w:szCs w:val="24"/>
        </w:rPr>
        <w:t>Guoxin Cai</w:t>
      </w:r>
      <w:r>
        <w:rPr>
          <w:rFonts w:hint="eastAsia" w:ascii="Times New Roman" w:hAnsi="Times New Roman" w:eastAsia="宋体" w:cs="Arial"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 w:eastAsia="Times New Roman" w:cs="Arial"/>
          <w:sz w:val="24"/>
          <w:szCs w:val="24"/>
          <w:vertAlign w:val="superscript"/>
        </w:rPr>
        <w:t>*</w:t>
      </w:r>
    </w:p>
    <w:p w14:paraId="7060997F">
      <w:pPr>
        <w:spacing w:line="480" w:lineRule="auto"/>
        <w:rPr>
          <w:rFonts w:ascii="Times New Roman" w:hAnsi="Times New Roman" w:eastAsia="Times New Roman" w:cs="Arial"/>
          <w:sz w:val="24"/>
          <w:szCs w:val="24"/>
          <w:vertAlign w:val="superscript"/>
        </w:rPr>
      </w:pPr>
    </w:p>
    <w:p w14:paraId="44EDA26F">
      <w:pPr>
        <w:spacing w:line="480" w:lineRule="auto"/>
        <w:rPr>
          <w:rFonts w:ascii="Times New Roman" w:hAnsi="Times New Roman" w:eastAsia="Times New Roman" w:cs="Arial"/>
          <w:sz w:val="24"/>
          <w:szCs w:val="24"/>
        </w:rPr>
      </w:pPr>
      <w:r>
        <w:rPr>
          <w:rFonts w:hint="eastAsia" w:ascii="Times New Roman" w:hAnsi="Times New Roman" w:eastAsia="宋体" w:cs="Arial"/>
          <w:sz w:val="24"/>
          <w:szCs w:val="24"/>
          <w:vertAlign w:val="superscript"/>
          <w:lang w:val="en-US" w:eastAsia="zh-CN"/>
        </w:rPr>
        <w:t>1</w:t>
      </w:r>
      <w:r>
        <w:rPr>
          <w:rFonts w:ascii="Times New Roman" w:hAnsi="Times New Roman" w:eastAsia="Times New Roman" w:cs="Arial"/>
          <w:sz w:val="24"/>
          <w:szCs w:val="24"/>
        </w:rPr>
        <w:t xml:space="preserve">School of Clinical Medicine, Shandong Second Medical University, Weifang, </w:t>
      </w:r>
      <w:r>
        <w:rPr>
          <w:rFonts w:hint="eastAsia" w:ascii="Times New Roman" w:hAnsi="Times New Roman" w:eastAsia="宋体" w:cs="Arial"/>
          <w:sz w:val="24"/>
          <w:szCs w:val="24"/>
        </w:rPr>
        <w:t xml:space="preserve">Shandong, </w:t>
      </w:r>
      <w:r>
        <w:rPr>
          <w:rFonts w:ascii="Times New Roman" w:hAnsi="Times New Roman" w:eastAsia="Times New Roman" w:cs="Arial"/>
          <w:sz w:val="24"/>
          <w:szCs w:val="24"/>
        </w:rPr>
        <w:t>China</w:t>
      </w:r>
      <w:r>
        <w:rPr>
          <w:rFonts w:hint="eastAsia" w:ascii="Times New Roman" w:hAnsi="Times New Roman" w:eastAsia="Times New Roman" w:cs="Arial"/>
          <w:sz w:val="24"/>
          <w:szCs w:val="24"/>
        </w:rPr>
        <w:t>.</w:t>
      </w:r>
    </w:p>
    <w:p w14:paraId="6B7D5B8E">
      <w:pPr>
        <w:spacing w:line="480" w:lineRule="auto"/>
        <w:rPr>
          <w:rFonts w:ascii="Times New Roman" w:hAnsi="Times New Roman" w:eastAsia="Times New Roman" w:cs="Arial"/>
          <w:sz w:val="24"/>
          <w:szCs w:val="24"/>
        </w:rPr>
      </w:pPr>
      <w:r>
        <w:rPr>
          <w:rFonts w:hint="eastAsia" w:ascii="Times New Roman" w:hAnsi="Times New Roman" w:eastAsia="宋体" w:cs="Arial"/>
          <w:sz w:val="24"/>
          <w:szCs w:val="24"/>
          <w:vertAlign w:val="superscript"/>
          <w:lang w:val="en-US" w:eastAsia="zh-CN"/>
        </w:rPr>
        <w:t>2</w:t>
      </w:r>
      <w:r>
        <w:rPr>
          <w:rFonts w:ascii="Times New Roman" w:hAnsi="Times New Roman" w:eastAsia="Times New Roman" w:cs="Arial"/>
          <w:sz w:val="24"/>
          <w:szCs w:val="24"/>
        </w:rPr>
        <w:t>Department of Radiation Oncology, Shandong Cancer Hospital and Institute, Shandong First Medical University and Shandong Academy of Medical Sciences, Jinan, Shandong, China</w:t>
      </w:r>
      <w:r>
        <w:rPr>
          <w:rFonts w:hint="eastAsia" w:ascii="Times New Roman" w:hAnsi="Times New Roman" w:eastAsia="Times New Roman" w:cs="Arial"/>
          <w:sz w:val="24"/>
          <w:szCs w:val="24"/>
        </w:rPr>
        <w:t>.</w:t>
      </w:r>
    </w:p>
    <w:p w14:paraId="432E519E">
      <w:pPr>
        <w:spacing w:line="480" w:lineRule="auto"/>
        <w:rPr>
          <w:rFonts w:ascii="Times New Roman" w:hAnsi="Times New Roman" w:eastAsia="Times New Roman" w:cs="Arial"/>
          <w:sz w:val="24"/>
          <w:szCs w:val="24"/>
        </w:rPr>
      </w:pPr>
      <w:r>
        <w:rPr>
          <w:rFonts w:hint="eastAsia" w:ascii="Times New Roman" w:hAnsi="Times New Roman" w:eastAsia="宋体" w:cs="Arial"/>
          <w:sz w:val="24"/>
          <w:szCs w:val="24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Times New Roman" w:cs="Arial"/>
          <w:sz w:val="24"/>
          <w:szCs w:val="24"/>
        </w:rPr>
        <w:t>School of Public Health, Shandong First Medical University &amp; Shandong Academy of Medical Sciences, Jinan, China.</w:t>
      </w:r>
    </w:p>
    <w:p w14:paraId="62FDFE20">
      <w:pPr>
        <w:spacing w:line="480" w:lineRule="auto"/>
        <w:rPr>
          <w:rFonts w:ascii="Times New Roman" w:hAnsi="Times New Roman" w:eastAsia="宋体" w:cs="Arial"/>
          <w:sz w:val="24"/>
          <w:szCs w:val="24"/>
        </w:rPr>
      </w:pPr>
      <w:r>
        <w:rPr>
          <w:rFonts w:hint="eastAsia" w:ascii="Times New Roman" w:hAnsi="Times New Roman" w:eastAsia="宋体" w:cs="Arial"/>
          <w:sz w:val="24"/>
          <w:szCs w:val="24"/>
          <w:vertAlign w:val="superscript"/>
          <w:lang w:val="en-US" w:eastAsia="zh-CN"/>
        </w:rPr>
        <w:t>4</w:t>
      </w:r>
      <w:r>
        <w:rPr>
          <w:rFonts w:ascii="Times New Roman" w:hAnsi="Times New Roman" w:eastAsia="Times New Roman" w:cs="Arial"/>
          <w:sz w:val="24"/>
          <w:szCs w:val="24"/>
        </w:rPr>
        <w:t xml:space="preserve">Department of </w:t>
      </w:r>
      <w:r>
        <w:rPr>
          <w:rFonts w:hint="eastAsia" w:ascii="Times New Roman" w:hAnsi="Times New Roman" w:eastAsia="Times New Roman" w:cs="Arial"/>
          <w:sz w:val="24"/>
          <w:szCs w:val="24"/>
        </w:rPr>
        <w:t>Pneumosurgery</w:t>
      </w:r>
      <w:r>
        <w:rPr>
          <w:rFonts w:ascii="Times New Roman" w:hAnsi="Times New Roman" w:eastAsia="Times New Roman" w:cs="Arial"/>
          <w:sz w:val="24"/>
          <w:szCs w:val="24"/>
        </w:rPr>
        <w:t>, Shandong Cancer Hospital and Institute, Shandong First Medical University and Shandong Academy of Medical Sciences, Jinan, Shandong, China</w:t>
      </w:r>
      <w:r>
        <w:rPr>
          <w:rFonts w:hint="eastAsia" w:ascii="Times New Roman" w:hAnsi="Times New Roman" w:eastAsia="宋体" w:cs="Arial"/>
          <w:sz w:val="24"/>
          <w:szCs w:val="24"/>
        </w:rPr>
        <w:t>.</w:t>
      </w:r>
    </w:p>
    <w:p w14:paraId="450B08C3">
      <w:pPr>
        <w:spacing w:line="480" w:lineRule="auto"/>
        <w:rPr>
          <w:rFonts w:ascii="Times New Roman" w:hAnsi="Times New Roman" w:eastAsia="Times New Roman" w:cs="Arial"/>
          <w:sz w:val="24"/>
          <w:szCs w:val="24"/>
        </w:rPr>
      </w:pPr>
    </w:p>
    <w:p w14:paraId="535BF356">
      <w:pPr>
        <w:spacing w:line="480" w:lineRule="auto"/>
        <w:rPr>
          <w:rFonts w:ascii="Times New Roman" w:hAnsi="Times New Roman" w:eastAsia="Times New Roman" w:cs="Arial"/>
          <w:b/>
          <w:bCs/>
          <w:sz w:val="24"/>
          <w:szCs w:val="24"/>
        </w:rPr>
      </w:pPr>
      <w:r>
        <w:rPr>
          <w:rFonts w:ascii="Times New Roman" w:hAnsi="Times New Roman" w:eastAsia="Times New Roman" w:cs="Arial"/>
          <w:b/>
          <w:bCs/>
          <w:sz w:val="24"/>
          <w:szCs w:val="24"/>
          <w:vertAlign w:val="superscript"/>
        </w:rPr>
        <w:t>*</w:t>
      </w:r>
      <w:r>
        <w:rPr>
          <w:rFonts w:ascii="Times New Roman" w:hAnsi="Times New Roman" w:eastAsia="Times New Roman" w:cs="Arial"/>
          <w:b/>
          <w:bCs/>
          <w:sz w:val="24"/>
          <w:szCs w:val="24"/>
        </w:rPr>
        <w:t>Corresponding Author (Also Responsible for Statistical Analyses):</w:t>
      </w:r>
    </w:p>
    <w:p w14:paraId="4140BC80">
      <w:pPr>
        <w:spacing w:line="480" w:lineRule="auto"/>
        <w:rPr>
          <w:rFonts w:ascii="Times New Roman" w:hAnsi="Times New Roman" w:eastAsia="Times New Roman" w:cs="Arial"/>
          <w:b/>
          <w:bCs/>
          <w:sz w:val="24"/>
          <w:szCs w:val="24"/>
        </w:rPr>
      </w:pPr>
      <w:r>
        <w:rPr>
          <w:rFonts w:ascii="Times New Roman" w:hAnsi="Times New Roman" w:eastAsia="Times New Roman" w:cs="Arial"/>
          <w:b/>
          <w:bCs/>
          <w:sz w:val="24"/>
          <w:szCs w:val="24"/>
          <w:vertAlign w:val="superscript"/>
        </w:rPr>
        <w:t>*</w:t>
      </w:r>
      <w:r>
        <w:rPr>
          <w:rFonts w:hint="eastAsia" w:ascii="Times New Roman" w:hAnsi="Times New Roman" w:eastAsia="Times New Roman" w:cs="Arial"/>
          <w:sz w:val="24"/>
          <w:szCs w:val="24"/>
        </w:rPr>
        <w:t xml:space="preserve">Guoxin Cai, Guodong Zhang and Xue Meng </w:t>
      </w:r>
      <w:r>
        <w:rPr>
          <w:rFonts w:ascii="Times New Roman" w:hAnsi="Times New Roman" w:eastAsia="Times New Roman" w:cs="Arial"/>
          <w:b/>
          <w:bCs/>
          <w:sz w:val="24"/>
          <w:szCs w:val="24"/>
        </w:rPr>
        <w:t>contributed equally to this work.</w:t>
      </w:r>
    </w:p>
    <w:p w14:paraId="0993038F">
      <w:pPr>
        <w:spacing w:line="480" w:lineRule="auto"/>
        <w:rPr>
          <w:rFonts w:ascii="Times New Roman" w:hAnsi="Times New Roman" w:eastAsia="Times New Roman" w:cs="Arial"/>
          <w:sz w:val="24"/>
          <w:szCs w:val="24"/>
        </w:rPr>
      </w:pPr>
      <w:r>
        <w:rPr>
          <w:rFonts w:ascii="Times New Roman" w:hAnsi="Times New Roman" w:eastAsia="Times New Roman" w:cs="Arial"/>
          <w:sz w:val="24"/>
          <w:szCs w:val="24"/>
        </w:rPr>
        <w:t xml:space="preserve">Guoxin Cai, Department of Radiation Oncology, Shandong Cancer Hospital and Institute, No. 440, Jiyan Road, Jinan, Shandong 250117, China; E-mail: </w:t>
      </w:r>
      <w:r>
        <w:fldChar w:fldCharType="begin"/>
      </w:r>
      <w:r>
        <w:instrText xml:space="preserve"> HYPERLINK "mailto:15562481150@163.com" </w:instrText>
      </w:r>
      <w:r>
        <w:fldChar w:fldCharType="separate"/>
      </w:r>
      <w:r>
        <w:rPr>
          <w:rStyle w:val="9"/>
          <w:rFonts w:ascii="Times New Roman" w:hAnsi="Times New Roman" w:eastAsia="Times New Roman" w:cs="Arial"/>
          <w:color w:val="000000"/>
          <w:sz w:val="24"/>
          <w:szCs w:val="24"/>
          <w:u w:val="none"/>
        </w:rPr>
        <w:t>15562481150@163.com</w:t>
      </w:r>
      <w:r>
        <w:rPr>
          <w:rStyle w:val="9"/>
          <w:rFonts w:ascii="Times New Roman" w:hAnsi="Times New Roman" w:eastAsia="Times New Roman" w:cs="Arial"/>
          <w:color w:val="000000"/>
          <w:sz w:val="24"/>
          <w:szCs w:val="24"/>
          <w:u w:val="none"/>
        </w:rPr>
        <w:fldChar w:fldCharType="end"/>
      </w:r>
      <w:r>
        <w:rPr>
          <w:rFonts w:ascii="Times New Roman" w:hAnsi="Times New Roman" w:eastAsia="Times New Roman" w:cs="Arial"/>
          <w:sz w:val="24"/>
          <w:szCs w:val="24"/>
        </w:rPr>
        <w:t>, Tel: +86-531-67627082, Fax: +86-531-67627082</w:t>
      </w:r>
    </w:p>
    <w:p w14:paraId="67FC4C34">
      <w:pPr>
        <w:spacing w:line="480" w:lineRule="auto"/>
        <w:rPr>
          <w:rFonts w:ascii="Times New Roman" w:hAnsi="Times New Roman" w:eastAsia="Times New Roman" w:cs="Arial"/>
          <w:sz w:val="24"/>
          <w:szCs w:val="24"/>
        </w:rPr>
      </w:pPr>
    </w:p>
    <w:p w14:paraId="55045D20">
      <w:pPr>
        <w:spacing w:line="480" w:lineRule="auto"/>
        <w:rPr>
          <w:rFonts w:ascii="Times New Roman" w:hAnsi="Times New Roman" w:eastAsia="Times New Roman" w:cs="Arial"/>
          <w:sz w:val="24"/>
          <w:szCs w:val="24"/>
        </w:rPr>
      </w:pPr>
      <w:r>
        <w:rPr>
          <w:rFonts w:hint="eastAsia" w:ascii="Times New Roman" w:hAnsi="Times New Roman" w:eastAsia="宋体" w:cs="Arial"/>
          <w:sz w:val="24"/>
          <w:szCs w:val="24"/>
        </w:rPr>
        <w:t>Guodong Zhang</w:t>
      </w:r>
      <w:r>
        <w:rPr>
          <w:rFonts w:ascii="Times New Roman" w:hAnsi="Times New Roman" w:eastAsia="Times New Roman" w:cs="Arial"/>
          <w:sz w:val="24"/>
          <w:szCs w:val="24"/>
        </w:rPr>
        <w:t xml:space="preserve">, Department of </w:t>
      </w:r>
      <w:r>
        <w:rPr>
          <w:rFonts w:hint="eastAsia" w:ascii="Times New Roman" w:hAnsi="Times New Roman" w:eastAsia="Times New Roman" w:cs="Arial"/>
          <w:sz w:val="24"/>
          <w:szCs w:val="24"/>
        </w:rPr>
        <w:t>Poeumosurgery</w:t>
      </w:r>
      <w:r>
        <w:rPr>
          <w:rFonts w:ascii="Times New Roman" w:hAnsi="Times New Roman" w:eastAsia="Times New Roman" w:cs="Arial"/>
          <w:sz w:val="24"/>
          <w:szCs w:val="24"/>
        </w:rPr>
        <w:t xml:space="preserve">, Shandong Cancer Hospital and Institute, No. 440, Jiyan Road, Jinan, Shandong 250117, China; E-mail: </w:t>
      </w:r>
      <w:r>
        <w:rPr>
          <w:rFonts w:hint="eastAsia" w:ascii="Times New Roman" w:hAnsi="Times New Roman" w:eastAsia="宋体" w:cs="Arial"/>
          <w:color w:val="000000"/>
          <w:sz w:val="24"/>
          <w:szCs w:val="24"/>
        </w:rPr>
        <w:t>zzkzgd</w:t>
      </w:r>
      <w:r>
        <w:rPr>
          <w:rFonts w:ascii="Times New Roman" w:hAnsi="Times New Roman" w:eastAsia="Times New Roman" w:cs="Arial"/>
          <w:color w:val="000000"/>
          <w:sz w:val="24"/>
          <w:szCs w:val="24"/>
        </w:rPr>
        <w:t>@163.com</w:t>
      </w:r>
      <w:r>
        <w:rPr>
          <w:rFonts w:ascii="Times New Roman" w:hAnsi="Times New Roman" w:eastAsia="Times New Roman" w:cs="Arial"/>
          <w:sz w:val="24"/>
          <w:szCs w:val="24"/>
        </w:rPr>
        <w:t>, Tel: +86-531-676</w:t>
      </w:r>
      <w:r>
        <w:rPr>
          <w:rFonts w:hint="eastAsia" w:ascii="Times New Roman" w:hAnsi="Times New Roman" w:eastAsia="Times New Roman" w:cs="Arial"/>
          <w:sz w:val="24"/>
          <w:szCs w:val="24"/>
        </w:rPr>
        <w:t>26230</w:t>
      </w:r>
      <w:r>
        <w:rPr>
          <w:rFonts w:ascii="Times New Roman" w:hAnsi="Times New Roman" w:eastAsia="Times New Roman" w:cs="Arial"/>
          <w:sz w:val="24"/>
          <w:szCs w:val="24"/>
        </w:rPr>
        <w:t>, Fax: +86-531-676</w:t>
      </w:r>
      <w:r>
        <w:rPr>
          <w:rFonts w:hint="eastAsia" w:ascii="Times New Roman" w:hAnsi="Times New Roman" w:eastAsia="Times New Roman" w:cs="Arial"/>
          <w:sz w:val="24"/>
          <w:szCs w:val="24"/>
        </w:rPr>
        <w:t>26230</w:t>
      </w:r>
    </w:p>
    <w:p w14:paraId="23758698">
      <w:pPr>
        <w:spacing w:line="480" w:lineRule="auto"/>
        <w:rPr>
          <w:rFonts w:ascii="Times New Roman" w:hAnsi="Times New Roman" w:eastAsia="Times New Roman" w:cs="Arial"/>
          <w:sz w:val="24"/>
          <w:szCs w:val="24"/>
        </w:rPr>
      </w:pPr>
    </w:p>
    <w:p w14:paraId="4E0F0C12">
      <w:pPr>
        <w:spacing w:line="480" w:lineRule="auto"/>
        <w:rPr>
          <w:rFonts w:ascii="Times New Roman" w:hAnsi="Times New Roman" w:eastAsia="Times New Roman" w:cs="Arial"/>
          <w:sz w:val="24"/>
          <w:szCs w:val="24"/>
        </w:rPr>
      </w:pPr>
      <w:r>
        <w:rPr>
          <w:rFonts w:hint="eastAsia" w:ascii="Times New Roman" w:hAnsi="Times New Roman" w:eastAsia="宋体" w:cs="Arial"/>
          <w:sz w:val="24"/>
          <w:szCs w:val="24"/>
        </w:rPr>
        <w:t>Xue</w:t>
      </w:r>
      <w:r>
        <w:rPr>
          <w:rFonts w:ascii="Times New Roman" w:hAnsi="Times New Roman" w:eastAsia="Times New Roman" w:cs="Arial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Arial"/>
          <w:sz w:val="24"/>
          <w:szCs w:val="24"/>
        </w:rPr>
        <w:t>Meng</w:t>
      </w:r>
      <w:r>
        <w:rPr>
          <w:rFonts w:ascii="Times New Roman" w:hAnsi="Times New Roman" w:eastAsia="Times New Roman" w:cs="Arial"/>
          <w:sz w:val="24"/>
          <w:szCs w:val="24"/>
        </w:rPr>
        <w:t xml:space="preserve">, Department of Radiation Oncology, Shandong Cancer Hospital and Institute, No. 440, Jiyan Road, Jinan, Shandong 250117, China; E-mail: </w:t>
      </w:r>
      <w:r>
        <w:fldChar w:fldCharType="begin"/>
      </w:r>
      <w:r>
        <w:instrText xml:space="preserve"> HYPERLINK "mailto:15562481150@163.com" </w:instrText>
      </w:r>
      <w:r>
        <w:fldChar w:fldCharType="separate"/>
      </w:r>
      <w:r>
        <w:rPr>
          <w:rStyle w:val="9"/>
          <w:rFonts w:hint="eastAsia" w:ascii="Times New Roman" w:hAnsi="Times New Roman" w:eastAsia="宋体" w:cs="Arial"/>
          <w:color w:val="000000"/>
          <w:sz w:val="24"/>
          <w:szCs w:val="24"/>
          <w:u w:val="none"/>
        </w:rPr>
        <w:t>mengxuesdzl</w:t>
      </w:r>
      <w:r>
        <w:rPr>
          <w:rStyle w:val="9"/>
          <w:rFonts w:ascii="Times New Roman" w:hAnsi="Times New Roman" w:eastAsia="Times New Roman" w:cs="Arial"/>
          <w:color w:val="000000"/>
          <w:sz w:val="24"/>
          <w:szCs w:val="24"/>
          <w:u w:val="none"/>
        </w:rPr>
        <w:t>@163.com</w:t>
      </w:r>
      <w:r>
        <w:rPr>
          <w:rStyle w:val="9"/>
          <w:rFonts w:ascii="Times New Roman" w:hAnsi="Times New Roman" w:eastAsia="Times New Roman" w:cs="Arial"/>
          <w:color w:val="000000"/>
          <w:sz w:val="24"/>
          <w:szCs w:val="24"/>
          <w:u w:val="none"/>
        </w:rPr>
        <w:fldChar w:fldCharType="end"/>
      </w:r>
      <w:r>
        <w:rPr>
          <w:rFonts w:ascii="Times New Roman" w:hAnsi="Times New Roman" w:eastAsia="Times New Roman" w:cs="Arial"/>
          <w:sz w:val="24"/>
          <w:szCs w:val="24"/>
        </w:rPr>
        <w:t>, Tel: +86-531-67627082, Fax: +86-531-67627082</w:t>
      </w:r>
    </w:p>
    <w:p w14:paraId="6EB93342">
      <w:pPr>
        <w:spacing w:line="240" w:lineRule="auto"/>
        <w:rPr>
          <w:rFonts w:ascii="Times New Roman" w:hAnsi="Times New Roman" w:eastAsia="Times New Roman" w:cs="Arial"/>
          <w:sz w:val="24"/>
          <w:szCs w:val="24"/>
        </w:rPr>
      </w:pPr>
      <w:r>
        <w:rPr>
          <w:rFonts w:ascii="Times New Roman" w:hAnsi="Times New Roman" w:eastAsia="Times New Roman" w:cs="Arial"/>
          <w:sz w:val="24"/>
          <w:szCs w:val="24"/>
        </w:rPr>
        <w:br w:type="page"/>
      </w:r>
    </w:p>
    <w:p w14:paraId="096533B7">
      <w:pPr>
        <w:keepNext w:val="0"/>
        <w:keepLines w:val="0"/>
        <w:widowControl/>
        <w:suppressLineNumbers w:val="0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Online Resource 1</w:t>
      </w:r>
    </w:p>
    <w:p w14:paraId="2769505A">
      <w:pPr>
        <w:keepNext w:val="0"/>
        <w:keepLines w:val="0"/>
        <w:widowControl/>
        <w:suppressLineNumbers w:val="0"/>
        <w:adjustRightInd w:val="0"/>
        <w:snapToGrid w:val="0"/>
        <w:spacing w:line="480" w:lineRule="auto"/>
        <w:jc w:val="left"/>
        <w:rPr>
          <w:rFonts w:ascii="Times New Roman" w:hAnsi="Times New Roman" w:eastAsia="PMingLiU" w:cs="Times New Roman"/>
          <w:b w:val="0"/>
          <w:bCs w:val="0"/>
          <w:kern w:val="2"/>
          <w:sz w:val="24"/>
          <w:szCs w:val="24"/>
          <w:u w:val="none"/>
          <w:lang w:val="en-GB" w:eastAsia="zh-TW" w:bidi="ar"/>
          <w14:ligatures w14:val="none"/>
        </w:rPr>
      </w:pPr>
      <w:r>
        <w:rPr>
          <w:rFonts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>The changes of SUVmax (</w:t>
      </w:r>
      <w:r>
        <w:rPr>
          <w:rFonts w:hint="default"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>a</w:t>
      </w:r>
      <w:r>
        <w:rPr>
          <w:rFonts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>), SUVmean (</w:t>
      </w:r>
      <w:r>
        <w:rPr>
          <w:rFonts w:hint="default"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>b</w:t>
      </w:r>
      <w:r>
        <w:rPr>
          <w:rFonts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>), TLG (</w:t>
      </w:r>
      <w:r>
        <w:rPr>
          <w:rFonts w:hint="default"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>c</w:t>
      </w:r>
      <w:r>
        <w:rPr>
          <w:rFonts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>) and MTV (</w:t>
      </w:r>
      <w:r>
        <w:rPr>
          <w:rFonts w:hint="default"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>d</w:t>
      </w:r>
      <w:r>
        <w:rPr>
          <w:rFonts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>)</w:t>
      </w:r>
      <w:r>
        <w:rPr>
          <w:rFonts w:hint="default"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 xml:space="preserve"> from</w:t>
      </w:r>
      <w:r>
        <w:rPr>
          <w:rFonts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 xml:space="preserve"> the primary tumor</w:t>
      </w:r>
      <w:r>
        <w:rPr>
          <w:rFonts w:hint="default"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 xml:space="preserve"> </w:t>
      </w:r>
      <w:r>
        <w:rPr>
          <w:rFonts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 xml:space="preserve">between pre-NAT and post-NAT timepoints in pCR and non-pCR cohorts. SUVmax (e), SUVmean (f), TLG (g) and MTV (h) changes in MPR and non-MPR cohorts between pre-NAT and post-NAT timepoints. </w:t>
      </w:r>
    </w:p>
    <w:p w14:paraId="0B8EB863">
      <w:pPr>
        <w:shd w:val="clear"/>
        <w:adjustRightInd w:val="0"/>
        <w:snapToGrid w:val="0"/>
        <w:spacing w:line="480" w:lineRule="auto"/>
        <w:jc w:val="left"/>
        <w:rPr>
          <w:rFonts w:ascii="Times New Roman" w:hAnsi="Times New Roman" w:eastAsia="PMingLiU" w:cs="Times New Roman"/>
          <w:b w:val="0"/>
          <w:bCs w:val="0"/>
          <w:sz w:val="24"/>
          <w:szCs w:val="24"/>
          <w:shd w:val="clear"/>
          <w:lang w:val="en-GB" w:eastAsia="zh-TW"/>
          <w14:ligatures w14:val="none"/>
        </w:rPr>
      </w:pPr>
      <w:r>
        <w:rPr>
          <w:rFonts w:ascii="Times New Roman" w:hAnsi="Times New Roman" w:eastAsia="PMingLiU" w:cs="Times New Roman"/>
          <w:sz w:val="24"/>
          <w:szCs w:val="24"/>
          <w:lang w:val="en-GB" w:eastAsia="zh-TW"/>
          <w14:ligatures w14:val="none"/>
        </w:rPr>
        <w:drawing>
          <wp:inline distT="0" distB="0" distL="114300" distR="114300">
            <wp:extent cx="6461125" cy="3782695"/>
            <wp:effectExtent l="0" t="0" r="3175" b="1905"/>
            <wp:docPr id="3" name="图片 3" descr="Supplementary Fig.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plementary Fig.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61125" cy="378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E7FF56">
      <w:pPr>
        <w:shd w:val="clear"/>
        <w:adjustRightInd w:val="0"/>
        <w:snapToGrid w:val="0"/>
        <w:spacing w:line="480" w:lineRule="auto"/>
        <w:jc w:val="left"/>
        <w:rPr>
          <w:rFonts w:ascii="Times New Roman" w:hAnsi="Times New Roman" w:eastAsia="PMingLiU" w:cs="Times New Roman"/>
          <w:b w:val="0"/>
          <w:bCs w:val="0"/>
          <w:sz w:val="24"/>
          <w:szCs w:val="24"/>
          <w:shd w:val="clear"/>
          <w:lang w:val="en-GB" w:eastAsia="zh-TW"/>
          <w14:ligatures w14:val="none"/>
        </w:rPr>
      </w:pPr>
      <w:bookmarkStart w:id="0" w:name="_Hlk178727873"/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SUVmax, </w:t>
      </w:r>
      <w:r>
        <w:rPr>
          <w:rFonts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 xml:space="preserve">maximum standardized uptake value; SUVmean, </w:t>
      </w:r>
      <w:r>
        <w:rPr>
          <w:rFonts w:ascii="Times New Roman" w:hAnsi="Times New Roman" w:eastAsia="PMingLiU" w:cs="Times New Roman"/>
          <w:sz w:val="24"/>
          <w:szCs w:val="24"/>
          <w:shd w:val="clear"/>
          <w:lang w:val="en-GB" w:eastAsia="zh-TW" w:bidi="ar-SA"/>
          <w14:ligatures w14:val="none"/>
        </w:rPr>
        <w:t xml:space="preserve">mean standardized uptake value; 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TLG, </w:t>
      </w:r>
      <w:r>
        <w:rPr>
          <w:rFonts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>total lesion glycolysis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; MTV, </w:t>
      </w:r>
      <w:r>
        <w:rPr>
          <w:rFonts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 xml:space="preserve">metabolic tumor volume; 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NAT, neoadjuvant therapy; pCR, pathological complete response; MPR, major pathological response.</w:t>
      </w:r>
      <w:bookmarkEnd w:id="0"/>
    </w:p>
    <w:p w14:paraId="67476317">
      <w:pPr>
        <w:shd w:val="clear" w:color="auto" w:fill="auto"/>
        <w:rPr>
          <w:rFonts w:ascii="Times New Roman" w:hAnsi="Times New Roman" w:eastAsia="Times New Roman" w:cs="Segoe UI"/>
          <w:b w:val="0"/>
          <w:bCs w:val="0"/>
          <w:color w:val="auto"/>
          <w:kern w:val="2"/>
          <w:szCs w:val="21"/>
          <w:shd w:val="clear" w:color="auto" w:fill="FFFFFF"/>
        </w:rPr>
      </w:pPr>
    </w:p>
    <w:p w14:paraId="081B2857">
      <w:pPr>
        <w:shd w:val="clear" w:color="auto" w:fill="auto"/>
        <w:rPr>
          <w:rFonts w:ascii="Times New Roman" w:hAnsi="Times New Roman" w:eastAsia="Times New Roman" w:cs="Segoe UI"/>
          <w:b w:val="0"/>
          <w:bCs w:val="0"/>
          <w:color w:val="auto"/>
          <w:kern w:val="2"/>
          <w:szCs w:val="21"/>
          <w:shd w:val="clear" w:color="auto" w:fill="FFFFFF"/>
        </w:rPr>
      </w:pPr>
    </w:p>
    <w:p w14:paraId="4F719403">
      <w:pPr>
        <w:shd w:val="clear" w:color="auto" w:fill="auto"/>
        <w:rPr>
          <w:rFonts w:ascii="Times New Roman" w:hAnsi="Times New Roman" w:eastAsia="Times New Roman" w:cs="Segoe UI"/>
          <w:b w:val="0"/>
          <w:bCs w:val="0"/>
          <w:color w:val="auto"/>
          <w:kern w:val="2"/>
          <w:szCs w:val="21"/>
          <w:shd w:val="clear" w:color="auto" w:fill="FFFFFF"/>
        </w:rPr>
      </w:pPr>
    </w:p>
    <w:p w14:paraId="51363525">
      <w:pPr>
        <w:shd w:val="clear" w:color="auto" w:fill="auto"/>
        <w:rPr>
          <w:rFonts w:ascii="Times New Roman" w:hAnsi="Times New Roman" w:eastAsia="Times New Roman" w:cs="Segoe UI"/>
          <w:b w:val="0"/>
          <w:bCs w:val="0"/>
          <w:color w:val="auto"/>
          <w:kern w:val="2"/>
          <w:szCs w:val="21"/>
          <w:shd w:val="clear" w:color="auto" w:fill="FFFFFF"/>
        </w:rPr>
      </w:pPr>
    </w:p>
    <w:p w14:paraId="5945E35C">
      <w:pPr>
        <w:shd w:val="clear" w:color="auto" w:fill="auto"/>
        <w:rPr>
          <w:rFonts w:ascii="Times New Roman" w:hAnsi="Times New Roman" w:eastAsia="Times New Roman" w:cs="Segoe UI"/>
          <w:b w:val="0"/>
          <w:bCs w:val="0"/>
          <w:color w:val="auto"/>
          <w:kern w:val="2"/>
          <w:szCs w:val="21"/>
          <w:shd w:val="clear" w:color="auto" w:fill="FFFFFF"/>
        </w:rPr>
      </w:pPr>
    </w:p>
    <w:p w14:paraId="30E8C154">
      <w:pPr>
        <w:shd w:val="clear" w:color="auto" w:fill="auto"/>
        <w:rPr>
          <w:rFonts w:ascii="Times New Roman" w:hAnsi="Times New Roman" w:eastAsia="Times New Roman" w:cs="Segoe UI"/>
          <w:b w:val="0"/>
          <w:bCs w:val="0"/>
          <w:color w:val="auto"/>
          <w:kern w:val="2"/>
          <w:szCs w:val="21"/>
          <w:shd w:val="clear" w:color="auto" w:fill="FFFFFF"/>
        </w:rPr>
      </w:pPr>
    </w:p>
    <w:p w14:paraId="7F7EE3CD">
      <w:pPr>
        <w:shd w:val="clear" w:color="auto" w:fill="auto"/>
        <w:rPr>
          <w:rFonts w:ascii="Times New Roman" w:hAnsi="Times New Roman" w:eastAsia="Times New Roman" w:cs="Segoe UI"/>
          <w:b w:val="0"/>
          <w:bCs w:val="0"/>
          <w:color w:val="auto"/>
          <w:kern w:val="2"/>
          <w:szCs w:val="21"/>
          <w:shd w:val="clear" w:color="auto" w:fill="FFFFFF"/>
        </w:rPr>
      </w:pPr>
    </w:p>
    <w:p w14:paraId="01E2E964">
      <w:pPr>
        <w:shd w:val="clear" w:color="auto" w:fill="auto"/>
        <w:rPr>
          <w:rFonts w:ascii="Times New Roman" w:hAnsi="Times New Roman" w:eastAsia="Times New Roman" w:cs="Segoe UI"/>
          <w:b w:val="0"/>
          <w:bCs w:val="0"/>
          <w:color w:val="auto"/>
          <w:kern w:val="2"/>
          <w:szCs w:val="21"/>
          <w:shd w:val="clear" w:color="auto" w:fill="FFFFFF"/>
        </w:rPr>
      </w:pPr>
    </w:p>
    <w:p w14:paraId="3A141674">
      <w:pPr>
        <w:shd w:val="clear" w:color="auto" w:fill="auto"/>
        <w:rPr>
          <w:rFonts w:ascii="Times New Roman" w:hAnsi="Times New Roman" w:eastAsia="Times New Roman" w:cs="Segoe UI"/>
          <w:b w:val="0"/>
          <w:bCs w:val="0"/>
          <w:color w:val="auto"/>
          <w:kern w:val="2"/>
          <w:szCs w:val="21"/>
          <w:shd w:val="clear" w:color="auto" w:fill="FFFFFF"/>
        </w:rPr>
      </w:pPr>
    </w:p>
    <w:p w14:paraId="30BF30BB">
      <w:pPr>
        <w:shd w:val="clear" w:color="auto" w:fill="auto"/>
        <w:rPr>
          <w:rFonts w:ascii="Times New Roman" w:hAnsi="Times New Roman" w:eastAsia="Times New Roman" w:cs="Segoe UI"/>
          <w:b w:val="0"/>
          <w:bCs w:val="0"/>
          <w:color w:val="auto"/>
          <w:kern w:val="2"/>
          <w:szCs w:val="21"/>
          <w:shd w:val="clear" w:color="auto" w:fill="FFFFFF"/>
        </w:rPr>
      </w:pPr>
    </w:p>
    <w:p w14:paraId="35683DA0">
      <w:pPr>
        <w:shd w:val="clear" w:color="auto" w:fill="auto"/>
        <w:rPr>
          <w:rFonts w:ascii="Times New Roman" w:hAnsi="Times New Roman" w:eastAsia="Times New Roman" w:cs="Segoe UI"/>
          <w:b w:val="0"/>
          <w:bCs w:val="0"/>
          <w:color w:val="auto"/>
          <w:kern w:val="2"/>
          <w:szCs w:val="21"/>
          <w:shd w:val="clear" w:color="auto" w:fill="FFFFFF"/>
        </w:rPr>
      </w:pPr>
    </w:p>
    <w:p w14:paraId="73040A13">
      <w:pPr>
        <w:shd w:val="clear" w:color="auto" w:fill="auto"/>
        <w:rPr>
          <w:rFonts w:ascii="Times New Roman" w:hAnsi="Times New Roman" w:eastAsia="Times New Roman" w:cs="Segoe UI"/>
          <w:b w:val="0"/>
          <w:bCs w:val="0"/>
          <w:color w:val="auto"/>
          <w:kern w:val="2"/>
          <w:szCs w:val="21"/>
          <w:shd w:val="clear" w:color="auto" w:fill="FFFFFF"/>
        </w:rPr>
      </w:pPr>
    </w:p>
    <w:p w14:paraId="7DBB2708">
      <w:pPr>
        <w:shd w:val="clear" w:color="auto" w:fill="auto"/>
        <w:rPr>
          <w:rFonts w:ascii="Times New Roman" w:hAnsi="Times New Roman" w:eastAsia="Times New Roman" w:cs="Segoe UI"/>
          <w:b w:val="0"/>
          <w:bCs w:val="0"/>
          <w:color w:val="auto"/>
          <w:kern w:val="2"/>
          <w:szCs w:val="21"/>
          <w:shd w:val="clear" w:color="auto" w:fill="FFFFFF"/>
        </w:rPr>
      </w:pPr>
    </w:p>
    <w:p w14:paraId="433951CD">
      <w:pPr>
        <w:widowControl/>
        <w:shd w:val="clea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71CAFB8A">
      <w:pPr>
        <w:widowControl/>
        <w:shd w:val="clear"/>
        <w:adjustRightInd w:val="0"/>
        <w:snapToGrid w:val="0"/>
        <w:spacing w:line="480" w:lineRule="auto"/>
        <w:jc w:val="left"/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Online Resource 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2</w:t>
      </w:r>
    </w:p>
    <w:p w14:paraId="2EB59CD7">
      <w:pPr>
        <w:widowControl/>
        <w:shd w:val="clear"/>
        <w:adjustRightInd w:val="0"/>
        <w:snapToGrid w:val="0"/>
        <w:spacing w:line="480" w:lineRule="auto"/>
        <w:jc w:val="left"/>
        <w:rPr>
          <w:rFonts w:ascii="Times New Roman" w:hAnsi="Times New Roman" w:eastAsia="PMingLiU" w:cs="Times New Roman"/>
          <w:b w:val="0"/>
          <w:bCs w:val="0"/>
          <w:kern w:val="2"/>
          <w:sz w:val="24"/>
          <w:szCs w:val="24"/>
          <w:shd w:val="clear"/>
          <w:lang w:val="en-GB" w:eastAsia="zh-TW"/>
          <w14:ligatures w14:val="none"/>
        </w:rPr>
      </w:pPr>
      <w:r>
        <w:rPr>
          <w:rFonts w:ascii="Times New Roman" w:hAnsi="Times New Roman" w:eastAsia="PMingLiU" w:cs="Times New Roman"/>
          <w:b w:val="0"/>
          <w:bCs w:val="0"/>
          <w:kern w:val="2"/>
          <w:sz w:val="24"/>
          <w:szCs w:val="24"/>
          <w:shd w:val="clear"/>
          <w:lang w:val="en-GB" w:eastAsia="zh-TW"/>
          <w14:ligatures w14:val="none"/>
        </w:rPr>
        <w:t xml:space="preserve">Comparison of </w:t>
      </w:r>
      <w:r>
        <w:rPr>
          <w:rFonts w:ascii="Times New Roman" w:hAnsi="Times New Roman" w:eastAsia="PMingLiU" w:cs="Times New Roman"/>
          <w:b w:val="0"/>
          <w:bCs w:val="0"/>
          <w:kern w:val="2"/>
          <w:sz w:val="24"/>
          <w:szCs w:val="24"/>
          <w:shd w:val="clear"/>
          <w:vertAlign w:val="superscript"/>
          <w:lang w:val="en-GB" w:eastAsia="zh-TW"/>
          <w14:ligatures w14:val="none"/>
        </w:rPr>
        <w:t>18</w:t>
      </w:r>
      <w:r>
        <w:rPr>
          <w:rFonts w:ascii="Times New Roman" w:hAnsi="Times New Roman" w:eastAsia="PMingLiU" w:cs="Times New Roman"/>
          <w:b w:val="0"/>
          <w:bCs w:val="0"/>
          <w:kern w:val="2"/>
          <w:sz w:val="24"/>
          <w:szCs w:val="24"/>
          <w:shd w:val="clear"/>
          <w:lang w:val="en-GB" w:eastAsia="zh-TW"/>
          <w14:ligatures w14:val="none"/>
        </w:rPr>
        <w:t>F-FDG PET/CT secondary lymphoid organ metabolic parameters and inflammatory biomarkers with pathological responses following neoadjuvant therapy.</w:t>
      </w:r>
    </w:p>
    <w:tbl>
      <w:tblPr>
        <w:tblStyle w:val="7"/>
        <w:tblpPr w:leftFromText="180" w:rightFromText="180" w:vertAnchor="text" w:tblpXSpec="center" w:tblpY="1"/>
        <w:tblOverlap w:val="never"/>
        <w:tblW w:w="1070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1900"/>
        <w:gridCol w:w="1940"/>
        <w:gridCol w:w="800"/>
        <w:gridCol w:w="1822"/>
        <w:gridCol w:w="1843"/>
        <w:gridCol w:w="714"/>
      </w:tblGrid>
      <w:tr w14:paraId="15A38CC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</w:tcPr>
          <w:p w14:paraId="54F1B1E7">
            <w:pPr>
              <w:widowControl/>
              <w:shd w:val="clear" w:color="auto" w:fill="FFFFFF" w:themeFill="background1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Parameters</w:t>
            </w:r>
          </w:p>
        </w:tc>
        <w:tc>
          <w:tcPr>
            <w:tcW w:w="1900" w:type="dxa"/>
            <w:vMerge w:val="restart"/>
            <w:tcBorders>
              <w:bottom w:val="single" w:color="auto" w:sz="4" w:space="0"/>
            </w:tcBorders>
          </w:tcPr>
          <w:p w14:paraId="368A79F4">
            <w:pPr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pCR</w:t>
            </w:r>
          </w:p>
          <w:p w14:paraId="10C9248F">
            <w:pPr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（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n=8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）</w:t>
            </w:r>
          </w:p>
        </w:tc>
        <w:tc>
          <w:tcPr>
            <w:tcW w:w="1940" w:type="dxa"/>
            <w:vMerge w:val="restart"/>
            <w:tcBorders>
              <w:bottom w:val="single" w:color="auto" w:sz="4" w:space="0"/>
            </w:tcBorders>
          </w:tcPr>
          <w:p w14:paraId="0AAA44C5">
            <w:pPr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non-pCR</w:t>
            </w:r>
          </w:p>
          <w:p w14:paraId="21F06442">
            <w:pPr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（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n=16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）</w:t>
            </w:r>
          </w:p>
        </w:tc>
        <w:tc>
          <w:tcPr>
            <w:tcW w:w="800" w:type="dxa"/>
            <w:vMerge w:val="restart"/>
          </w:tcPr>
          <w:p w14:paraId="3A7C2FBB">
            <w:pPr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i/>
                <w:iCs/>
                <w:kern w:val="0"/>
                <w:sz w:val="21"/>
                <w:szCs w:val="21"/>
                <w14:ligatures w14:val="none"/>
              </w:rPr>
              <w:t>p</w:t>
            </w:r>
          </w:p>
          <w:p w14:paraId="610980D6">
            <w:pPr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value</w:t>
            </w:r>
          </w:p>
        </w:tc>
        <w:tc>
          <w:tcPr>
            <w:tcW w:w="1822" w:type="dxa"/>
            <w:vMerge w:val="restart"/>
            <w:tcBorders>
              <w:bottom w:val="single" w:color="auto" w:sz="4" w:space="0"/>
            </w:tcBorders>
          </w:tcPr>
          <w:p w14:paraId="04441D94">
            <w:pPr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MPR</w:t>
            </w:r>
          </w:p>
          <w:p w14:paraId="349A9344">
            <w:pPr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（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n=11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）</w:t>
            </w:r>
          </w:p>
        </w:tc>
        <w:tc>
          <w:tcPr>
            <w:tcW w:w="1843" w:type="dxa"/>
            <w:vMerge w:val="restart"/>
            <w:tcBorders>
              <w:bottom w:val="single" w:color="auto" w:sz="4" w:space="0"/>
            </w:tcBorders>
          </w:tcPr>
          <w:p w14:paraId="05590E01">
            <w:pPr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non-MPR</w:t>
            </w:r>
          </w:p>
          <w:p w14:paraId="40CED1A1">
            <w:pPr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（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n=13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）</w:t>
            </w:r>
          </w:p>
        </w:tc>
        <w:tc>
          <w:tcPr>
            <w:tcW w:w="714" w:type="dxa"/>
            <w:vMerge w:val="restart"/>
          </w:tcPr>
          <w:p w14:paraId="4453CFAA">
            <w:pPr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i/>
                <w:iCs/>
                <w:kern w:val="0"/>
                <w:sz w:val="21"/>
                <w:szCs w:val="21"/>
                <w14:ligatures w14:val="none"/>
              </w:rPr>
              <w:t>p</w:t>
            </w:r>
          </w:p>
          <w:p w14:paraId="7D6F8601">
            <w:pPr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i/>
                <w:iCs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value</w:t>
            </w:r>
          </w:p>
        </w:tc>
      </w:tr>
      <w:tr w14:paraId="0B5B2A5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</w:tcPr>
          <w:p w14:paraId="76A88089">
            <w:pPr>
              <w:shd w:val="clear" w:color="auto" w:fill="FFFFFF" w:themeFill="background1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</w:p>
        </w:tc>
        <w:tc>
          <w:tcPr>
            <w:tcW w:w="1900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 w14:paraId="5EDD5161">
            <w:pPr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</w:p>
        </w:tc>
        <w:tc>
          <w:tcPr>
            <w:tcW w:w="1940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 w14:paraId="527554D2">
            <w:pPr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</w:p>
        </w:tc>
        <w:tc>
          <w:tcPr>
            <w:tcW w:w="800" w:type="dxa"/>
            <w:vMerge w:val="continue"/>
          </w:tcPr>
          <w:p w14:paraId="74BB438C">
            <w:pPr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</w:p>
        </w:tc>
        <w:tc>
          <w:tcPr>
            <w:tcW w:w="1822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 w14:paraId="6697595E">
            <w:pPr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 w14:paraId="153FE7B1">
            <w:pPr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</w:p>
        </w:tc>
        <w:tc>
          <w:tcPr>
            <w:tcW w:w="714" w:type="dxa"/>
            <w:vMerge w:val="continue"/>
          </w:tcPr>
          <w:p w14:paraId="417518CA">
            <w:pPr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</w:p>
        </w:tc>
      </w:tr>
      <w:tr w14:paraId="676B74C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  <w:tcBorders>
              <w:bottom w:val="single" w:color="auto" w:sz="4" w:space="0"/>
            </w:tcBorders>
          </w:tcPr>
          <w:p w14:paraId="46B48E93">
            <w:pPr>
              <w:shd w:val="clear" w:color="auto" w:fill="FFFFFF" w:themeFill="background1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</w:p>
        </w:tc>
        <w:tc>
          <w:tcPr>
            <w:tcW w:w="1900" w:type="dxa"/>
            <w:tcBorders>
              <w:top w:val="single" w:color="auto" w:sz="4" w:space="0"/>
              <w:bottom w:val="single" w:color="auto" w:sz="4" w:space="0"/>
            </w:tcBorders>
          </w:tcPr>
          <w:p w14:paraId="75A0A12A">
            <w:pPr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Mean±SD or median (IQR)</w:t>
            </w:r>
          </w:p>
        </w:tc>
        <w:tc>
          <w:tcPr>
            <w:tcW w:w="1940" w:type="dxa"/>
            <w:tcBorders>
              <w:top w:val="single" w:color="auto" w:sz="4" w:space="0"/>
              <w:bottom w:val="single" w:color="auto" w:sz="4" w:space="0"/>
            </w:tcBorders>
          </w:tcPr>
          <w:p w14:paraId="64D31D16">
            <w:pPr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Mean±SD or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br w:type="textWrapping"/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median (IQR)</w:t>
            </w:r>
          </w:p>
        </w:tc>
        <w:tc>
          <w:tcPr>
            <w:tcW w:w="800" w:type="dxa"/>
            <w:tcBorders>
              <w:bottom w:val="single" w:color="auto" w:sz="4" w:space="0"/>
            </w:tcBorders>
          </w:tcPr>
          <w:p w14:paraId="7DD183B0">
            <w:pPr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</w:p>
        </w:tc>
        <w:tc>
          <w:tcPr>
            <w:tcW w:w="1822" w:type="dxa"/>
            <w:tcBorders>
              <w:top w:val="single" w:color="auto" w:sz="4" w:space="0"/>
              <w:bottom w:val="single" w:color="auto" w:sz="4" w:space="0"/>
            </w:tcBorders>
          </w:tcPr>
          <w:p w14:paraId="1A4F6F24">
            <w:pPr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Mean±SD or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br w:type="textWrapping"/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median (IQR)</w:t>
            </w:r>
          </w:p>
        </w:tc>
        <w:tc>
          <w:tcPr>
            <w:tcW w:w="1843" w:type="dxa"/>
            <w:tcBorders>
              <w:top w:val="single" w:color="auto" w:sz="4" w:space="0"/>
              <w:bottom w:val="single" w:color="auto" w:sz="4" w:space="0"/>
            </w:tcBorders>
          </w:tcPr>
          <w:p w14:paraId="6A041EC9">
            <w:pPr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Mean±SD or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br w:type="textWrapping"/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median (IQR)</w:t>
            </w:r>
          </w:p>
        </w:tc>
        <w:tc>
          <w:tcPr>
            <w:tcW w:w="714" w:type="dxa"/>
            <w:tcBorders>
              <w:bottom w:val="single" w:color="auto" w:sz="4" w:space="0"/>
            </w:tcBorders>
          </w:tcPr>
          <w:p w14:paraId="339FFA85">
            <w:pPr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</w:p>
        </w:tc>
      </w:tr>
      <w:tr w14:paraId="3C75647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07" w:type="dxa"/>
            <w:gridSpan w:val="7"/>
            <w:tcBorders>
              <w:top w:val="single" w:color="auto" w:sz="4" w:space="0"/>
              <w:bottom w:val="single" w:color="auto" w:sz="4" w:space="0"/>
            </w:tcBorders>
          </w:tcPr>
          <w:p w14:paraId="380A2105">
            <w:pPr>
              <w:shd w:val="clear" w:color="auto" w:fill="FFFFFF" w:themeFill="background1"/>
              <w:rPr>
                <w:rFonts w:ascii="Palatino Linotype" w:hAnsi="Palatino Linotype" w:eastAsia="Times New Roman" w:cs="Palatino Linotype"/>
                <w:color w:val="806000" w:themeColor="accent4" w:themeShade="8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b/>
                <w:bCs/>
                <w:kern w:val="0"/>
                <w:sz w:val="21"/>
                <w:szCs w:val="21"/>
                <w:shd w:val="clear" w:color="auto" w:fill="FFFFFF"/>
                <w14:ligatures w14:val="none"/>
              </w:rPr>
              <w:t>Secondary lymphoid organ metabolism</w:t>
            </w:r>
          </w:p>
        </w:tc>
      </w:tr>
      <w:tr w14:paraId="037C368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  <w:tcBorders>
              <w:top w:val="single" w:color="auto" w:sz="4" w:space="0"/>
            </w:tcBorders>
          </w:tcPr>
          <w:p w14:paraId="3C575F9A">
            <w:pPr>
              <w:shd w:val="clear" w:color="auto" w:fill="FFFFFF" w:themeFill="background1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Pre-NAT SLR</w:t>
            </w:r>
          </w:p>
        </w:tc>
        <w:tc>
          <w:tcPr>
            <w:tcW w:w="1900" w:type="dxa"/>
            <w:tcBorders>
              <w:top w:val="single" w:color="auto" w:sz="4" w:space="0"/>
            </w:tcBorders>
          </w:tcPr>
          <w:p w14:paraId="5E2D617F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1.17 (1.10, 1.41)</w:t>
            </w:r>
          </w:p>
        </w:tc>
        <w:tc>
          <w:tcPr>
            <w:tcW w:w="1940" w:type="dxa"/>
            <w:tcBorders>
              <w:top w:val="single" w:color="auto" w:sz="4" w:space="0"/>
            </w:tcBorders>
          </w:tcPr>
          <w:p w14:paraId="4FFECBB2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1.12 (1.04, 1.17)</w:t>
            </w:r>
          </w:p>
        </w:tc>
        <w:tc>
          <w:tcPr>
            <w:tcW w:w="800" w:type="dxa"/>
            <w:tcBorders>
              <w:top w:val="single" w:color="auto" w:sz="4" w:space="0"/>
            </w:tcBorders>
          </w:tcPr>
          <w:p w14:paraId="7C16AB2E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0.350</w:t>
            </w:r>
          </w:p>
        </w:tc>
        <w:tc>
          <w:tcPr>
            <w:tcW w:w="1822" w:type="dxa"/>
            <w:tcBorders>
              <w:top w:val="single" w:color="auto" w:sz="4" w:space="0"/>
            </w:tcBorders>
          </w:tcPr>
          <w:p w14:paraId="6FE7C743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1.17 (1.09, 1.40)</w:t>
            </w:r>
          </w:p>
        </w:tc>
        <w:tc>
          <w:tcPr>
            <w:tcW w:w="1843" w:type="dxa"/>
            <w:tcBorders>
              <w:top w:val="single" w:color="auto" w:sz="4" w:space="0"/>
            </w:tcBorders>
          </w:tcPr>
          <w:p w14:paraId="234F04A1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1.11 (1.04, 1.15)</w:t>
            </w:r>
          </w:p>
        </w:tc>
        <w:tc>
          <w:tcPr>
            <w:tcW w:w="714" w:type="dxa"/>
            <w:tcBorders>
              <w:top w:val="single" w:color="auto" w:sz="4" w:space="0"/>
            </w:tcBorders>
          </w:tcPr>
          <w:p w14:paraId="755CDDD9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0.459</w:t>
            </w:r>
          </w:p>
        </w:tc>
      </w:tr>
      <w:tr w14:paraId="66B0A02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</w:tcPr>
          <w:p w14:paraId="5D1B2E66">
            <w:pPr>
              <w:shd w:val="clear" w:color="auto" w:fill="FFFFFF" w:themeFill="background1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Pre-NAT BLR</w:t>
            </w:r>
          </w:p>
        </w:tc>
        <w:tc>
          <w:tcPr>
            <w:tcW w:w="1900" w:type="dxa"/>
          </w:tcPr>
          <w:p w14:paraId="30872AF7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1.21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0.34</w:t>
            </w:r>
          </w:p>
        </w:tc>
        <w:tc>
          <w:tcPr>
            <w:tcW w:w="1940" w:type="dxa"/>
          </w:tcPr>
          <w:p w14:paraId="0C9C7312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1.21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0.27</w:t>
            </w:r>
          </w:p>
        </w:tc>
        <w:tc>
          <w:tcPr>
            <w:tcW w:w="800" w:type="dxa"/>
          </w:tcPr>
          <w:p w14:paraId="282B15ED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0.985</w:t>
            </w:r>
          </w:p>
        </w:tc>
        <w:tc>
          <w:tcPr>
            <w:tcW w:w="1822" w:type="dxa"/>
          </w:tcPr>
          <w:p w14:paraId="703EF3B6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1.26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0.49</w:t>
            </w:r>
          </w:p>
        </w:tc>
        <w:tc>
          <w:tcPr>
            <w:tcW w:w="1843" w:type="dxa"/>
          </w:tcPr>
          <w:p w14:paraId="3849E41A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1.17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0.40</w:t>
            </w:r>
          </w:p>
        </w:tc>
        <w:tc>
          <w:tcPr>
            <w:tcW w:w="714" w:type="dxa"/>
          </w:tcPr>
          <w:p w14:paraId="357D83E2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0.442</w:t>
            </w:r>
          </w:p>
        </w:tc>
      </w:tr>
      <w:tr w14:paraId="062424C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</w:tcPr>
          <w:p w14:paraId="75DCCF13">
            <w:pPr>
              <w:shd w:val="clear" w:color="auto" w:fill="FFFFFF" w:themeFill="background1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Post-NAT SLR</w:t>
            </w:r>
          </w:p>
        </w:tc>
        <w:tc>
          <w:tcPr>
            <w:tcW w:w="1900" w:type="dxa"/>
          </w:tcPr>
          <w:p w14:paraId="28A8C2CC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1.06 (1.02, 1.15)</w:t>
            </w:r>
          </w:p>
        </w:tc>
        <w:tc>
          <w:tcPr>
            <w:tcW w:w="1940" w:type="dxa"/>
          </w:tcPr>
          <w:p w14:paraId="32BC6132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1.14 (1.01, 1.20)</w:t>
            </w:r>
          </w:p>
        </w:tc>
        <w:tc>
          <w:tcPr>
            <w:tcW w:w="800" w:type="dxa"/>
          </w:tcPr>
          <w:p w14:paraId="15CA3B2E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0.528</w:t>
            </w:r>
          </w:p>
        </w:tc>
        <w:tc>
          <w:tcPr>
            <w:tcW w:w="1822" w:type="dxa"/>
          </w:tcPr>
          <w:p w14:paraId="6385BF1C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1.14 (1.03, 1.19)</w:t>
            </w:r>
          </w:p>
        </w:tc>
        <w:tc>
          <w:tcPr>
            <w:tcW w:w="1843" w:type="dxa"/>
          </w:tcPr>
          <w:p w14:paraId="16E0264D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1.13 (0.99, 1.17)</w:t>
            </w:r>
          </w:p>
        </w:tc>
        <w:tc>
          <w:tcPr>
            <w:tcW w:w="714" w:type="dxa"/>
          </w:tcPr>
          <w:p w14:paraId="5094686E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0.649</w:t>
            </w:r>
          </w:p>
        </w:tc>
      </w:tr>
      <w:tr w14:paraId="06845A4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</w:tcPr>
          <w:p w14:paraId="796D4CB7">
            <w:pPr>
              <w:shd w:val="clear" w:color="auto" w:fill="FFFFFF" w:themeFill="background1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Post-NAT BLR</w:t>
            </w:r>
          </w:p>
        </w:tc>
        <w:tc>
          <w:tcPr>
            <w:tcW w:w="1900" w:type="dxa"/>
          </w:tcPr>
          <w:p w14:paraId="04B4CD3E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1.04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0.20</w:t>
            </w:r>
          </w:p>
        </w:tc>
        <w:tc>
          <w:tcPr>
            <w:tcW w:w="1940" w:type="dxa"/>
          </w:tcPr>
          <w:p w14:paraId="7A6D23AE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1.12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0.21</w:t>
            </w:r>
          </w:p>
        </w:tc>
        <w:tc>
          <w:tcPr>
            <w:tcW w:w="800" w:type="dxa"/>
          </w:tcPr>
          <w:p w14:paraId="356C6E38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0.372</w:t>
            </w:r>
          </w:p>
        </w:tc>
        <w:tc>
          <w:tcPr>
            <w:tcW w:w="1822" w:type="dxa"/>
          </w:tcPr>
          <w:p w14:paraId="319746BD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1.15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0.41</w:t>
            </w:r>
          </w:p>
        </w:tc>
        <w:tc>
          <w:tcPr>
            <w:tcW w:w="1843" w:type="dxa"/>
          </w:tcPr>
          <w:p w14:paraId="420226FE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1.05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0.32</w:t>
            </w:r>
          </w:p>
        </w:tc>
        <w:tc>
          <w:tcPr>
            <w:tcW w:w="714" w:type="dxa"/>
          </w:tcPr>
          <w:p w14:paraId="25929B49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0.245</w:t>
            </w:r>
          </w:p>
        </w:tc>
      </w:tr>
      <w:tr w14:paraId="1C9E5CD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</w:tcPr>
          <w:p w14:paraId="42350FFA">
            <w:pPr>
              <w:shd w:val="clear" w:color="auto" w:fill="FFFFFF" w:themeFill="background1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Δ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BLR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％</w:t>
            </w:r>
          </w:p>
        </w:tc>
        <w:tc>
          <w:tcPr>
            <w:tcW w:w="1900" w:type="dxa"/>
          </w:tcPr>
          <w:p w14:paraId="14C617CE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-9.66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25.34</w:t>
            </w:r>
          </w:p>
        </w:tc>
        <w:tc>
          <w:tcPr>
            <w:tcW w:w="1940" w:type="dxa"/>
          </w:tcPr>
          <w:p w14:paraId="2FB5E3DB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-4.18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22.45</w:t>
            </w:r>
          </w:p>
        </w:tc>
        <w:tc>
          <w:tcPr>
            <w:tcW w:w="800" w:type="dxa"/>
          </w:tcPr>
          <w:p w14:paraId="2867280B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0.588</w:t>
            </w:r>
          </w:p>
        </w:tc>
        <w:tc>
          <w:tcPr>
            <w:tcW w:w="1822" w:type="dxa"/>
          </w:tcPr>
          <w:p w14:paraId="39DA11F8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-4.40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26.94</w:t>
            </w:r>
          </w:p>
        </w:tc>
        <w:tc>
          <w:tcPr>
            <w:tcW w:w="1843" w:type="dxa"/>
          </w:tcPr>
          <w:p w14:paraId="29D6E58E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-7.39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18.59</w:t>
            </w:r>
          </w:p>
        </w:tc>
        <w:tc>
          <w:tcPr>
            <w:tcW w:w="714" w:type="dxa"/>
          </w:tcPr>
          <w:p w14:paraId="6EA4AF73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0.753</w:t>
            </w:r>
          </w:p>
        </w:tc>
      </w:tr>
      <w:tr w14:paraId="42AB412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  <w:tcBorders>
              <w:bottom w:val="single" w:color="auto" w:sz="4" w:space="0"/>
            </w:tcBorders>
          </w:tcPr>
          <w:p w14:paraId="72028997">
            <w:pPr>
              <w:shd w:val="clear" w:color="auto" w:fill="FFFFFF" w:themeFill="background1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Δ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SLR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％</w:t>
            </w:r>
          </w:p>
        </w:tc>
        <w:tc>
          <w:tcPr>
            <w:tcW w:w="1900" w:type="dxa"/>
            <w:tcBorders>
              <w:bottom w:val="single" w:color="auto" w:sz="4" w:space="0"/>
            </w:tcBorders>
          </w:tcPr>
          <w:p w14:paraId="20AF83BA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-11.15 (-17.54, -4.42)</w:t>
            </w:r>
          </w:p>
        </w:tc>
        <w:tc>
          <w:tcPr>
            <w:tcW w:w="1940" w:type="dxa"/>
            <w:tcBorders>
              <w:bottom w:val="single" w:color="auto" w:sz="4" w:space="0"/>
            </w:tcBorders>
          </w:tcPr>
          <w:p w14:paraId="06CFAAF2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2.89 (-7.71, 8.87)</w:t>
            </w:r>
          </w:p>
        </w:tc>
        <w:tc>
          <w:tcPr>
            <w:tcW w:w="800" w:type="dxa"/>
            <w:tcBorders>
              <w:bottom w:val="single" w:color="auto" w:sz="4" w:space="0"/>
            </w:tcBorders>
          </w:tcPr>
          <w:p w14:paraId="70CFB6AB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0.172</w:t>
            </w:r>
          </w:p>
        </w:tc>
        <w:tc>
          <w:tcPr>
            <w:tcW w:w="1822" w:type="dxa"/>
            <w:tcBorders>
              <w:bottom w:val="single" w:color="auto" w:sz="4" w:space="0"/>
            </w:tcBorders>
          </w:tcPr>
          <w:p w14:paraId="16F74D54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-7.68 (-15.75, 0.85)</w:t>
            </w:r>
          </w:p>
        </w:tc>
        <w:tc>
          <w:tcPr>
            <w:tcW w:w="1843" w:type="dxa"/>
            <w:tcBorders>
              <w:bottom w:val="single" w:color="auto" w:sz="4" w:space="0"/>
            </w:tcBorders>
          </w:tcPr>
          <w:p w14:paraId="6B1211D8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0.61 (-11.38, 8.87)</w:t>
            </w:r>
          </w:p>
        </w:tc>
        <w:tc>
          <w:tcPr>
            <w:tcW w:w="714" w:type="dxa"/>
            <w:tcBorders>
              <w:bottom w:val="single" w:color="auto" w:sz="4" w:space="0"/>
            </w:tcBorders>
          </w:tcPr>
          <w:p w14:paraId="65B80FC0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0.494</w:t>
            </w:r>
          </w:p>
        </w:tc>
      </w:tr>
      <w:tr w14:paraId="56EB3D1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07" w:type="dxa"/>
            <w:gridSpan w:val="7"/>
            <w:tcBorders>
              <w:top w:val="single" w:color="auto" w:sz="4" w:space="0"/>
              <w:bottom w:val="single" w:color="auto" w:sz="4" w:space="0"/>
            </w:tcBorders>
          </w:tcPr>
          <w:p w14:paraId="49E4A29C">
            <w:pPr>
              <w:shd w:val="clear" w:color="auto" w:fill="FFFFFF" w:themeFill="background1"/>
              <w:rPr>
                <w:rFonts w:ascii="Palatino Linotype" w:hAnsi="Palatino Linotype" w:eastAsia="Times New Roman" w:cs="Palatino Linotype"/>
                <w:b/>
                <w:bCs/>
                <w:color w:val="806000" w:themeColor="accent4" w:themeShade="80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b/>
                <w:bCs/>
                <w:kern w:val="0"/>
                <w:sz w:val="21"/>
                <w:szCs w:val="21"/>
                <w:shd w:val="clear" w:color="auto" w:fill="FFFFFF"/>
                <w14:ligatures w14:val="none"/>
              </w:rPr>
              <w:t>Circulating inflammatory biomarkers</w:t>
            </w:r>
          </w:p>
        </w:tc>
      </w:tr>
      <w:tr w14:paraId="58C2779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  <w:tcBorders>
              <w:top w:val="single" w:color="auto" w:sz="4" w:space="0"/>
            </w:tcBorders>
          </w:tcPr>
          <w:p w14:paraId="66C8DA75">
            <w:pPr>
              <w:shd w:val="clear" w:color="auto" w:fill="FFFFFF" w:themeFill="background1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Pre-NAT NLR</w:t>
            </w:r>
          </w:p>
        </w:tc>
        <w:tc>
          <w:tcPr>
            <w:tcW w:w="1900" w:type="dxa"/>
            <w:tcBorders>
              <w:top w:val="single" w:color="auto" w:sz="4" w:space="0"/>
            </w:tcBorders>
          </w:tcPr>
          <w:p w14:paraId="3C7FA4E6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3.00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0.67</w:t>
            </w:r>
          </w:p>
        </w:tc>
        <w:tc>
          <w:tcPr>
            <w:tcW w:w="1940" w:type="dxa"/>
            <w:tcBorders>
              <w:top w:val="single" w:color="auto" w:sz="4" w:space="0"/>
            </w:tcBorders>
          </w:tcPr>
          <w:p w14:paraId="2C313F98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2.70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2.07</w:t>
            </w:r>
          </w:p>
        </w:tc>
        <w:tc>
          <w:tcPr>
            <w:tcW w:w="800" w:type="dxa"/>
            <w:tcBorders>
              <w:top w:val="single" w:color="auto" w:sz="4" w:space="0"/>
            </w:tcBorders>
          </w:tcPr>
          <w:p w14:paraId="57374BB5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0.653</w:t>
            </w:r>
          </w:p>
        </w:tc>
        <w:tc>
          <w:tcPr>
            <w:tcW w:w="1822" w:type="dxa"/>
            <w:tcBorders>
              <w:top w:val="single" w:color="auto" w:sz="4" w:space="0"/>
            </w:tcBorders>
          </w:tcPr>
          <w:p w14:paraId="286C6065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3.23 (2.50, 3.43)</w:t>
            </w:r>
          </w:p>
        </w:tc>
        <w:tc>
          <w:tcPr>
            <w:tcW w:w="1843" w:type="dxa"/>
            <w:tcBorders>
              <w:top w:val="single" w:color="auto" w:sz="4" w:space="0"/>
            </w:tcBorders>
          </w:tcPr>
          <w:p w14:paraId="482706EC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2.48 (1.90, 4.18)</w:t>
            </w:r>
          </w:p>
        </w:tc>
        <w:tc>
          <w:tcPr>
            <w:tcW w:w="714" w:type="dxa"/>
            <w:tcBorders>
              <w:top w:val="single" w:color="auto" w:sz="4" w:space="0"/>
            </w:tcBorders>
          </w:tcPr>
          <w:p w14:paraId="3FF56F82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0.733</w:t>
            </w:r>
          </w:p>
        </w:tc>
      </w:tr>
      <w:tr w14:paraId="414FE06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</w:tcPr>
          <w:p w14:paraId="2426956B">
            <w:pPr>
              <w:shd w:val="clear" w:color="auto" w:fill="FFFFFF" w:themeFill="background1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Post-NAT NLR</w:t>
            </w:r>
          </w:p>
        </w:tc>
        <w:tc>
          <w:tcPr>
            <w:tcW w:w="1900" w:type="dxa"/>
          </w:tcPr>
          <w:p w14:paraId="60603614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1.58 (1.19, 1.85)</w:t>
            </w:r>
          </w:p>
        </w:tc>
        <w:tc>
          <w:tcPr>
            <w:tcW w:w="1940" w:type="dxa"/>
          </w:tcPr>
          <w:p w14:paraId="1DC758A6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2.15 (1.51, 2.61)</w:t>
            </w:r>
          </w:p>
        </w:tc>
        <w:tc>
          <w:tcPr>
            <w:tcW w:w="800" w:type="dxa"/>
          </w:tcPr>
          <w:p w14:paraId="78AFDECE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0.192</w:t>
            </w:r>
          </w:p>
        </w:tc>
        <w:tc>
          <w:tcPr>
            <w:tcW w:w="1822" w:type="dxa"/>
          </w:tcPr>
          <w:p w14:paraId="29899997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2.03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1.14</w:t>
            </w:r>
          </w:p>
        </w:tc>
        <w:tc>
          <w:tcPr>
            <w:tcW w:w="1843" w:type="dxa"/>
          </w:tcPr>
          <w:p w14:paraId="44B5C0C3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2.05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0.81</w:t>
            </w:r>
          </w:p>
        </w:tc>
        <w:tc>
          <w:tcPr>
            <w:tcW w:w="714" w:type="dxa"/>
          </w:tcPr>
          <w:p w14:paraId="6CA0A077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0.963</w:t>
            </w:r>
          </w:p>
        </w:tc>
      </w:tr>
      <w:tr w14:paraId="0B124C8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</w:tcPr>
          <w:p w14:paraId="5DCC7147">
            <w:pPr>
              <w:shd w:val="clear" w:color="auto" w:fill="FFFFFF" w:themeFill="background1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Δ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NLR</w:t>
            </w:r>
          </w:p>
        </w:tc>
        <w:tc>
          <w:tcPr>
            <w:tcW w:w="1900" w:type="dxa"/>
          </w:tcPr>
          <w:p w14:paraId="2BFC1026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-1.31 (-1.76, -0.84)</w:t>
            </w:r>
          </w:p>
        </w:tc>
        <w:tc>
          <w:tcPr>
            <w:tcW w:w="1940" w:type="dxa"/>
          </w:tcPr>
          <w:p w14:paraId="746A4C2C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-0.73 (-2.36, -0.15)</w:t>
            </w:r>
          </w:p>
        </w:tc>
        <w:tc>
          <w:tcPr>
            <w:tcW w:w="800" w:type="dxa"/>
          </w:tcPr>
          <w:p w14:paraId="181AE659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0.697</w:t>
            </w:r>
          </w:p>
        </w:tc>
        <w:tc>
          <w:tcPr>
            <w:tcW w:w="1822" w:type="dxa"/>
          </w:tcPr>
          <w:p w14:paraId="286B3A24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-1.20 (-1.88, -0.84)</w:t>
            </w:r>
          </w:p>
        </w:tc>
        <w:tc>
          <w:tcPr>
            <w:tcW w:w="1843" w:type="dxa"/>
          </w:tcPr>
          <w:p w14:paraId="4FE41FC6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-0.503 (-2.66, 0.11)</w:t>
            </w:r>
          </w:p>
        </w:tc>
        <w:tc>
          <w:tcPr>
            <w:tcW w:w="714" w:type="dxa"/>
          </w:tcPr>
          <w:p w14:paraId="235C5920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0.494</w:t>
            </w:r>
          </w:p>
        </w:tc>
      </w:tr>
      <w:tr w14:paraId="5B69DD8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</w:tcPr>
          <w:p w14:paraId="736672AB">
            <w:pPr>
              <w:shd w:val="clear" w:color="auto" w:fill="FFFFFF" w:themeFill="background1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Pre-NAT SII</w:t>
            </w:r>
          </w:p>
        </w:tc>
        <w:tc>
          <w:tcPr>
            <w:tcW w:w="1900" w:type="dxa"/>
          </w:tcPr>
          <w:p w14:paraId="5428CE6B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732.50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301.30</w:t>
            </w:r>
          </w:p>
        </w:tc>
        <w:tc>
          <w:tcPr>
            <w:tcW w:w="1940" w:type="dxa"/>
          </w:tcPr>
          <w:p w14:paraId="14596D7B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982.40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561.73</w:t>
            </w:r>
          </w:p>
        </w:tc>
        <w:tc>
          <w:tcPr>
            <w:tcW w:w="800" w:type="dxa"/>
          </w:tcPr>
          <w:p w14:paraId="649C694D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0.255</w:t>
            </w:r>
          </w:p>
        </w:tc>
        <w:tc>
          <w:tcPr>
            <w:tcW w:w="1822" w:type="dxa"/>
          </w:tcPr>
          <w:p w14:paraId="7F792576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786.0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296.45</w:t>
            </w:r>
          </w:p>
        </w:tc>
        <w:tc>
          <w:tcPr>
            <w:tcW w:w="1843" w:type="dxa"/>
          </w:tcPr>
          <w:p w14:paraId="2D2DC6E8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994.8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616.66</w:t>
            </w:r>
          </w:p>
        </w:tc>
        <w:tc>
          <w:tcPr>
            <w:tcW w:w="714" w:type="dxa"/>
          </w:tcPr>
          <w:p w14:paraId="4B74785B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0.317</w:t>
            </w:r>
          </w:p>
        </w:tc>
      </w:tr>
      <w:tr w14:paraId="21FD303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</w:tcPr>
          <w:p w14:paraId="32CA90C3">
            <w:pPr>
              <w:shd w:val="clear" w:color="auto" w:fill="FFFFFF" w:themeFill="background1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Post-NAT SII</w:t>
            </w:r>
          </w:p>
        </w:tc>
        <w:tc>
          <w:tcPr>
            <w:tcW w:w="1900" w:type="dxa"/>
          </w:tcPr>
          <w:p w14:paraId="519B5D1B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277.60 (244.09, 346.17)</w:t>
            </w:r>
          </w:p>
        </w:tc>
        <w:tc>
          <w:tcPr>
            <w:tcW w:w="1940" w:type="dxa"/>
          </w:tcPr>
          <w:p w14:paraId="084480AA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362.80 (275.76, 604.74)</w:t>
            </w:r>
          </w:p>
        </w:tc>
        <w:tc>
          <w:tcPr>
            <w:tcW w:w="800" w:type="dxa"/>
          </w:tcPr>
          <w:p w14:paraId="46C7B5FE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0.238</w:t>
            </w:r>
          </w:p>
        </w:tc>
        <w:tc>
          <w:tcPr>
            <w:tcW w:w="1822" w:type="dxa"/>
          </w:tcPr>
          <w:p w14:paraId="7B30828A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304.50 (239.52, 359.39)</w:t>
            </w:r>
          </w:p>
        </w:tc>
        <w:tc>
          <w:tcPr>
            <w:tcW w:w="1843" w:type="dxa"/>
          </w:tcPr>
          <w:p w14:paraId="47F79051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356.10 (282.37, 761.29)</w:t>
            </w:r>
          </w:p>
        </w:tc>
        <w:tc>
          <w:tcPr>
            <w:tcW w:w="714" w:type="dxa"/>
          </w:tcPr>
          <w:p w14:paraId="21691CC5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0.277</w:t>
            </w:r>
          </w:p>
        </w:tc>
      </w:tr>
      <w:tr w14:paraId="043B0BF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</w:tcPr>
          <w:p w14:paraId="2B4E1CC8">
            <w:pPr>
              <w:shd w:val="clear" w:color="auto" w:fill="FFFFFF" w:themeFill="background1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Δ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SII</w:t>
            </w:r>
          </w:p>
        </w:tc>
        <w:tc>
          <w:tcPr>
            <w:tcW w:w="1900" w:type="dxa"/>
          </w:tcPr>
          <w:p w14:paraId="02FC0E77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-473.60 (-591.68, -323.93)</w:t>
            </w:r>
          </w:p>
        </w:tc>
        <w:tc>
          <w:tcPr>
            <w:tcW w:w="1940" w:type="dxa"/>
          </w:tcPr>
          <w:p w14:paraId="130FA36A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-374.40 (-720.38, -152.40)</w:t>
            </w:r>
          </w:p>
        </w:tc>
        <w:tc>
          <w:tcPr>
            <w:tcW w:w="800" w:type="dxa"/>
          </w:tcPr>
          <w:p w14:paraId="02A7DF2A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0.8810</w:t>
            </w:r>
          </w:p>
        </w:tc>
        <w:tc>
          <w:tcPr>
            <w:tcW w:w="1822" w:type="dxa"/>
          </w:tcPr>
          <w:p w14:paraId="53121E6E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-501.20 (-658.44, -418.35)</w:t>
            </w:r>
          </w:p>
        </w:tc>
        <w:tc>
          <w:tcPr>
            <w:tcW w:w="1843" w:type="dxa"/>
          </w:tcPr>
          <w:p w14:paraId="7519840D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-295.80 (-738.77, -90.42)</w:t>
            </w:r>
          </w:p>
        </w:tc>
        <w:tc>
          <w:tcPr>
            <w:tcW w:w="714" w:type="dxa"/>
          </w:tcPr>
          <w:p w14:paraId="088B2D92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0.531</w:t>
            </w:r>
          </w:p>
        </w:tc>
      </w:tr>
      <w:tr w14:paraId="6358DEB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88" w:type="dxa"/>
          </w:tcPr>
          <w:p w14:paraId="3C5C931C">
            <w:pPr>
              <w:shd w:val="clear" w:color="auto" w:fill="FFFFFF" w:themeFill="background1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Pre-NAT dNLR</w:t>
            </w:r>
          </w:p>
        </w:tc>
        <w:tc>
          <w:tcPr>
            <w:tcW w:w="1900" w:type="dxa"/>
          </w:tcPr>
          <w:p w14:paraId="3B925B1C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1.93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0.53</w:t>
            </w:r>
          </w:p>
        </w:tc>
        <w:tc>
          <w:tcPr>
            <w:tcW w:w="1940" w:type="dxa"/>
          </w:tcPr>
          <w:p w14:paraId="0EDA97AB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2.23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1.14</w:t>
            </w:r>
          </w:p>
        </w:tc>
        <w:tc>
          <w:tcPr>
            <w:tcW w:w="800" w:type="dxa"/>
          </w:tcPr>
          <w:p w14:paraId="21374730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0.494</w:t>
            </w:r>
          </w:p>
        </w:tc>
        <w:tc>
          <w:tcPr>
            <w:tcW w:w="1822" w:type="dxa"/>
          </w:tcPr>
          <w:p w14:paraId="592190CE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2.10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0.60</w:t>
            </w:r>
          </w:p>
        </w:tc>
        <w:tc>
          <w:tcPr>
            <w:tcW w:w="1843" w:type="dxa"/>
          </w:tcPr>
          <w:p w14:paraId="3BA87BDB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2.16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1.24</w:t>
            </w:r>
          </w:p>
        </w:tc>
        <w:tc>
          <w:tcPr>
            <w:tcW w:w="714" w:type="dxa"/>
          </w:tcPr>
          <w:p w14:paraId="49FB697B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0.876</w:t>
            </w:r>
          </w:p>
        </w:tc>
      </w:tr>
      <w:tr w14:paraId="0335DF0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688" w:type="dxa"/>
          </w:tcPr>
          <w:p w14:paraId="5A9F21FA">
            <w:pPr>
              <w:shd w:val="clear" w:color="auto" w:fill="FFFFFF" w:themeFill="background1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Post-NAT dNLR</w:t>
            </w:r>
          </w:p>
        </w:tc>
        <w:tc>
          <w:tcPr>
            <w:tcW w:w="1900" w:type="dxa"/>
          </w:tcPr>
          <w:p w14:paraId="53D3BD53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0.95 (0.69, 1.17)</w:t>
            </w:r>
          </w:p>
        </w:tc>
        <w:tc>
          <w:tcPr>
            <w:tcW w:w="1940" w:type="dxa"/>
          </w:tcPr>
          <w:p w14:paraId="592DBA71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1.33 (1.08, 1.74)</w:t>
            </w:r>
          </w:p>
        </w:tc>
        <w:tc>
          <w:tcPr>
            <w:tcW w:w="800" w:type="dxa"/>
          </w:tcPr>
          <w:p w14:paraId="6B1E2A51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0.070</w:t>
            </w:r>
          </w:p>
        </w:tc>
        <w:tc>
          <w:tcPr>
            <w:tcW w:w="1822" w:type="dxa"/>
          </w:tcPr>
          <w:p w14:paraId="1BB00B3C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1.25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0.64</w:t>
            </w:r>
          </w:p>
        </w:tc>
        <w:tc>
          <w:tcPr>
            <w:tcW w:w="1843" w:type="dxa"/>
          </w:tcPr>
          <w:p w14:paraId="5B2FA423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1.32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0.41</w:t>
            </w:r>
          </w:p>
        </w:tc>
        <w:tc>
          <w:tcPr>
            <w:tcW w:w="714" w:type="dxa"/>
          </w:tcPr>
          <w:p w14:paraId="0BCF837E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0.746</w:t>
            </w:r>
          </w:p>
        </w:tc>
      </w:tr>
      <w:tr w14:paraId="67632D9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  <w:tcBorders>
              <w:bottom w:val="single" w:color="auto" w:sz="4" w:space="0"/>
            </w:tcBorders>
          </w:tcPr>
          <w:p w14:paraId="10BC390E">
            <w:pPr>
              <w:shd w:val="clear" w:color="auto" w:fill="FFFFFF" w:themeFill="background1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Δ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:shd w:val="clear" w:color="auto" w:fill="FFFFFF"/>
                <w14:ligatures w14:val="none"/>
              </w:rPr>
              <w:t>dNLR</w:t>
            </w:r>
          </w:p>
        </w:tc>
        <w:tc>
          <w:tcPr>
            <w:tcW w:w="1900" w:type="dxa"/>
            <w:tcBorders>
              <w:bottom w:val="single" w:color="auto" w:sz="4" w:space="0"/>
            </w:tcBorders>
          </w:tcPr>
          <w:p w14:paraId="29566CA3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-0.92 (-1.43, -0.53)</w:t>
            </w:r>
          </w:p>
        </w:tc>
        <w:tc>
          <w:tcPr>
            <w:tcW w:w="1940" w:type="dxa"/>
            <w:tcBorders>
              <w:bottom w:val="single" w:color="auto" w:sz="4" w:space="0"/>
            </w:tcBorders>
          </w:tcPr>
          <w:p w14:paraId="66A1265C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-0.63 (-1.30, -0.11)</w:t>
            </w:r>
          </w:p>
        </w:tc>
        <w:tc>
          <w:tcPr>
            <w:tcW w:w="800" w:type="dxa"/>
            <w:tcBorders>
              <w:bottom w:val="single" w:color="auto" w:sz="4" w:space="0"/>
            </w:tcBorders>
          </w:tcPr>
          <w:p w14:paraId="248E7EE9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0.610</w:t>
            </w:r>
          </w:p>
        </w:tc>
        <w:tc>
          <w:tcPr>
            <w:tcW w:w="1822" w:type="dxa"/>
            <w:tcBorders>
              <w:bottom w:val="single" w:color="auto" w:sz="4" w:space="0"/>
            </w:tcBorders>
          </w:tcPr>
          <w:p w14:paraId="65F88CEB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-0.85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0.89</w:t>
            </w:r>
          </w:p>
        </w:tc>
        <w:tc>
          <w:tcPr>
            <w:tcW w:w="1843" w:type="dxa"/>
            <w:tcBorders>
              <w:bottom w:val="single" w:color="auto" w:sz="4" w:space="0"/>
            </w:tcBorders>
          </w:tcPr>
          <w:p w14:paraId="5600D464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-0.84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1.31</w:t>
            </w:r>
          </w:p>
        </w:tc>
        <w:tc>
          <w:tcPr>
            <w:tcW w:w="714" w:type="dxa"/>
            <w:tcBorders>
              <w:bottom w:val="single" w:color="auto" w:sz="4" w:space="0"/>
            </w:tcBorders>
          </w:tcPr>
          <w:p w14:paraId="6378612B">
            <w:pPr>
              <w:widowControl/>
              <w:shd w:val="clear" w:color="auto" w:fill="FFFFFF" w:themeFill="background1"/>
              <w:jc w:val="center"/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</w:pPr>
            <w:r>
              <w:rPr>
                <w:rFonts w:ascii="Palatino Linotype" w:hAnsi="Palatino Linotype" w:eastAsia="Times New Roman" w:cs="Palatino Linotype"/>
                <w:kern w:val="0"/>
                <w:sz w:val="21"/>
                <w:szCs w:val="21"/>
                <w14:ligatures w14:val="none"/>
              </w:rPr>
              <w:t>0.989</w:t>
            </w:r>
          </w:p>
        </w:tc>
      </w:tr>
    </w:tbl>
    <w:p w14:paraId="44166741">
      <w:pPr>
        <w:widowControl/>
        <w:shd w:val="clear"/>
        <w:adjustRightInd w:val="0"/>
        <w:snapToGrid w:val="0"/>
        <w:spacing w:line="480" w:lineRule="auto"/>
        <w:jc w:val="left"/>
        <w:rPr>
          <w:rFonts w:ascii="Times New Roman" w:hAnsi="Times New Roman" w:eastAsia="PMingLiU" w:cs="Times New Roman"/>
          <w:b w:val="0"/>
          <w:bCs w:val="0"/>
          <w:sz w:val="24"/>
          <w:szCs w:val="24"/>
          <w:shd w:val="clear"/>
          <w:lang w:val="en-GB" w:eastAsia="zh-TW"/>
          <w14:ligatures w14:val="none"/>
        </w:rPr>
      </w:pP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pCR, pathological complete response; MPR, major pathological response; SD, standard deviation; IQR,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 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interquartile range; SLR, spleen-to-liver SUVmax ratio; BLR, bone marrow-to-liver SUVmax ratio; ΔXX% = (p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ost-NAT 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XX – p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re-NAT 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XX) / pre-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NAT 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XX × 100%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; 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NAT, neoadjuvant therapy; NLR, neutrophil-to-lymphocyte ratio; SII, systemic immune-inflammation index; dNLR, derived neutrophil-to-lymphocyte ratio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.</w:t>
      </w:r>
    </w:p>
    <w:p w14:paraId="7D4F8340">
      <w:pPr>
        <w:shd w:val="clear" w:color="auto" w:fill="auto"/>
        <w:rPr>
          <w:rFonts w:ascii="Times New Roman" w:hAnsi="Times New Roman" w:eastAsia="Times New Roman" w:cs="Segoe UI"/>
          <w:b w:val="0"/>
          <w:bCs w:val="0"/>
          <w:color w:val="auto"/>
          <w:kern w:val="2"/>
          <w:szCs w:val="21"/>
          <w:shd w:val="clear" w:color="auto" w:fill="FFFFFF"/>
        </w:rPr>
      </w:pPr>
      <w:r>
        <w:rPr>
          <w:rFonts w:ascii="Times New Roman" w:hAnsi="Times New Roman" w:eastAsia="Times New Roman" w:cs="Segoe UI"/>
          <w:b w:val="0"/>
          <w:bCs w:val="0"/>
          <w:color w:val="auto"/>
          <w:kern w:val="2"/>
          <w:szCs w:val="21"/>
          <w:shd w:val="clear" w:color="auto" w:fill="FFFFFF"/>
        </w:rPr>
        <w:br w:type="page"/>
      </w:r>
    </w:p>
    <w:p w14:paraId="772B51AA">
      <w:pPr>
        <w:keepNext w:val="0"/>
        <w:keepLines w:val="0"/>
        <w:widowControl/>
        <w:suppressLineNumbers w:val="0"/>
        <w:adjustRightInd w:val="0"/>
        <w:snapToGrid w:val="0"/>
        <w:spacing w:line="480" w:lineRule="auto"/>
        <w:jc w:val="left"/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Online Resource 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3</w:t>
      </w:r>
    </w:p>
    <w:p w14:paraId="0469009F">
      <w:pPr>
        <w:keepNext w:val="0"/>
        <w:keepLines w:val="0"/>
        <w:widowControl/>
        <w:suppressLineNumbers w:val="0"/>
        <w:adjustRightInd w:val="0"/>
        <w:snapToGrid w:val="0"/>
        <w:spacing w:line="480" w:lineRule="auto"/>
        <w:jc w:val="left"/>
        <w:rPr>
          <w:rFonts w:hint="default" w:ascii="Times New Roman" w:hAnsi="Times New Roman" w:eastAsia="PMingLiU" w:cs="Times New Roman"/>
          <w:b w:val="0"/>
          <w:sz w:val="24"/>
          <w:szCs w:val="24"/>
          <w:lang w:val="en-GB" w:eastAsia="zh-TW"/>
          <w14:ligatures w14:val="none"/>
        </w:rPr>
      </w:pP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Comparison of changes of circulating immune biomarkers across different pathological responses groups following NAT. Comparison of 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Δ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NK cells (</w:t>
      </w:r>
      <w:r>
        <w:rPr>
          <w:rFonts w:hint="default"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>a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), 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Δ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total B cells (</w:t>
      </w:r>
      <w:r>
        <w:rPr>
          <w:rFonts w:hint="default"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>b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), 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Δ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total T cells (</w:t>
      </w:r>
      <w:r>
        <w:rPr>
          <w:rFonts w:hint="default"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>c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), 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Δ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Th cells</w:t>
      </w:r>
      <w:r>
        <w:rPr>
          <w:rFonts w:hint="default"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 xml:space="preserve"> 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(</w:t>
      </w:r>
      <w:r>
        <w:rPr>
          <w:rFonts w:hint="default"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>d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), 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Δ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CTL (</w:t>
      </w:r>
      <w:r>
        <w:rPr>
          <w:rFonts w:hint="default"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>e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), and 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Δ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CD4+/CD8+ </w:t>
      </w:r>
      <w:r>
        <w:rPr>
          <w:rFonts w:hint="default"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 xml:space="preserve">cell ratios 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(</w:t>
      </w:r>
      <w:r>
        <w:rPr>
          <w:rFonts w:hint="default"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>f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) between pCR and non-pCR groups, as well as between MPR and non-MPR groups. </w:t>
      </w:r>
    </w:p>
    <w:p w14:paraId="600DBB15">
      <w:pPr>
        <w:shd w:val="clear" w:color="auto" w:fill="FFFFFF" w:themeFill="background1"/>
        <w:jc w:val="center"/>
        <w:rPr>
          <w:rFonts w:ascii="Times New Roman" w:hAnsi="Times New Roman" w:eastAsia="Times New Roman" w:cs="Segoe UI"/>
          <w:b/>
          <w:bCs/>
          <w:szCs w:val="21"/>
          <w:shd w:val="clear" w:color="auto" w:fill="FFFFFF"/>
        </w:rPr>
      </w:pPr>
      <w:r>
        <w:t xml:space="preserve"> </w:t>
      </w:r>
      <w:r>
        <w:drawing>
          <wp:inline distT="0" distB="0" distL="114300" distR="114300">
            <wp:extent cx="4350385" cy="6762750"/>
            <wp:effectExtent l="0" t="0" r="5715" b="6350"/>
            <wp:docPr id="4" name="图片 4" descr="Supplementary Figure S2 小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ary Figure S2 小写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50385" cy="676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2F98F">
      <w:pPr>
        <w:widowControl/>
        <w:shd w:val="clear"/>
        <w:adjustRightInd w:val="0"/>
        <w:snapToGrid w:val="0"/>
        <w:spacing w:line="480" w:lineRule="auto"/>
        <w:jc w:val="left"/>
        <w:rPr>
          <w:rFonts w:ascii="Times New Roman" w:hAnsi="Times New Roman" w:eastAsia="PMingLiU" w:cs="Times New Roman"/>
          <w:b w:val="0"/>
          <w:bCs w:val="0"/>
          <w:sz w:val="24"/>
          <w:szCs w:val="24"/>
          <w:shd w:val="clear"/>
          <w:lang w:val="en-GB" w:eastAsia="zh-TW"/>
          <w14:ligatures w14:val="none"/>
        </w:rPr>
      </w:pPr>
      <w:bookmarkStart w:id="1" w:name="_Hlk178727852"/>
      <w:bookmarkStart w:id="2" w:name="_Hlk179930359"/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NAT, neoadjuvant therapy; pCR, pathological complete response; MPR, major pathological response; NK cells, natural killer cells; Th, helper T cells; CTL, cytotoxic T </w:t>
      </w:r>
      <w:r>
        <w:rPr>
          <w:rFonts w:hint="default" w:ascii="Times New Roman" w:hAnsi="Times New Roman" w:eastAsia="PMingLiU" w:cs="Times New Roman"/>
          <w:sz w:val="24"/>
          <w:szCs w:val="24"/>
          <w:shd w:val="clear"/>
          <w:lang w:val="en-GB" w:eastAsia="zh-TW"/>
          <w14:ligatures w14:val="none"/>
        </w:rPr>
        <w:t>lymphocytes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; Δ = post-NAT XX – pre-NAT XX.</w:t>
      </w:r>
      <w:bookmarkEnd w:id="1"/>
      <w:bookmarkEnd w:id="2"/>
    </w:p>
    <w:p w14:paraId="6E9097B5">
      <w:pPr>
        <w:widowControl/>
        <w:shd w:val="clear"/>
        <w:adjustRightInd w:val="0"/>
        <w:snapToGrid w:val="0"/>
        <w:spacing w:line="480" w:lineRule="auto"/>
        <w:jc w:val="left"/>
        <w:rPr>
          <w:rFonts w:ascii="Times New Roman" w:hAnsi="Times New Roman" w:eastAsia="Times New Roman" w:cs="Times New Roman"/>
          <w:b/>
          <w:bCs/>
          <w:color w:val="000000"/>
          <w:kern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Online Resource 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4</w:t>
      </w:r>
    </w:p>
    <w:p w14:paraId="104B55D9">
      <w:pPr>
        <w:widowControl/>
        <w:shd w:val="clear"/>
        <w:adjustRightInd w:val="0"/>
        <w:snapToGrid w:val="0"/>
        <w:spacing w:line="480" w:lineRule="auto"/>
        <w:jc w:val="left"/>
        <w:rPr>
          <w:rFonts w:ascii="Times New Roman" w:hAnsi="Times New Roman" w:eastAsia="PMingLiU" w:cs="Times New Roman"/>
          <w:b w:val="0"/>
          <w:bCs w:val="0"/>
          <w:sz w:val="24"/>
          <w:szCs w:val="24"/>
          <w:shd w:val="clear"/>
          <w:lang w:val="en-GB" w:eastAsia="zh-TW"/>
          <w14:ligatures w14:val="none"/>
        </w:rPr>
      </w:pPr>
      <w:r>
        <w:rPr>
          <w:rFonts w:ascii="Times New Roman" w:hAnsi="Times New Roman" w:eastAsia="PMingLiU" w:cs="Times New Roman"/>
          <w:b w:val="0"/>
          <w:bCs w:val="0"/>
          <w:sz w:val="24"/>
          <w:szCs w:val="24"/>
          <w:shd w:val="clear"/>
          <w:lang w:val="en-GB" w:eastAsia="zh-TW"/>
          <w14:ligatures w14:val="none"/>
        </w:rPr>
        <w:t>Correlation analysis between circulating immune biomarkers and pathplogical response.</w:t>
      </w:r>
    </w:p>
    <w:tbl>
      <w:tblPr>
        <w:tblStyle w:val="7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3"/>
        <w:gridCol w:w="1420"/>
        <w:gridCol w:w="1420"/>
        <w:gridCol w:w="829"/>
        <w:gridCol w:w="1420"/>
        <w:gridCol w:w="1420"/>
        <w:gridCol w:w="829"/>
      </w:tblGrid>
      <w:tr w14:paraId="1BB133D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3" w:type="dxa"/>
            <w:vMerge w:val="restart"/>
          </w:tcPr>
          <w:p w14:paraId="0471826B">
            <w:pPr>
              <w:widowControl/>
              <w:shd w:val="clear" w:color="auto" w:fill="FFFFFF" w:themeFill="background1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</w:p>
        </w:tc>
        <w:tc>
          <w:tcPr>
            <w:tcW w:w="1420" w:type="dxa"/>
            <w:tcBorders>
              <w:bottom w:val="single" w:color="auto" w:sz="4" w:space="0"/>
            </w:tcBorders>
          </w:tcPr>
          <w:p w14:paraId="63196780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pCR</w:t>
            </w:r>
          </w:p>
          <w:p w14:paraId="5D48F8D4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（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n=8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）</w:t>
            </w:r>
          </w:p>
        </w:tc>
        <w:tc>
          <w:tcPr>
            <w:tcW w:w="1420" w:type="dxa"/>
            <w:tcBorders>
              <w:bottom w:val="single" w:color="auto" w:sz="4" w:space="0"/>
            </w:tcBorders>
          </w:tcPr>
          <w:p w14:paraId="642D2B4B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non-pCR</w:t>
            </w:r>
          </w:p>
          <w:p w14:paraId="6962CC30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（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n=16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）</w:t>
            </w:r>
          </w:p>
        </w:tc>
        <w:tc>
          <w:tcPr>
            <w:tcW w:w="829" w:type="dxa"/>
            <w:vMerge w:val="restart"/>
          </w:tcPr>
          <w:p w14:paraId="0AD004A6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kern w:val="0"/>
                <w:sz w:val="21"/>
                <w:szCs w:val="21"/>
                <w14:ligatures w14:val="none"/>
              </w:rPr>
              <w:t>p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 value</w:t>
            </w:r>
          </w:p>
        </w:tc>
        <w:tc>
          <w:tcPr>
            <w:tcW w:w="1420" w:type="dxa"/>
            <w:tcBorders>
              <w:bottom w:val="single" w:color="auto" w:sz="4" w:space="0"/>
            </w:tcBorders>
          </w:tcPr>
          <w:p w14:paraId="11C11822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MPR</w:t>
            </w:r>
          </w:p>
          <w:p w14:paraId="5C86F7EB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i w:val="0"/>
                <w:iCs w:val="0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（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n=11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）</w:t>
            </w:r>
          </w:p>
        </w:tc>
        <w:tc>
          <w:tcPr>
            <w:tcW w:w="1420" w:type="dxa"/>
            <w:tcBorders>
              <w:bottom w:val="single" w:color="auto" w:sz="4" w:space="0"/>
            </w:tcBorders>
          </w:tcPr>
          <w:p w14:paraId="605DCED6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non-MPR</w:t>
            </w:r>
          </w:p>
          <w:p w14:paraId="4FEB6A3F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i w:val="0"/>
                <w:iCs w:val="0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（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n=13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）</w:t>
            </w:r>
          </w:p>
        </w:tc>
        <w:tc>
          <w:tcPr>
            <w:tcW w:w="829" w:type="dxa"/>
            <w:vMerge w:val="restart"/>
          </w:tcPr>
          <w:p w14:paraId="36EDED31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i/>
                <w:iCs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kern w:val="0"/>
                <w:sz w:val="21"/>
                <w:szCs w:val="21"/>
                <w14:ligatures w14:val="none"/>
              </w:rPr>
              <w:t>p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 value</w:t>
            </w:r>
          </w:p>
        </w:tc>
      </w:tr>
      <w:tr w14:paraId="262F6C9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23" w:type="dxa"/>
            <w:vMerge w:val="continue"/>
          </w:tcPr>
          <w:p w14:paraId="59273527">
            <w:pPr>
              <w:shd w:val="clear" w:color="auto" w:fill="FFFFFF" w:themeFill="background1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</w:p>
        </w:tc>
        <w:tc>
          <w:tcPr>
            <w:tcW w:w="1420" w:type="dxa"/>
            <w:tcBorders>
              <w:top w:val="single" w:color="auto" w:sz="4" w:space="0"/>
            </w:tcBorders>
          </w:tcPr>
          <w:p w14:paraId="2FB625E6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</w:p>
          <w:p w14:paraId="6220CF3C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Mean±SD or</w:t>
            </w:r>
          </w:p>
          <w:p w14:paraId="46D5D9C1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median (IQR)</w:t>
            </w:r>
          </w:p>
        </w:tc>
        <w:tc>
          <w:tcPr>
            <w:tcW w:w="1420" w:type="dxa"/>
            <w:tcBorders>
              <w:top w:val="single" w:color="auto" w:sz="4" w:space="0"/>
            </w:tcBorders>
          </w:tcPr>
          <w:p w14:paraId="58CF418A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</w:p>
          <w:p w14:paraId="29101EF1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Mean±SD or</w:t>
            </w:r>
          </w:p>
          <w:p w14:paraId="4CCFC115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median (IQR)</w:t>
            </w:r>
          </w:p>
        </w:tc>
        <w:tc>
          <w:tcPr>
            <w:tcW w:w="829" w:type="dxa"/>
            <w:vMerge w:val="continue"/>
          </w:tcPr>
          <w:p w14:paraId="71EACBF7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</w:p>
        </w:tc>
        <w:tc>
          <w:tcPr>
            <w:tcW w:w="1420" w:type="dxa"/>
            <w:tcBorders>
              <w:top w:val="single" w:color="auto" w:sz="4" w:space="0"/>
            </w:tcBorders>
          </w:tcPr>
          <w:p w14:paraId="4C89A754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</w:p>
          <w:p w14:paraId="705D49FE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Mean±SD or</w:t>
            </w:r>
          </w:p>
          <w:p w14:paraId="68D5CB09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median (IQR)</w:t>
            </w:r>
          </w:p>
        </w:tc>
        <w:tc>
          <w:tcPr>
            <w:tcW w:w="1420" w:type="dxa"/>
            <w:tcBorders>
              <w:top w:val="single" w:color="auto" w:sz="4" w:space="0"/>
            </w:tcBorders>
          </w:tcPr>
          <w:p w14:paraId="1665B8A7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</w:p>
          <w:p w14:paraId="0A670589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Mean±SD or</w:t>
            </w:r>
          </w:p>
          <w:p w14:paraId="5E257656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median (IQR)</w:t>
            </w:r>
          </w:p>
        </w:tc>
        <w:tc>
          <w:tcPr>
            <w:tcW w:w="829" w:type="dxa"/>
            <w:vMerge w:val="continue"/>
          </w:tcPr>
          <w:p w14:paraId="7CC26162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</w:p>
        </w:tc>
      </w:tr>
      <w:tr w14:paraId="0713CB8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1" w:type="dxa"/>
            <w:gridSpan w:val="7"/>
            <w:tcBorders>
              <w:top w:val="single" w:color="auto" w:sz="4" w:space="0"/>
              <w:bottom w:val="single" w:color="auto" w:sz="4" w:space="0"/>
            </w:tcBorders>
          </w:tcPr>
          <w:p w14:paraId="71931F61">
            <w:pPr>
              <w:shd w:val="clear" w:color="auto" w:fill="FFFFFF" w:themeFill="background1"/>
              <w:rPr>
                <w:rFonts w:ascii="Times New Roman" w:hAnsi="Times New Roman" w:eastAsia="Times New Roman" w:cs="Times New Roman"/>
                <w:b/>
                <w:bCs/>
                <w:color w:val="806000" w:themeColor="accent4" w:themeShade="80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kern w:val="0"/>
                <w:sz w:val="21"/>
                <w:szCs w:val="21"/>
                <w:shd w:val="clear" w:color="auto" w:fill="FFFFFF"/>
                <w14:ligatures w14:val="none"/>
              </w:rPr>
              <w:t xml:space="preserve">Circulating </w:t>
            </w:r>
            <w:r>
              <w:rPr>
                <w:rFonts w:ascii="Times New Roman" w:hAnsi="Times New Roman" w:eastAsia="Times New Roman" w:cs="Times New Roman"/>
                <w:b/>
                <w:bCs/>
                <w:sz w:val="21"/>
                <w:szCs w:val="21"/>
                <w:shd w:val="clear" w:color="auto" w:fill="FFFFFF"/>
              </w:rPr>
              <w:t xml:space="preserve">immune </w:t>
            </w:r>
            <w:r>
              <w:rPr>
                <w:rFonts w:ascii="Times New Roman" w:hAnsi="Times New Roman" w:eastAsia="Times New Roman" w:cs="Times New Roman"/>
                <w:b/>
                <w:bCs/>
                <w:kern w:val="0"/>
                <w:sz w:val="21"/>
                <w:szCs w:val="21"/>
                <w:shd w:val="clear" w:color="auto" w:fill="FFFFFF"/>
                <w14:ligatures w14:val="none"/>
              </w:rPr>
              <w:t>biomarkers</w:t>
            </w:r>
          </w:p>
        </w:tc>
      </w:tr>
      <w:tr w14:paraId="5AAFAD9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3" w:type="dxa"/>
            <w:tcBorders>
              <w:top w:val="single" w:color="auto" w:sz="4" w:space="0"/>
            </w:tcBorders>
          </w:tcPr>
          <w:p w14:paraId="227D122F">
            <w:pPr>
              <w:shd w:val="clear" w:color="auto" w:fill="FFFFFF" w:themeFill="background1"/>
              <w:jc w:val="left"/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Pre-NAT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NK cells</w:t>
            </w:r>
          </w:p>
        </w:tc>
        <w:tc>
          <w:tcPr>
            <w:tcW w:w="1420" w:type="dxa"/>
            <w:tcBorders>
              <w:top w:val="single" w:color="auto" w:sz="4" w:space="0"/>
            </w:tcBorders>
          </w:tcPr>
          <w:p w14:paraId="58806DB0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19.03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7.19</w:t>
            </w:r>
          </w:p>
          <w:p w14:paraId="4FD2BAD6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420" w:type="dxa"/>
            <w:tcBorders>
              <w:top w:val="single" w:color="auto" w:sz="4" w:space="0"/>
            </w:tcBorders>
          </w:tcPr>
          <w:p w14:paraId="4D2020C8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20.90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6.60</w:t>
            </w:r>
          </w:p>
          <w:p w14:paraId="2A9D87B1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829" w:type="dxa"/>
            <w:tcBorders>
              <w:top w:val="single" w:color="auto" w:sz="4" w:space="0"/>
            </w:tcBorders>
          </w:tcPr>
          <w:p w14:paraId="2D9F41D0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0.530</w:t>
            </w:r>
          </w:p>
        </w:tc>
        <w:tc>
          <w:tcPr>
            <w:tcW w:w="1420" w:type="dxa"/>
            <w:tcBorders>
              <w:top w:val="single" w:color="auto" w:sz="4" w:space="0"/>
            </w:tcBorders>
          </w:tcPr>
          <w:p w14:paraId="5E176230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20.60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6.87</w:t>
            </w:r>
          </w:p>
          <w:p w14:paraId="40B12594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420" w:type="dxa"/>
            <w:tcBorders>
              <w:top w:val="single" w:color="auto" w:sz="4" w:space="0"/>
            </w:tcBorders>
          </w:tcPr>
          <w:p w14:paraId="0ECD8431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20.00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6.82</w:t>
            </w:r>
          </w:p>
          <w:p w14:paraId="4C913592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829" w:type="dxa"/>
            <w:tcBorders>
              <w:top w:val="single" w:color="auto" w:sz="4" w:space="0"/>
            </w:tcBorders>
          </w:tcPr>
          <w:p w14:paraId="0ACAD028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0.833</w:t>
            </w:r>
          </w:p>
          <w:p w14:paraId="48404205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</w:p>
        </w:tc>
      </w:tr>
      <w:tr w14:paraId="6955375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3" w:type="dxa"/>
          </w:tcPr>
          <w:p w14:paraId="7BEB5816">
            <w:pPr>
              <w:shd w:val="clear" w:color="auto" w:fill="FFFFFF" w:themeFill="background1"/>
              <w:jc w:val="left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Post-NAT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NK cells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 xml:space="preserve">  </w:t>
            </w:r>
          </w:p>
        </w:tc>
        <w:tc>
          <w:tcPr>
            <w:tcW w:w="1420" w:type="dxa"/>
          </w:tcPr>
          <w:p w14:paraId="280D587A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22.40 (16.18,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26.75)</w:t>
            </w:r>
          </w:p>
        </w:tc>
        <w:tc>
          <w:tcPr>
            <w:tcW w:w="1420" w:type="dxa"/>
          </w:tcPr>
          <w:p w14:paraId="1E610D50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17.95 (15.80,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24.23)</w:t>
            </w:r>
          </w:p>
        </w:tc>
        <w:tc>
          <w:tcPr>
            <w:tcW w:w="829" w:type="dxa"/>
          </w:tcPr>
          <w:p w14:paraId="1854E6E0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0.600</w:t>
            </w:r>
          </w:p>
        </w:tc>
        <w:tc>
          <w:tcPr>
            <w:tcW w:w="1420" w:type="dxa"/>
          </w:tcPr>
          <w:p w14:paraId="736E8D3F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24.00 (17.60,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27.40)</w:t>
            </w:r>
          </w:p>
        </w:tc>
        <w:tc>
          <w:tcPr>
            <w:tcW w:w="1420" w:type="dxa"/>
          </w:tcPr>
          <w:p w14:paraId="2DAFA074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17.80 (15.20,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19.50)</w:t>
            </w:r>
          </w:p>
        </w:tc>
        <w:tc>
          <w:tcPr>
            <w:tcW w:w="829" w:type="dxa"/>
          </w:tcPr>
          <w:p w14:paraId="02CA496F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0.246</w:t>
            </w:r>
          </w:p>
        </w:tc>
      </w:tr>
      <w:tr w14:paraId="2C704BE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3" w:type="dxa"/>
          </w:tcPr>
          <w:p w14:paraId="429A6908">
            <w:pPr>
              <w:shd w:val="clear" w:color="auto" w:fill="FFFFFF" w:themeFill="background1"/>
              <w:jc w:val="left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Pre-NAT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total B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 xml:space="preserve"> cells</w:t>
            </w:r>
          </w:p>
        </w:tc>
        <w:tc>
          <w:tcPr>
            <w:tcW w:w="1420" w:type="dxa"/>
          </w:tcPr>
          <w:p w14:paraId="4D353F02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7.60 (5.90,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9.73)</w:t>
            </w:r>
          </w:p>
        </w:tc>
        <w:tc>
          <w:tcPr>
            <w:tcW w:w="1420" w:type="dxa"/>
          </w:tcPr>
          <w:p w14:paraId="63D7D8D6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9.05 (6.50,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12.33)</w:t>
            </w:r>
          </w:p>
        </w:tc>
        <w:tc>
          <w:tcPr>
            <w:tcW w:w="829" w:type="dxa"/>
          </w:tcPr>
          <w:p w14:paraId="5A1B2274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0.776</w:t>
            </w:r>
          </w:p>
        </w:tc>
        <w:tc>
          <w:tcPr>
            <w:tcW w:w="1420" w:type="dxa"/>
          </w:tcPr>
          <w:p w14:paraId="2553ABE5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6.80 (5.75,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9.75)</w:t>
            </w:r>
          </w:p>
        </w:tc>
        <w:tc>
          <w:tcPr>
            <w:tcW w:w="1420" w:type="dxa"/>
          </w:tcPr>
          <w:p w14:paraId="06ADAF63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9.20 (7.4,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11.9)</w:t>
            </w:r>
          </w:p>
        </w:tc>
        <w:tc>
          <w:tcPr>
            <w:tcW w:w="829" w:type="dxa"/>
          </w:tcPr>
          <w:p w14:paraId="1BAA417C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0.416</w:t>
            </w:r>
          </w:p>
        </w:tc>
      </w:tr>
      <w:tr w14:paraId="3244F60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3" w:type="dxa"/>
          </w:tcPr>
          <w:p w14:paraId="6A21913C">
            <w:pPr>
              <w:shd w:val="clear" w:color="auto" w:fill="FFFFFF" w:themeFill="background1"/>
              <w:jc w:val="left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Post-NAT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total B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 xml:space="preserve"> cells</w:t>
            </w:r>
          </w:p>
        </w:tc>
        <w:tc>
          <w:tcPr>
            <w:tcW w:w="1420" w:type="dxa"/>
          </w:tcPr>
          <w:p w14:paraId="48C4201D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5.45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(3.98,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7.58)</w:t>
            </w:r>
          </w:p>
        </w:tc>
        <w:tc>
          <w:tcPr>
            <w:tcW w:w="1420" w:type="dxa"/>
          </w:tcPr>
          <w:p w14:paraId="20229802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6.40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(4.50,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10.68)</w:t>
            </w:r>
          </w:p>
        </w:tc>
        <w:tc>
          <w:tcPr>
            <w:tcW w:w="829" w:type="dxa"/>
          </w:tcPr>
          <w:p w14:paraId="4FD95187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0.599</w:t>
            </w:r>
          </w:p>
        </w:tc>
        <w:tc>
          <w:tcPr>
            <w:tcW w:w="1420" w:type="dxa"/>
          </w:tcPr>
          <w:p w14:paraId="6B793ABF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4.60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(3.75,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7.75)</w:t>
            </w:r>
          </w:p>
        </w:tc>
        <w:tc>
          <w:tcPr>
            <w:tcW w:w="1420" w:type="dxa"/>
          </w:tcPr>
          <w:p w14:paraId="5B35E025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6.50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(5.3,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10.1)</w:t>
            </w:r>
          </w:p>
        </w:tc>
        <w:tc>
          <w:tcPr>
            <w:tcW w:w="829" w:type="dxa"/>
          </w:tcPr>
          <w:p w14:paraId="15BC0FA2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0.384</w:t>
            </w:r>
          </w:p>
        </w:tc>
      </w:tr>
      <w:tr w14:paraId="4F4D3D7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3" w:type="dxa"/>
          </w:tcPr>
          <w:p w14:paraId="2A91CFD3">
            <w:pPr>
              <w:shd w:val="clear" w:color="auto" w:fill="FFFFFF" w:themeFill="background1"/>
              <w:jc w:val="left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Pre-NAT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total T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 xml:space="preserve"> cells</w:t>
            </w:r>
          </w:p>
        </w:tc>
        <w:tc>
          <w:tcPr>
            <w:tcW w:w="1420" w:type="dxa"/>
          </w:tcPr>
          <w:p w14:paraId="420D73A6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64.60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9.71</w:t>
            </w:r>
          </w:p>
        </w:tc>
        <w:tc>
          <w:tcPr>
            <w:tcW w:w="1420" w:type="dxa"/>
          </w:tcPr>
          <w:p w14:paraId="32475385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66.61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7.26</w:t>
            </w:r>
          </w:p>
        </w:tc>
        <w:tc>
          <w:tcPr>
            <w:tcW w:w="829" w:type="dxa"/>
          </w:tcPr>
          <w:p w14:paraId="38DC7E22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0.574</w:t>
            </w:r>
          </w:p>
        </w:tc>
        <w:tc>
          <w:tcPr>
            <w:tcW w:w="1420" w:type="dxa"/>
          </w:tcPr>
          <w:p w14:paraId="0337B848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64.39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8.30</w:t>
            </w:r>
          </w:p>
        </w:tc>
        <w:tc>
          <w:tcPr>
            <w:tcW w:w="1420" w:type="dxa"/>
          </w:tcPr>
          <w:p w14:paraId="3540799E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67.25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7.82</w:t>
            </w:r>
          </w:p>
        </w:tc>
        <w:tc>
          <w:tcPr>
            <w:tcW w:w="829" w:type="dxa"/>
          </w:tcPr>
          <w:p w14:paraId="559BAC23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0.396</w:t>
            </w:r>
          </w:p>
        </w:tc>
      </w:tr>
      <w:tr w14:paraId="5143EC3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3" w:type="dxa"/>
          </w:tcPr>
          <w:p w14:paraId="5A6BB5F6">
            <w:pPr>
              <w:shd w:val="clear" w:color="auto" w:fill="FFFFFF" w:themeFill="background1"/>
              <w:jc w:val="left"/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Post-NAT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total T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 xml:space="preserve"> cells</w:t>
            </w:r>
          </w:p>
        </w:tc>
        <w:tc>
          <w:tcPr>
            <w:tcW w:w="1420" w:type="dxa"/>
          </w:tcPr>
          <w:p w14:paraId="16E7A868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67.16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10.97</w:t>
            </w:r>
          </w:p>
        </w:tc>
        <w:tc>
          <w:tcPr>
            <w:tcW w:w="1420" w:type="dxa"/>
          </w:tcPr>
          <w:p w14:paraId="0770D51F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69.04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8.32</w:t>
            </w:r>
          </w:p>
        </w:tc>
        <w:tc>
          <w:tcPr>
            <w:tcW w:w="829" w:type="dxa"/>
          </w:tcPr>
          <w:p w14:paraId="60F667DA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0.643</w:t>
            </w:r>
          </w:p>
        </w:tc>
        <w:tc>
          <w:tcPr>
            <w:tcW w:w="1420" w:type="dxa"/>
          </w:tcPr>
          <w:p w14:paraId="696D18D6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66.57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9.70</w:t>
            </w:r>
          </w:p>
        </w:tc>
        <w:tc>
          <w:tcPr>
            <w:tcW w:w="1420" w:type="dxa"/>
          </w:tcPr>
          <w:p w14:paraId="411816CB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69.98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8.62</w:t>
            </w:r>
          </w:p>
        </w:tc>
        <w:tc>
          <w:tcPr>
            <w:tcW w:w="829" w:type="dxa"/>
          </w:tcPr>
          <w:p w14:paraId="2A51A51B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0.372</w:t>
            </w:r>
          </w:p>
        </w:tc>
      </w:tr>
      <w:tr w14:paraId="368A868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3" w:type="dxa"/>
          </w:tcPr>
          <w:p w14:paraId="7BF9C07A">
            <w:pPr>
              <w:shd w:val="clear" w:color="auto" w:fill="FFFFFF" w:themeFill="background1"/>
              <w:jc w:val="left"/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Pre-NAT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 xml:space="preserve"> Th cells</w:t>
            </w:r>
          </w:p>
        </w:tc>
        <w:tc>
          <w:tcPr>
            <w:tcW w:w="1420" w:type="dxa"/>
          </w:tcPr>
          <w:p w14:paraId="5E8CC584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38.45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7.77</w:t>
            </w:r>
          </w:p>
        </w:tc>
        <w:tc>
          <w:tcPr>
            <w:tcW w:w="1420" w:type="dxa"/>
          </w:tcPr>
          <w:p w14:paraId="134D634A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39.29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6.15</w:t>
            </w:r>
          </w:p>
        </w:tc>
        <w:tc>
          <w:tcPr>
            <w:tcW w:w="829" w:type="dxa"/>
          </w:tcPr>
          <w:p w14:paraId="37559B76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0.776</w:t>
            </w:r>
          </w:p>
        </w:tc>
        <w:tc>
          <w:tcPr>
            <w:tcW w:w="1420" w:type="dxa"/>
          </w:tcPr>
          <w:p w14:paraId="55659880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38.42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7.26</w:t>
            </w:r>
          </w:p>
        </w:tc>
        <w:tc>
          <w:tcPr>
            <w:tcW w:w="1420" w:type="dxa"/>
          </w:tcPr>
          <w:p w14:paraId="53B0A979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39.51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6.19</w:t>
            </w:r>
          </w:p>
        </w:tc>
        <w:tc>
          <w:tcPr>
            <w:tcW w:w="829" w:type="dxa"/>
          </w:tcPr>
          <w:p w14:paraId="7D368E06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0.695</w:t>
            </w:r>
          </w:p>
        </w:tc>
      </w:tr>
      <w:tr w14:paraId="1CEEA98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3" w:type="dxa"/>
          </w:tcPr>
          <w:p w14:paraId="02FDC7BC">
            <w:pPr>
              <w:shd w:val="clear" w:color="auto" w:fill="FFFFFF" w:themeFill="background1"/>
              <w:jc w:val="left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Post-NAT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 xml:space="preserve"> Th cells</w:t>
            </w:r>
          </w:p>
        </w:tc>
        <w:tc>
          <w:tcPr>
            <w:tcW w:w="1420" w:type="dxa"/>
          </w:tcPr>
          <w:p w14:paraId="30926CD2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41.01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10.33</w:t>
            </w:r>
          </w:p>
        </w:tc>
        <w:tc>
          <w:tcPr>
            <w:tcW w:w="1420" w:type="dxa"/>
          </w:tcPr>
          <w:p w14:paraId="7F71617A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41.08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6.86</w:t>
            </w:r>
          </w:p>
        </w:tc>
        <w:tc>
          <w:tcPr>
            <w:tcW w:w="829" w:type="dxa"/>
          </w:tcPr>
          <w:p w14:paraId="13945F71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0.986</w:t>
            </w:r>
          </w:p>
        </w:tc>
        <w:tc>
          <w:tcPr>
            <w:tcW w:w="1420" w:type="dxa"/>
          </w:tcPr>
          <w:p w14:paraId="3847FAF2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40.71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9.06</w:t>
            </w:r>
          </w:p>
        </w:tc>
        <w:tc>
          <w:tcPr>
            <w:tcW w:w="1420" w:type="dxa"/>
          </w:tcPr>
          <w:p w14:paraId="318B0BD9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41.35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7.25</w:t>
            </w:r>
          </w:p>
        </w:tc>
        <w:tc>
          <w:tcPr>
            <w:tcW w:w="829" w:type="dxa"/>
          </w:tcPr>
          <w:p w14:paraId="6426C272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0.850</w:t>
            </w:r>
          </w:p>
        </w:tc>
      </w:tr>
      <w:tr w14:paraId="46311AE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3" w:type="dxa"/>
          </w:tcPr>
          <w:p w14:paraId="302D3AEE">
            <w:pPr>
              <w:shd w:val="clear" w:color="auto" w:fill="FFFFFF" w:themeFill="background1"/>
              <w:jc w:val="left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Pre-NAT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CTL</w:t>
            </w:r>
          </w:p>
        </w:tc>
        <w:tc>
          <w:tcPr>
            <w:tcW w:w="1420" w:type="dxa"/>
          </w:tcPr>
          <w:p w14:paraId="30335763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18.85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(16.08,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32.60)</w:t>
            </w:r>
          </w:p>
        </w:tc>
        <w:tc>
          <w:tcPr>
            <w:tcW w:w="1420" w:type="dxa"/>
          </w:tcPr>
          <w:p w14:paraId="0C4E22D4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20.15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(17.38,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24.00)</w:t>
            </w:r>
          </w:p>
        </w:tc>
        <w:tc>
          <w:tcPr>
            <w:tcW w:w="829" w:type="dxa"/>
          </w:tcPr>
          <w:p w14:paraId="0B58B32F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0.845</w:t>
            </w:r>
          </w:p>
        </w:tc>
        <w:tc>
          <w:tcPr>
            <w:tcW w:w="1420" w:type="dxa"/>
          </w:tcPr>
          <w:p w14:paraId="4523F737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18.50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(15.6,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31.1)</w:t>
            </w:r>
          </w:p>
        </w:tc>
        <w:tc>
          <w:tcPr>
            <w:tcW w:w="1420" w:type="dxa"/>
          </w:tcPr>
          <w:p w14:paraId="73EADF2D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20.40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(19.00,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23.80)</w:t>
            </w:r>
          </w:p>
        </w:tc>
        <w:tc>
          <w:tcPr>
            <w:tcW w:w="829" w:type="dxa"/>
          </w:tcPr>
          <w:p w14:paraId="0626A4F5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0.400</w:t>
            </w:r>
          </w:p>
        </w:tc>
      </w:tr>
      <w:tr w14:paraId="5A9800E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3" w:type="dxa"/>
          </w:tcPr>
          <w:p w14:paraId="0A53876E">
            <w:pPr>
              <w:shd w:val="clear" w:color="auto" w:fill="FFFFFF" w:themeFill="background1"/>
              <w:jc w:val="left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Post-NAT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CTL</w:t>
            </w:r>
          </w:p>
        </w:tc>
        <w:tc>
          <w:tcPr>
            <w:tcW w:w="1420" w:type="dxa"/>
          </w:tcPr>
          <w:p w14:paraId="1266D8D0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21.55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(17.38,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31.70)</w:t>
            </w:r>
          </w:p>
        </w:tc>
        <w:tc>
          <w:tcPr>
            <w:tcW w:w="1420" w:type="dxa"/>
          </w:tcPr>
          <w:p w14:paraId="403ED777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21.60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(19.98,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23.18)</w:t>
            </w:r>
          </w:p>
        </w:tc>
        <w:tc>
          <w:tcPr>
            <w:tcW w:w="829" w:type="dxa"/>
          </w:tcPr>
          <w:p w14:paraId="315C7D23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0.917</w:t>
            </w:r>
          </w:p>
        </w:tc>
        <w:tc>
          <w:tcPr>
            <w:tcW w:w="1420" w:type="dxa"/>
          </w:tcPr>
          <w:p w14:paraId="1610BEE0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22.50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(19.10,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27.65)</w:t>
            </w:r>
          </w:p>
        </w:tc>
        <w:tc>
          <w:tcPr>
            <w:tcW w:w="1420" w:type="dxa"/>
          </w:tcPr>
          <w:p w14:paraId="26C97BAD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21.00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(19.9,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22.30)</w:t>
            </w:r>
          </w:p>
        </w:tc>
        <w:tc>
          <w:tcPr>
            <w:tcW w:w="829" w:type="dxa"/>
          </w:tcPr>
          <w:p w14:paraId="19C9529C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0.765</w:t>
            </w:r>
          </w:p>
        </w:tc>
      </w:tr>
      <w:tr w14:paraId="1E807C3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3" w:type="dxa"/>
          </w:tcPr>
          <w:p w14:paraId="797FB664">
            <w:pPr>
              <w:shd w:val="clear" w:color="auto" w:fill="FFFFFF" w:themeFill="background1"/>
              <w:jc w:val="left"/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Pre-NAT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CD4+/CD8+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 xml:space="preserve"> cell ratios</w:t>
            </w:r>
          </w:p>
        </w:tc>
        <w:tc>
          <w:tcPr>
            <w:tcW w:w="1420" w:type="dxa"/>
          </w:tcPr>
          <w:p w14:paraId="4D53C056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1.98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8.41</w:t>
            </w:r>
          </w:p>
        </w:tc>
        <w:tc>
          <w:tcPr>
            <w:tcW w:w="1420" w:type="dxa"/>
          </w:tcPr>
          <w:p w14:paraId="6D5F4A23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1.85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0.62</w:t>
            </w:r>
          </w:p>
        </w:tc>
        <w:tc>
          <w:tcPr>
            <w:tcW w:w="829" w:type="dxa"/>
          </w:tcPr>
          <w:p w14:paraId="4E85C958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0.687</w:t>
            </w:r>
          </w:p>
        </w:tc>
        <w:tc>
          <w:tcPr>
            <w:tcW w:w="1420" w:type="dxa"/>
          </w:tcPr>
          <w:p w14:paraId="7AE53568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1.93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0.82</w:t>
            </w:r>
          </w:p>
        </w:tc>
        <w:tc>
          <w:tcPr>
            <w:tcW w:w="1420" w:type="dxa"/>
          </w:tcPr>
          <w:p w14:paraId="0A19EC2B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1.86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0.59</w:t>
            </w:r>
          </w:p>
        </w:tc>
        <w:tc>
          <w:tcPr>
            <w:tcW w:w="829" w:type="dxa"/>
          </w:tcPr>
          <w:p w14:paraId="5561ED50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0.812</w:t>
            </w:r>
          </w:p>
        </w:tc>
      </w:tr>
      <w:tr w14:paraId="395F7F7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3" w:type="dxa"/>
            <w:tcBorders>
              <w:bottom w:val="single" w:color="auto" w:sz="4" w:space="0"/>
            </w:tcBorders>
          </w:tcPr>
          <w:p w14:paraId="1D62CFAD">
            <w:pPr>
              <w:shd w:val="clear" w:color="auto" w:fill="FFFFFF" w:themeFill="background1"/>
              <w:jc w:val="left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Post-NAT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CD4+/CD8+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 xml:space="preserve"> cell ratios</w:t>
            </w:r>
          </w:p>
        </w:tc>
        <w:tc>
          <w:tcPr>
            <w:tcW w:w="1420" w:type="dxa"/>
            <w:tcBorders>
              <w:bottom w:val="single" w:color="auto" w:sz="4" w:space="0"/>
            </w:tcBorders>
          </w:tcPr>
          <w:p w14:paraId="28EAF69A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2.05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0.91</w:t>
            </w:r>
          </w:p>
        </w:tc>
        <w:tc>
          <w:tcPr>
            <w:tcW w:w="1420" w:type="dxa"/>
            <w:tcBorders>
              <w:bottom w:val="single" w:color="auto" w:sz="4" w:space="0"/>
            </w:tcBorders>
          </w:tcPr>
          <w:p w14:paraId="37A8BB24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2.01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0.59</w:t>
            </w:r>
          </w:p>
        </w:tc>
        <w:tc>
          <w:tcPr>
            <w:tcW w:w="829" w:type="dxa"/>
            <w:tcBorders>
              <w:bottom w:val="single" w:color="auto" w:sz="4" w:space="0"/>
            </w:tcBorders>
          </w:tcPr>
          <w:p w14:paraId="7C99C761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0.879</w:t>
            </w:r>
          </w:p>
        </w:tc>
        <w:tc>
          <w:tcPr>
            <w:tcW w:w="1420" w:type="dxa"/>
            <w:tcBorders>
              <w:bottom w:val="single" w:color="auto" w:sz="4" w:space="0"/>
            </w:tcBorders>
          </w:tcPr>
          <w:p w14:paraId="0F74703F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1.97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0.79</w:t>
            </w:r>
          </w:p>
        </w:tc>
        <w:tc>
          <w:tcPr>
            <w:tcW w:w="1420" w:type="dxa"/>
            <w:tcBorders>
              <w:bottom w:val="single" w:color="auto" w:sz="4" w:space="0"/>
            </w:tcBorders>
          </w:tcPr>
          <w:p w14:paraId="55AB5B8B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2.06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±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14:ligatures w14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0.64</w:t>
            </w:r>
          </w:p>
        </w:tc>
        <w:tc>
          <w:tcPr>
            <w:tcW w:w="829" w:type="dxa"/>
            <w:tcBorders>
              <w:bottom w:val="single" w:color="auto" w:sz="4" w:space="0"/>
            </w:tcBorders>
          </w:tcPr>
          <w:p w14:paraId="28506E89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0.757</w:t>
            </w:r>
          </w:p>
        </w:tc>
      </w:tr>
    </w:tbl>
    <w:p w14:paraId="4AE00868">
      <w:pPr>
        <w:widowControl/>
        <w:shd w:val="clear"/>
        <w:adjustRightInd w:val="0"/>
        <w:snapToGrid w:val="0"/>
        <w:spacing w:line="480" w:lineRule="auto"/>
        <w:jc w:val="left"/>
        <w:rPr>
          <w:rFonts w:ascii="Times New Roman" w:hAnsi="Times New Roman" w:eastAsia="PMingLiU" w:cs="Times New Roman"/>
          <w:b w:val="0"/>
          <w:bCs w:val="0"/>
          <w:kern w:val="2"/>
          <w:sz w:val="24"/>
          <w:szCs w:val="24"/>
          <w:lang w:val="en-GB" w:eastAsia="zh-TW"/>
          <w14:ligatures w14:val="none"/>
        </w:rPr>
      </w:pP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pCR, pathological complete response; MPR, major pathological response; SD, standard deviation; IQR,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 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interquartile range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; 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NAT, neoadjuvant therapy;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 NK cells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, natural killer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 xml:space="preserve"> cells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;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 xml:space="preserve"> Th cells, 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helper T lymphocyte; CTL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 xml:space="preserve">, 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cytotoxic T lymphocyte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s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 xml:space="preserve">. </w:t>
      </w:r>
    </w:p>
    <w:p w14:paraId="7C84BDF0">
      <w:pPr>
        <w:shd w:val="clear" w:color="auto" w:fill="auto"/>
        <w:jc w:val="center"/>
        <w:rPr>
          <w:rFonts w:ascii="Times New Roman" w:hAnsi="Times New Roman" w:eastAsia="Times New Roman" w:cs="Times New Roman"/>
          <w:b/>
          <w:bCs/>
          <w:color w:val="000000"/>
          <w:kern w:val="24"/>
        </w:rPr>
      </w:pPr>
    </w:p>
    <w:p w14:paraId="62E176F1">
      <w:pPr>
        <w:shd w:val="clear" w:color="auto" w:fill="auto"/>
        <w:jc w:val="center"/>
        <w:rPr>
          <w:rFonts w:ascii="Times New Roman" w:hAnsi="Times New Roman" w:eastAsia="Times New Roman" w:cs="Times New Roman"/>
          <w:b/>
          <w:bCs/>
          <w:color w:val="000000"/>
          <w:kern w:val="24"/>
        </w:rPr>
      </w:pPr>
      <w:r>
        <w:rPr>
          <w:rFonts w:ascii="Times New Roman" w:hAnsi="Times New Roman" w:eastAsia="Times New Roman" w:cs="Times New Roman"/>
          <w:b/>
          <w:bCs/>
          <w:color w:val="000000"/>
          <w:kern w:val="24"/>
        </w:rPr>
        <w:br w:type="page"/>
      </w:r>
    </w:p>
    <w:p w14:paraId="48895801">
      <w:pPr>
        <w:widowControl/>
        <w:shd w:val="clear"/>
        <w:adjustRightInd w:val="0"/>
        <w:snapToGrid w:val="0"/>
        <w:spacing w:line="480" w:lineRule="auto"/>
        <w:jc w:val="left"/>
        <w:rPr>
          <w:rFonts w:ascii="Times New Roman" w:hAnsi="Times New Roman" w:eastAsia="Times New Roman" w:cs="Times New Roman"/>
          <w:b/>
          <w:bCs/>
          <w:color w:val="000000"/>
          <w:kern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Online Resource 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5</w:t>
      </w:r>
    </w:p>
    <w:p w14:paraId="5317774A">
      <w:pPr>
        <w:widowControl/>
        <w:shd w:val="clear"/>
        <w:adjustRightInd w:val="0"/>
        <w:snapToGrid w:val="0"/>
        <w:spacing w:line="480" w:lineRule="auto"/>
        <w:jc w:val="left"/>
        <w:rPr>
          <w:rFonts w:ascii="Times New Roman" w:hAnsi="Times New Roman" w:eastAsia="Times New Roman" w:cs="Times New Roman"/>
          <w:b/>
          <w:bCs/>
          <w:color w:val="000000"/>
          <w:kern w:val="24"/>
        </w:rPr>
      </w:pP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Association between </w:t>
      </w:r>
      <w:r>
        <w:rPr>
          <w:rFonts w:ascii="Times New Roman" w:hAnsi="Times New Roman" w:eastAsia="PMingLiU" w:cs="Times New Roman"/>
          <w:kern w:val="2"/>
          <w:sz w:val="24"/>
          <w:szCs w:val="24"/>
          <w:vertAlign w:val="superscript"/>
          <w:lang w:val="en-GB" w:eastAsia="zh-TW"/>
          <w14:ligatures w14:val="none"/>
        </w:rPr>
        <w:t>18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F-FDG PET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/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CT metabolic parameters and tumor pathological regression degree.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 xml:space="preserve"> 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Spearman correlation analyses between tumor pathological regression degree and pre-NAT SUVmax (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a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), post-NAT SUVmax (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b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), the changes of SUVmax (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c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), pre-NAT SUVmean (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d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), post-NAT SUVmean (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e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), the changes of SUVmean (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f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)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 xml:space="preserve">, 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pre-NAT TLG (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g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),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 xml:space="preserve"> 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post-NAT TLG (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h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), the changes of TLG (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i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), pre-NAT MTV (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j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), post-NAT MTV (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k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), and the changes of MTV (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l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 xml:space="preserve">) in patients with neoadjuvant camrelizumab combined with chemotherapy. </w:t>
      </w:r>
    </w:p>
    <w:p w14:paraId="73AF0F11">
      <w:pPr>
        <w:shd w:val="clear" w:color="auto" w:fill="auto"/>
        <w:jc w:val="center"/>
        <w:rPr>
          <w:rFonts w:ascii="Times New Roman" w:hAnsi="Times New Roman" w:eastAsia="Times New Roman" w:cs="Segoe UI"/>
          <w:b/>
          <w:bCs/>
          <w:szCs w:val="21"/>
          <w:shd w:val="clear" w:color="auto" w:fill="FFFFFF"/>
        </w:rPr>
      </w:pPr>
      <w:r>
        <w:drawing>
          <wp:inline distT="0" distB="0" distL="114300" distR="114300">
            <wp:extent cx="4730115" cy="6235065"/>
            <wp:effectExtent l="0" t="0" r="6985" b="635"/>
            <wp:docPr id="8" name="图片 8" descr="原发灶摄取值与病理反应之间的相关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原发灶摄取值与病理反应之间的相关性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30115" cy="623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C2D57">
      <w:pPr>
        <w:widowControl/>
        <w:shd w:val="clear"/>
        <w:adjustRightInd w:val="0"/>
        <w:snapToGrid w:val="0"/>
        <w:spacing w:line="480" w:lineRule="auto"/>
        <w:jc w:val="left"/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</w:pPr>
      <w:bookmarkStart w:id="3" w:name="_Hlk178727836"/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 NAT, neoadjuvant therapy; SUVmax, 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maxi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mum standardized uptake value; SUVmean, 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 w:bidi="ar"/>
          <w14:ligatures w14:val="none"/>
        </w:rPr>
        <w:t xml:space="preserve">mean standardized uptake value; 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TLG, 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total lesion glycolysis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; MTV, 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 xml:space="preserve">metabolic tumor volume; 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ΔXX% = (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post-NAT 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XX – 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pre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-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NAT 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XX) / pre-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NAT 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XX × 100%.</w:t>
      </w:r>
      <w:bookmarkEnd w:id="3"/>
    </w:p>
    <w:p w14:paraId="4BE560FD">
      <w:pPr>
        <w:shd w:val="clear" w:color="auto" w:fill="FFFFFF" w:themeFill="background1"/>
        <w:rPr>
          <w:rFonts w:ascii="Times New Roman" w:hAnsi="Times New Roman" w:eastAsia="Times New Roman" w:cs="Times New Roman"/>
          <w:color w:val="000000"/>
          <w:kern w:val="24"/>
          <w:szCs w:val="22"/>
          <w:shd w:val="clear" w:color="auto" w:fill="auto"/>
          <w14:ligatures w14:val="none"/>
        </w:rPr>
      </w:pPr>
    </w:p>
    <w:p w14:paraId="300199D9">
      <w:pPr>
        <w:widowControl/>
        <w:shd w:val="clear"/>
        <w:adjustRightInd w:val="0"/>
        <w:snapToGrid w:val="0"/>
        <w:spacing w:line="480" w:lineRule="auto"/>
        <w:jc w:val="left"/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Online Resource 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6</w:t>
      </w:r>
    </w:p>
    <w:p w14:paraId="64059DDC">
      <w:pPr>
        <w:adjustRightInd w:val="0"/>
        <w:snapToGrid w:val="0"/>
        <w:spacing w:line="480" w:lineRule="auto"/>
        <w:jc w:val="left"/>
        <w:rPr>
          <w:rFonts w:ascii="Times New Roman" w:hAnsi="Times New Roman" w:eastAsia="PMingLiU" w:cs="Times New Roman"/>
          <w:b w:val="0"/>
          <w:bCs w:val="0"/>
          <w:sz w:val="24"/>
          <w:szCs w:val="24"/>
          <w:shd w:val="clear"/>
          <w:lang w:val="en-GB" w:eastAsia="zh-TW"/>
          <w14:ligatures w14:val="none"/>
        </w:rPr>
      </w:pPr>
      <w:r>
        <w:rPr>
          <w:rFonts w:hint="default" w:ascii="Times New Roman" w:hAnsi="Times New Roman" w:eastAsia="PMingLiU" w:cs="Times New Roman"/>
          <w:b w:val="0"/>
          <w:bCs w:val="0"/>
          <w:sz w:val="24"/>
          <w:szCs w:val="24"/>
          <w:shd w:val="clear"/>
          <w:lang w:val="en-GB" w:eastAsia="zh-TW"/>
          <w14:ligatures w14:val="none"/>
        </w:rPr>
        <w:t xml:space="preserve">Correlation of </w:t>
      </w:r>
      <w:r>
        <w:rPr>
          <w:rFonts w:hint="default" w:ascii="Times New Roman" w:hAnsi="Times New Roman" w:eastAsia="PMingLiU" w:cs="Times New Roman"/>
          <w:b w:val="0"/>
          <w:bCs w:val="0"/>
          <w:sz w:val="24"/>
          <w:szCs w:val="24"/>
          <w:shd w:val="clear"/>
          <w:vertAlign w:val="superscript"/>
          <w:lang w:val="en-GB" w:eastAsia="zh-TW"/>
          <w14:ligatures w14:val="none"/>
        </w:rPr>
        <w:t>18</w:t>
      </w:r>
      <w:r>
        <w:rPr>
          <w:rFonts w:hint="default" w:ascii="Times New Roman" w:hAnsi="Times New Roman" w:eastAsia="PMingLiU" w:cs="Times New Roman"/>
          <w:b w:val="0"/>
          <w:bCs w:val="0"/>
          <w:sz w:val="24"/>
          <w:szCs w:val="24"/>
          <w:shd w:val="clear"/>
          <w:lang w:val="en-GB" w:eastAsia="zh-TW"/>
          <w14:ligatures w14:val="none"/>
        </w:rPr>
        <w:t>F-FDG PET/CT metabolic parameters and biological markers with the degree of pathological regression following neoadjuvant therapy.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4"/>
        <w:gridCol w:w="2719"/>
        <w:gridCol w:w="2532"/>
      </w:tblGrid>
      <w:tr w14:paraId="20EE843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4" w:type="dxa"/>
            <w:vMerge w:val="restart"/>
          </w:tcPr>
          <w:p w14:paraId="57206140">
            <w:pPr>
              <w:shd w:val="clear" w:color="auto" w:fill="FFFFFF" w:themeFill="background1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</w:p>
        </w:tc>
        <w:tc>
          <w:tcPr>
            <w:tcW w:w="5251" w:type="dxa"/>
            <w:gridSpan w:val="2"/>
            <w:tcBorders>
              <w:bottom w:val="single" w:color="auto" w:sz="4" w:space="0"/>
            </w:tcBorders>
          </w:tcPr>
          <w:p w14:paraId="29B9AC1C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kern w:val="0"/>
                <w:sz w:val="21"/>
                <w:szCs w:val="21"/>
                <w:shd w:val="clear" w:color="auto" w:fill="FFFFFF"/>
                <w14:ligatures w14:val="none"/>
              </w:rPr>
              <w:t>The degree of pathological regression</w:t>
            </w:r>
          </w:p>
        </w:tc>
      </w:tr>
      <w:tr w14:paraId="1DFEB82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4" w:type="dxa"/>
            <w:vMerge w:val="continue"/>
            <w:tcBorders>
              <w:bottom w:val="single" w:color="auto" w:sz="4" w:space="0"/>
            </w:tcBorders>
          </w:tcPr>
          <w:p w14:paraId="60A905B2">
            <w:pPr>
              <w:shd w:val="clear" w:color="auto" w:fill="FFFFFF" w:themeFill="background1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</w:p>
        </w:tc>
        <w:tc>
          <w:tcPr>
            <w:tcW w:w="2719" w:type="dxa"/>
            <w:tcBorders>
              <w:top w:val="single" w:color="auto" w:sz="4" w:space="0"/>
              <w:bottom w:val="single" w:color="auto" w:sz="4" w:space="0"/>
            </w:tcBorders>
          </w:tcPr>
          <w:p w14:paraId="5B23DAC0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kern w:val="0"/>
                <w:sz w:val="21"/>
                <w:szCs w:val="21"/>
                <w:shd w:val="clear" w:color="auto" w:fill="FFFFFF"/>
                <w14:ligatures w14:val="none"/>
              </w:rPr>
              <w:t>r</w:t>
            </w:r>
          </w:p>
        </w:tc>
        <w:tc>
          <w:tcPr>
            <w:tcW w:w="2532" w:type="dxa"/>
            <w:tcBorders>
              <w:top w:val="single" w:color="auto" w:sz="4" w:space="0"/>
              <w:bottom w:val="single" w:color="auto" w:sz="4" w:space="0"/>
            </w:tcBorders>
          </w:tcPr>
          <w:p w14:paraId="288959BC">
            <w:pPr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kern w:val="0"/>
                <w:sz w:val="21"/>
                <w:szCs w:val="21"/>
                <w:shd w:val="clear" w:color="auto" w:fill="FFFFFF"/>
                <w14:ligatures w14:val="none"/>
              </w:rPr>
              <w:t>p</w:t>
            </w:r>
          </w:p>
        </w:tc>
      </w:tr>
      <w:tr w14:paraId="76633E6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5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 w14:paraId="0F91035E">
            <w:pPr>
              <w:shd w:val="clear" w:color="auto" w:fill="FFFFFF" w:themeFill="background1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kern w:val="0"/>
                <w:sz w:val="21"/>
                <w:szCs w:val="21"/>
                <w:shd w:val="clear" w:color="auto" w:fill="FFFFFF"/>
                <w14:ligatures w14:val="none"/>
              </w:rPr>
              <w:t>Secondary lymphoid organ metabolic parameters</w:t>
            </w:r>
          </w:p>
        </w:tc>
      </w:tr>
      <w:tr w14:paraId="168FB70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4" w:type="dxa"/>
            <w:tcBorders>
              <w:top w:val="single" w:color="auto" w:sz="4" w:space="0"/>
            </w:tcBorders>
          </w:tcPr>
          <w:p w14:paraId="00D8D09F">
            <w:pPr>
              <w:shd w:val="clear" w:color="auto" w:fill="FFFFFF" w:themeFill="background1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Pre-NAT SLR</w:t>
            </w:r>
          </w:p>
        </w:tc>
        <w:tc>
          <w:tcPr>
            <w:tcW w:w="2719" w:type="dxa"/>
            <w:tcBorders>
              <w:top w:val="single" w:color="auto" w:sz="4" w:space="0"/>
            </w:tcBorders>
          </w:tcPr>
          <w:p w14:paraId="3E478941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0.219</w:t>
            </w:r>
          </w:p>
        </w:tc>
        <w:tc>
          <w:tcPr>
            <w:tcW w:w="2532" w:type="dxa"/>
            <w:tcBorders>
              <w:top w:val="single" w:color="auto" w:sz="4" w:space="0"/>
            </w:tcBorders>
          </w:tcPr>
          <w:p w14:paraId="27191846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0.304</w:t>
            </w:r>
          </w:p>
        </w:tc>
      </w:tr>
      <w:tr w14:paraId="7D5E35E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4" w:type="dxa"/>
          </w:tcPr>
          <w:p w14:paraId="4E6A674F">
            <w:pPr>
              <w:shd w:val="clear" w:color="auto" w:fill="FFFFFF" w:themeFill="background1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Pre-NAT BLR</w:t>
            </w:r>
          </w:p>
        </w:tc>
        <w:tc>
          <w:tcPr>
            <w:tcW w:w="2719" w:type="dxa"/>
          </w:tcPr>
          <w:p w14:paraId="18B08405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0.073</w:t>
            </w:r>
          </w:p>
        </w:tc>
        <w:tc>
          <w:tcPr>
            <w:tcW w:w="2532" w:type="dxa"/>
          </w:tcPr>
          <w:p w14:paraId="7F981A28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0.734</w:t>
            </w:r>
          </w:p>
        </w:tc>
      </w:tr>
      <w:tr w14:paraId="1204A22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4" w:type="dxa"/>
          </w:tcPr>
          <w:p w14:paraId="45FE5FCF">
            <w:pPr>
              <w:shd w:val="clear" w:color="auto" w:fill="FFFFFF" w:themeFill="background1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Post-NAT SLR</w:t>
            </w:r>
          </w:p>
        </w:tc>
        <w:tc>
          <w:tcPr>
            <w:tcW w:w="2719" w:type="dxa"/>
          </w:tcPr>
          <w:p w14:paraId="538E3669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-0.017</w:t>
            </w:r>
          </w:p>
        </w:tc>
        <w:tc>
          <w:tcPr>
            <w:tcW w:w="2532" w:type="dxa"/>
          </w:tcPr>
          <w:p w14:paraId="30A8DAFC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0.938</w:t>
            </w:r>
          </w:p>
        </w:tc>
      </w:tr>
      <w:tr w14:paraId="077FDC1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4" w:type="dxa"/>
          </w:tcPr>
          <w:p w14:paraId="318A201B">
            <w:pPr>
              <w:shd w:val="clear" w:color="auto" w:fill="FFFFFF" w:themeFill="background1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Post-NAT BLR</w:t>
            </w:r>
          </w:p>
        </w:tc>
        <w:tc>
          <w:tcPr>
            <w:tcW w:w="2719" w:type="dxa"/>
          </w:tcPr>
          <w:p w14:paraId="1A25BEDA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0.150</w:t>
            </w:r>
          </w:p>
        </w:tc>
        <w:tc>
          <w:tcPr>
            <w:tcW w:w="2532" w:type="dxa"/>
          </w:tcPr>
          <w:p w14:paraId="45724716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0.484</w:t>
            </w:r>
          </w:p>
        </w:tc>
      </w:tr>
      <w:tr w14:paraId="6D73789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4" w:type="dxa"/>
          </w:tcPr>
          <w:p w14:paraId="0483BD6E">
            <w:pPr>
              <w:shd w:val="clear" w:color="auto" w:fill="FFFFFF" w:themeFill="background1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Δ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BLR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％</w:t>
            </w:r>
          </w:p>
        </w:tc>
        <w:tc>
          <w:tcPr>
            <w:tcW w:w="2719" w:type="dxa"/>
          </w:tcPr>
          <w:p w14:paraId="7C300968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-0.025</w:t>
            </w:r>
          </w:p>
        </w:tc>
        <w:tc>
          <w:tcPr>
            <w:tcW w:w="2532" w:type="dxa"/>
          </w:tcPr>
          <w:p w14:paraId="40B95295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0.908</w:t>
            </w:r>
          </w:p>
        </w:tc>
      </w:tr>
      <w:tr w14:paraId="1BA2B53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4" w:type="dxa"/>
            <w:tcBorders>
              <w:bottom w:val="single" w:color="auto" w:sz="4" w:space="0"/>
            </w:tcBorders>
          </w:tcPr>
          <w:p w14:paraId="2D67107C">
            <w:pPr>
              <w:shd w:val="clear" w:color="auto" w:fill="FFFFFF" w:themeFill="background1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Δ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SLR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％</w:t>
            </w:r>
          </w:p>
        </w:tc>
        <w:tc>
          <w:tcPr>
            <w:tcW w:w="2719" w:type="dxa"/>
            <w:tcBorders>
              <w:bottom w:val="single" w:color="auto" w:sz="4" w:space="0"/>
            </w:tcBorders>
          </w:tcPr>
          <w:p w14:paraId="4B3DC295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-0.284</w:t>
            </w:r>
          </w:p>
        </w:tc>
        <w:tc>
          <w:tcPr>
            <w:tcW w:w="2532" w:type="dxa"/>
            <w:tcBorders>
              <w:bottom w:val="single" w:color="auto" w:sz="4" w:space="0"/>
            </w:tcBorders>
          </w:tcPr>
          <w:p w14:paraId="7E5EFFA6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0.179</w:t>
            </w:r>
          </w:p>
        </w:tc>
      </w:tr>
      <w:tr w14:paraId="4819CA7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5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 w14:paraId="57FBB0D4">
            <w:pPr>
              <w:shd w:val="clear" w:color="auto" w:fill="FFFFFF" w:themeFill="background1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kern w:val="0"/>
                <w:sz w:val="21"/>
                <w:szCs w:val="21"/>
                <w:shd w:val="clear" w:color="auto" w:fill="FFFFFF"/>
                <w14:ligatures w14:val="none"/>
              </w:rPr>
              <w:t>Circulating immune biomarkers</w:t>
            </w:r>
          </w:p>
        </w:tc>
      </w:tr>
      <w:tr w14:paraId="60865FB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4" w:type="dxa"/>
            <w:tcBorders>
              <w:top w:val="single" w:color="auto" w:sz="4" w:space="0"/>
            </w:tcBorders>
          </w:tcPr>
          <w:p w14:paraId="09DFA6DC">
            <w:pPr>
              <w:shd w:val="clear" w:color="auto" w:fill="FFFFFF" w:themeFill="background1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Δ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NK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 xml:space="preserve"> cells</w:t>
            </w:r>
          </w:p>
        </w:tc>
        <w:tc>
          <w:tcPr>
            <w:tcW w:w="2719" w:type="dxa"/>
            <w:tcBorders>
              <w:top w:val="single" w:color="auto" w:sz="4" w:space="0"/>
            </w:tcBorders>
          </w:tcPr>
          <w:p w14:paraId="73563655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0.339</w:t>
            </w:r>
          </w:p>
        </w:tc>
        <w:tc>
          <w:tcPr>
            <w:tcW w:w="2532" w:type="dxa"/>
            <w:tcBorders>
              <w:top w:val="single" w:color="auto" w:sz="4" w:space="0"/>
            </w:tcBorders>
          </w:tcPr>
          <w:p w14:paraId="3B9C1360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0.105</w:t>
            </w:r>
          </w:p>
        </w:tc>
      </w:tr>
      <w:tr w14:paraId="3F99B66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4" w:type="dxa"/>
          </w:tcPr>
          <w:p w14:paraId="7AAAC419">
            <w:pPr>
              <w:shd w:val="clear" w:color="auto" w:fill="FFFFFF" w:themeFill="background1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Δ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 xml:space="preserve">total 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B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 xml:space="preserve"> cells</w:t>
            </w:r>
          </w:p>
        </w:tc>
        <w:tc>
          <w:tcPr>
            <w:tcW w:w="2719" w:type="dxa"/>
          </w:tcPr>
          <w:p w14:paraId="56A7C8C1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-0.021</w:t>
            </w:r>
          </w:p>
        </w:tc>
        <w:tc>
          <w:tcPr>
            <w:tcW w:w="2532" w:type="dxa"/>
          </w:tcPr>
          <w:p w14:paraId="2823E6BB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0.921</w:t>
            </w:r>
          </w:p>
        </w:tc>
      </w:tr>
      <w:tr w14:paraId="48A07A5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4" w:type="dxa"/>
          </w:tcPr>
          <w:p w14:paraId="6E998E3D">
            <w:pPr>
              <w:shd w:val="clear" w:color="auto" w:fill="FFFFFF" w:themeFill="background1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Δ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total T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 xml:space="preserve"> cells</w:t>
            </w:r>
          </w:p>
        </w:tc>
        <w:tc>
          <w:tcPr>
            <w:tcW w:w="2719" w:type="dxa"/>
          </w:tcPr>
          <w:p w14:paraId="7EB4985D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-0.059</w:t>
            </w:r>
          </w:p>
        </w:tc>
        <w:tc>
          <w:tcPr>
            <w:tcW w:w="2532" w:type="dxa"/>
          </w:tcPr>
          <w:p w14:paraId="26F733EF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0.783</w:t>
            </w:r>
          </w:p>
        </w:tc>
      </w:tr>
      <w:tr w14:paraId="3AFB593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4" w:type="dxa"/>
          </w:tcPr>
          <w:p w14:paraId="06FC4557">
            <w:pPr>
              <w:shd w:val="clear" w:color="auto" w:fill="FFFFFF" w:themeFill="background1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Δ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Th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 xml:space="preserve"> cells</w:t>
            </w:r>
          </w:p>
        </w:tc>
        <w:tc>
          <w:tcPr>
            <w:tcW w:w="2719" w:type="dxa"/>
          </w:tcPr>
          <w:p w14:paraId="03727A14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0.124</w:t>
            </w:r>
          </w:p>
        </w:tc>
        <w:tc>
          <w:tcPr>
            <w:tcW w:w="2532" w:type="dxa"/>
          </w:tcPr>
          <w:p w14:paraId="1CB51F71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0.564</w:t>
            </w:r>
          </w:p>
        </w:tc>
      </w:tr>
      <w:tr w14:paraId="16CDC66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4" w:type="dxa"/>
          </w:tcPr>
          <w:p w14:paraId="776A154A">
            <w:pPr>
              <w:shd w:val="clear" w:color="auto" w:fill="FFFFFF" w:themeFill="background1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Δ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CTL</w:t>
            </w:r>
          </w:p>
        </w:tc>
        <w:tc>
          <w:tcPr>
            <w:tcW w:w="2719" w:type="dxa"/>
          </w:tcPr>
          <w:p w14:paraId="599D047C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0.353</w:t>
            </w:r>
          </w:p>
        </w:tc>
        <w:tc>
          <w:tcPr>
            <w:tcW w:w="2532" w:type="dxa"/>
          </w:tcPr>
          <w:p w14:paraId="6BD12467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0.353</w:t>
            </w:r>
          </w:p>
        </w:tc>
      </w:tr>
      <w:tr w14:paraId="10171CD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4" w:type="dxa"/>
            <w:tcBorders>
              <w:bottom w:val="single" w:color="auto" w:sz="4" w:space="0"/>
            </w:tcBorders>
          </w:tcPr>
          <w:p w14:paraId="127B2048">
            <w:pPr>
              <w:shd w:val="clear" w:color="auto" w:fill="FFFFFF" w:themeFill="background1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Δ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CD4+/CD8+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 xml:space="preserve"> cell ratios</w:t>
            </w:r>
          </w:p>
        </w:tc>
        <w:tc>
          <w:tcPr>
            <w:tcW w:w="2719" w:type="dxa"/>
            <w:tcBorders>
              <w:bottom w:val="single" w:color="auto" w:sz="4" w:space="0"/>
            </w:tcBorders>
          </w:tcPr>
          <w:p w14:paraId="51A52414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0.007</w:t>
            </w:r>
          </w:p>
        </w:tc>
        <w:tc>
          <w:tcPr>
            <w:tcW w:w="2532" w:type="dxa"/>
            <w:tcBorders>
              <w:bottom w:val="single" w:color="auto" w:sz="4" w:space="0"/>
            </w:tcBorders>
          </w:tcPr>
          <w:p w14:paraId="171830CB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0.975</w:t>
            </w:r>
          </w:p>
        </w:tc>
      </w:tr>
      <w:tr w14:paraId="1630E1F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5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 w14:paraId="1C28DA08">
            <w:pPr>
              <w:shd w:val="clear" w:color="auto" w:fill="FFFFFF" w:themeFill="background1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kern w:val="0"/>
                <w:sz w:val="21"/>
                <w:szCs w:val="21"/>
                <w:shd w:val="clear" w:color="auto" w:fill="FFFFFF"/>
                <w14:ligatures w14:val="none"/>
              </w:rPr>
              <w:t>Hematological inflammatory indicators</w:t>
            </w:r>
          </w:p>
        </w:tc>
      </w:tr>
      <w:tr w14:paraId="5E98A6E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4" w:type="dxa"/>
            <w:tcBorders>
              <w:top w:val="single" w:color="auto" w:sz="4" w:space="0"/>
            </w:tcBorders>
          </w:tcPr>
          <w:p w14:paraId="720EC6DD">
            <w:pPr>
              <w:shd w:val="clear" w:color="auto" w:fill="FFFFFF" w:themeFill="background1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Δ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NLR</w:t>
            </w:r>
          </w:p>
        </w:tc>
        <w:tc>
          <w:tcPr>
            <w:tcW w:w="2719" w:type="dxa"/>
            <w:tcBorders>
              <w:top w:val="single" w:color="auto" w:sz="4" w:space="0"/>
            </w:tcBorders>
          </w:tcPr>
          <w:p w14:paraId="23D7B159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-0.120</w:t>
            </w:r>
          </w:p>
        </w:tc>
        <w:tc>
          <w:tcPr>
            <w:tcW w:w="2532" w:type="dxa"/>
            <w:tcBorders>
              <w:top w:val="single" w:color="auto" w:sz="4" w:space="0"/>
            </w:tcBorders>
          </w:tcPr>
          <w:p w14:paraId="26802EA9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0.576</w:t>
            </w:r>
          </w:p>
        </w:tc>
      </w:tr>
      <w:tr w14:paraId="082160C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4" w:type="dxa"/>
          </w:tcPr>
          <w:p w14:paraId="0D3264B2">
            <w:pPr>
              <w:shd w:val="clear" w:color="auto" w:fill="FFFFFF" w:themeFill="background1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Δ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SII</w:t>
            </w:r>
          </w:p>
        </w:tc>
        <w:tc>
          <w:tcPr>
            <w:tcW w:w="2719" w:type="dxa"/>
          </w:tcPr>
          <w:p w14:paraId="4767D566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-0.091</w:t>
            </w:r>
          </w:p>
        </w:tc>
        <w:tc>
          <w:tcPr>
            <w:tcW w:w="2532" w:type="dxa"/>
          </w:tcPr>
          <w:p w14:paraId="7F215F39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0.672</w:t>
            </w:r>
          </w:p>
        </w:tc>
      </w:tr>
      <w:tr w14:paraId="34A291F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4" w:type="dxa"/>
            <w:tcBorders>
              <w:bottom w:val="single" w:color="auto" w:sz="4" w:space="0"/>
            </w:tcBorders>
          </w:tcPr>
          <w:p w14:paraId="2BDA83C1">
            <w:pPr>
              <w:shd w:val="clear" w:color="auto" w:fill="FFFFFF" w:themeFill="background1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>Δ</w:t>
            </w: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shd w:val="clear" w:color="auto" w:fill="FFFFFF"/>
                <w14:ligatures w14:val="none"/>
              </w:rPr>
              <w:t xml:space="preserve">DNLR </w:t>
            </w:r>
          </w:p>
        </w:tc>
        <w:tc>
          <w:tcPr>
            <w:tcW w:w="2719" w:type="dxa"/>
            <w:tcBorders>
              <w:bottom w:val="single" w:color="auto" w:sz="4" w:space="0"/>
            </w:tcBorders>
          </w:tcPr>
          <w:p w14:paraId="69DD4C47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-0.177</w:t>
            </w:r>
          </w:p>
        </w:tc>
        <w:tc>
          <w:tcPr>
            <w:tcW w:w="2532" w:type="dxa"/>
            <w:tcBorders>
              <w:bottom w:val="single" w:color="auto" w:sz="4" w:space="0"/>
            </w:tcBorders>
          </w:tcPr>
          <w:p w14:paraId="42AC7E80">
            <w:pPr>
              <w:widowControl/>
              <w:shd w:val="clear" w:color="auto" w:fill="FFFFFF" w:themeFill="background1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14:ligatures w14:val="none"/>
              </w:rPr>
              <w:t>0.409</w:t>
            </w:r>
          </w:p>
        </w:tc>
      </w:tr>
    </w:tbl>
    <w:p w14:paraId="6381EEE9">
      <w:pPr>
        <w:shd w:val="clear" w:color="auto" w:fill="FFFFFF" w:themeFill="background1"/>
        <w:rPr>
          <w:rFonts w:ascii="Times New Roman" w:hAnsi="Times New Roman" w:eastAsia="Times New Roman" w:cs="Times New Roman"/>
          <w:color w:val="222222"/>
          <w:sz w:val="18"/>
          <w:szCs w:val="18"/>
          <w:shd w:val="clear" w:color="auto" w:fill="FFFFFF"/>
        </w:rPr>
      </w:pPr>
    </w:p>
    <w:p w14:paraId="3DC00F9A">
      <w:pPr>
        <w:widowControl/>
        <w:shd w:val="clear"/>
        <w:adjustRightInd w:val="0"/>
        <w:snapToGrid w:val="0"/>
        <w:spacing w:line="480" w:lineRule="auto"/>
        <w:jc w:val="left"/>
        <w:rPr>
          <w:rFonts w:ascii="Times New Roman" w:hAnsi="Times New Roman" w:eastAsia="PMingLiU" w:cs="Times New Roman"/>
          <w:b w:val="0"/>
          <w:bCs w:val="0"/>
          <w:sz w:val="24"/>
          <w:szCs w:val="24"/>
          <w:shd w:val="clear"/>
          <w:lang w:val="en-GB" w:eastAsia="zh-TW"/>
          <w14:ligatures w14:val="none"/>
        </w:rPr>
      </w:pP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NAT, neoadjuvant therapy;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 SL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R, spleen-to-liver ratio; BLR, bone marrow-to-liver ratio; ΔXX% = (pre-XX – post-XX) / pre-XX × 100%; NK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 cells,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 natural killer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 cells; 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Th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, 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helper T lymphocyte; CTL, cytotoxic T lymphocyte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s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; NLR, neutrophil-to-lymphocyte ratio; SII, systemic immune-inflammation index; dNLR, derived neutrophil-to-lymphocyte ratio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.</w:t>
      </w:r>
    </w:p>
    <w:p w14:paraId="1CA94F7F">
      <w:pPr>
        <w:shd w:val="clear" w:color="auto" w:fill="FFFFFF" w:themeFill="background1"/>
        <w:rPr>
          <w:rFonts w:ascii="Times New Roman" w:hAnsi="Times New Roman" w:eastAsia="Times New Roman" w:cs="Times New Roman"/>
          <w:color w:val="000000"/>
          <w:kern w:val="24"/>
          <w:szCs w:val="22"/>
          <w:shd w:val="clear" w:color="auto" w:fill="auto"/>
          <w14:ligatures w14:val="none"/>
        </w:rPr>
      </w:pPr>
    </w:p>
    <w:p w14:paraId="6F9FAA7D">
      <w:pPr>
        <w:shd w:val="clear" w:color="auto" w:fill="FFFFFF" w:themeFill="background1"/>
        <w:jc w:val="center"/>
        <w:rPr>
          <w:rFonts w:ascii="Times New Roman" w:hAnsi="Times New Roman" w:eastAsia="Times New Roman" w:cs="Segoe UI"/>
          <w:b/>
          <w:bCs/>
          <w:szCs w:val="21"/>
          <w:shd w:val="clear" w:color="auto" w:fill="FFFFFF"/>
        </w:rPr>
      </w:pPr>
    </w:p>
    <w:p w14:paraId="5FF22DF7">
      <w:pPr>
        <w:widowControl/>
        <w:shd w:val="clear" w:color="auto" w:fill="FFFFFF" w:themeFill="background1"/>
        <w:rPr>
          <w:rFonts w:ascii="Times New Roman" w:hAnsi="Times New Roman" w:eastAsia="Times New Roman" w:cs="Times New Roman"/>
          <w:b/>
          <w:bCs/>
          <w:color w:val="000000"/>
          <w:kern w:val="24"/>
          <w:szCs w:val="21"/>
          <w:highlight w:val="none"/>
          <w:shd w:val="clear" w:color="auto" w:fill="FFFFFF"/>
        </w:rPr>
      </w:pPr>
    </w:p>
    <w:p w14:paraId="285CA361">
      <w:pPr>
        <w:widowControl/>
        <w:shd w:val="clear" w:color="auto" w:fill="FFFFFF" w:themeFill="background1"/>
        <w:rPr>
          <w:rFonts w:ascii="Times New Roman" w:hAnsi="Times New Roman" w:eastAsia="Times New Roman" w:cs="Times New Roman"/>
          <w:b/>
          <w:bCs/>
          <w:color w:val="000000"/>
          <w:kern w:val="24"/>
          <w:szCs w:val="21"/>
          <w:highlight w:val="none"/>
          <w:shd w:val="clear" w:color="auto" w:fill="FFFFFF"/>
        </w:rPr>
      </w:pPr>
    </w:p>
    <w:p w14:paraId="1B7C76CA">
      <w:pPr>
        <w:widowControl/>
        <w:shd w:val="clear" w:color="auto" w:fill="FFFFFF" w:themeFill="background1"/>
        <w:rPr>
          <w:rFonts w:ascii="Times New Roman" w:hAnsi="Times New Roman" w:eastAsia="Times New Roman" w:cs="Times New Roman"/>
          <w:b/>
          <w:bCs/>
          <w:color w:val="000000"/>
          <w:kern w:val="24"/>
          <w:szCs w:val="21"/>
          <w:highlight w:val="none"/>
          <w:shd w:val="clear" w:color="auto" w:fill="FFFFFF"/>
        </w:rPr>
      </w:pPr>
    </w:p>
    <w:p w14:paraId="731DB50B">
      <w:pPr>
        <w:widowControl/>
        <w:shd w:val="clear" w:color="auto" w:fill="FFFFFF" w:themeFill="background1"/>
        <w:rPr>
          <w:rFonts w:ascii="Times New Roman" w:hAnsi="Times New Roman" w:eastAsia="Times New Roman" w:cs="Times New Roman"/>
          <w:b/>
          <w:bCs/>
          <w:color w:val="000000"/>
          <w:kern w:val="24"/>
          <w:szCs w:val="21"/>
          <w:highlight w:val="none"/>
          <w:shd w:val="clear" w:color="auto" w:fill="FFFFFF"/>
        </w:rPr>
      </w:pPr>
    </w:p>
    <w:p w14:paraId="50BD3E96">
      <w:pPr>
        <w:widowControl/>
        <w:shd w:val="clear" w:color="auto" w:fill="FFFFFF" w:themeFill="background1"/>
        <w:rPr>
          <w:rFonts w:ascii="Times New Roman" w:hAnsi="Times New Roman" w:eastAsia="Times New Roman" w:cs="Times New Roman"/>
          <w:b/>
          <w:bCs/>
          <w:color w:val="000000"/>
          <w:kern w:val="24"/>
          <w:szCs w:val="21"/>
          <w:highlight w:val="none"/>
          <w:shd w:val="clear" w:color="auto" w:fill="FFFFFF"/>
        </w:rPr>
      </w:pPr>
    </w:p>
    <w:p w14:paraId="63511921">
      <w:pPr>
        <w:widowControl/>
        <w:shd w:val="clear" w:color="auto" w:fill="FFFFFF" w:themeFill="background1"/>
        <w:rPr>
          <w:rFonts w:ascii="Times New Roman" w:hAnsi="Times New Roman" w:eastAsia="Times New Roman" w:cs="Times New Roman"/>
          <w:b/>
          <w:bCs/>
          <w:color w:val="000000"/>
          <w:kern w:val="24"/>
          <w:szCs w:val="21"/>
          <w:highlight w:val="none"/>
          <w:shd w:val="clear" w:color="auto" w:fill="FFFFFF"/>
        </w:rPr>
      </w:pPr>
    </w:p>
    <w:p w14:paraId="4EE25180">
      <w:pPr>
        <w:widowControl/>
        <w:shd w:val="clear" w:color="auto" w:fill="FFFFFF" w:themeFill="background1"/>
        <w:rPr>
          <w:rFonts w:ascii="Times New Roman" w:hAnsi="Times New Roman" w:eastAsia="Times New Roman" w:cs="Times New Roman"/>
          <w:b/>
          <w:bCs/>
          <w:color w:val="000000"/>
          <w:kern w:val="24"/>
          <w:szCs w:val="21"/>
          <w:highlight w:val="none"/>
          <w:shd w:val="clear" w:color="auto" w:fill="FFFFFF"/>
        </w:rPr>
      </w:pPr>
    </w:p>
    <w:p w14:paraId="6B704CA6">
      <w:pPr>
        <w:widowControl/>
        <w:shd w:val="clear" w:color="auto" w:fill="FFFFFF" w:themeFill="background1"/>
        <w:rPr>
          <w:rFonts w:ascii="Times New Roman" w:hAnsi="Times New Roman" w:eastAsia="Times New Roman" w:cs="Times New Roman"/>
          <w:b/>
          <w:bCs/>
          <w:color w:val="000000"/>
          <w:kern w:val="24"/>
          <w:szCs w:val="21"/>
          <w:highlight w:val="none"/>
          <w:shd w:val="clear" w:color="auto" w:fill="FFFFFF"/>
        </w:rPr>
      </w:pPr>
    </w:p>
    <w:p w14:paraId="2D6DAAA4">
      <w:pPr>
        <w:widowControl/>
        <w:shd w:val="clear" w:color="auto" w:fill="FFFFFF" w:themeFill="background1"/>
        <w:rPr>
          <w:rFonts w:ascii="Times New Roman" w:hAnsi="Times New Roman" w:eastAsia="Times New Roman" w:cs="Times New Roman"/>
          <w:b/>
          <w:bCs/>
          <w:color w:val="000000"/>
          <w:kern w:val="24"/>
          <w:szCs w:val="21"/>
          <w:highlight w:val="none"/>
          <w:shd w:val="clear" w:color="auto" w:fill="FFFFFF"/>
        </w:rPr>
      </w:pPr>
    </w:p>
    <w:p w14:paraId="62538BF9">
      <w:pPr>
        <w:widowControl/>
        <w:shd w:val="clear" w:color="auto" w:fill="FFFFFF" w:themeFill="background1"/>
        <w:rPr>
          <w:rFonts w:ascii="Times New Roman" w:hAnsi="Times New Roman" w:eastAsia="Times New Roman" w:cs="Times New Roman"/>
          <w:b/>
          <w:bCs/>
          <w:color w:val="000000"/>
          <w:kern w:val="24"/>
          <w:szCs w:val="21"/>
          <w:highlight w:val="none"/>
          <w:shd w:val="clear" w:color="auto" w:fill="FFFFFF"/>
        </w:rPr>
      </w:pPr>
    </w:p>
    <w:p w14:paraId="41106AD7">
      <w:pPr>
        <w:widowControl/>
        <w:shd w:val="clear" w:color="auto" w:fill="FFFFFF" w:themeFill="background1"/>
        <w:rPr>
          <w:rFonts w:ascii="Times New Roman" w:hAnsi="Times New Roman" w:eastAsia="Times New Roman" w:cs="Times New Roman"/>
          <w:b/>
          <w:bCs/>
          <w:color w:val="000000"/>
          <w:kern w:val="24"/>
          <w:szCs w:val="21"/>
          <w:highlight w:val="none"/>
          <w:shd w:val="clear" w:color="auto" w:fill="FFFFFF"/>
        </w:rPr>
      </w:pPr>
    </w:p>
    <w:p w14:paraId="31D034FD">
      <w:pPr>
        <w:widowControl/>
        <w:shd w:val="clear" w:color="auto" w:fill="FFFFFF" w:themeFill="background1"/>
        <w:rPr>
          <w:rFonts w:ascii="Times New Roman" w:hAnsi="Times New Roman" w:eastAsia="Times New Roman" w:cs="Times New Roman"/>
          <w:b/>
          <w:bCs/>
          <w:color w:val="000000"/>
          <w:kern w:val="24"/>
          <w:szCs w:val="21"/>
          <w:highlight w:val="none"/>
          <w:shd w:val="clear" w:color="auto" w:fill="FFFFFF"/>
        </w:rPr>
      </w:pPr>
    </w:p>
    <w:p w14:paraId="6C5C3098">
      <w:pPr>
        <w:widowControl/>
        <w:shd w:val="clear"/>
        <w:adjustRightInd w:val="0"/>
        <w:snapToGrid w:val="0"/>
        <w:spacing w:line="480" w:lineRule="auto"/>
        <w:jc w:val="left"/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Online Resource 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7</w:t>
      </w:r>
    </w:p>
    <w:p w14:paraId="37579E00">
      <w:pPr>
        <w:widowControl/>
        <w:shd w:val="clear"/>
        <w:adjustRightInd w:val="0"/>
        <w:snapToGrid w:val="0"/>
        <w:spacing w:line="480" w:lineRule="auto"/>
        <w:jc w:val="left"/>
        <w:rPr>
          <w:rFonts w:hint="default" w:ascii="Times New Roman" w:hAnsi="Times New Roman" w:eastAsia="PMingLiU" w:cs="Times New Roman"/>
          <w:b w:val="0"/>
          <w:sz w:val="24"/>
          <w:szCs w:val="24"/>
          <w:lang w:val="en-GB" w:eastAsia="zh-TW"/>
          <w14:ligatures w14:val="none"/>
        </w:rPr>
      </w:pP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C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omparison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s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 of change rates of SUVmax (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a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), SUVmean (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b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), TLG (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c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), and MTV (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d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) in the 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metastatic 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l</w:t>
      </w:r>
      <w:r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>ymph nodes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  <w:t xml:space="preserve"> 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between different pathological response groups following NAT. </w:t>
      </w:r>
    </w:p>
    <w:p w14:paraId="334E964B">
      <w:pPr>
        <w:widowControl/>
        <w:shd w:val="clear" w:color="auto" w:fill="FFFFFF" w:themeFill="background1"/>
        <w:jc w:val="center"/>
        <w:rPr>
          <w:rFonts w:hint="eastAsia" w:ascii="Times New Roman" w:hAnsi="Times New Roman" w:eastAsia="宋体" w:cs="Times New Roman"/>
          <w:b/>
          <w:bCs/>
          <w:color w:val="000000"/>
          <w:kern w:val="24"/>
          <w:szCs w:val="21"/>
          <w:highlight w:val="none"/>
          <w:shd w:val="clear" w:color="auto" w:fill="FFFFFF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24"/>
          <w:szCs w:val="21"/>
          <w:highlight w:val="none"/>
          <w:shd w:val="clear" w:color="auto" w:fill="FFFFFF"/>
          <w:lang w:eastAsia="zh-CN"/>
        </w:rPr>
        <w:drawing>
          <wp:inline distT="0" distB="0" distL="114300" distR="114300">
            <wp:extent cx="4370070" cy="5365750"/>
            <wp:effectExtent l="0" t="0" r="11430" b="6350"/>
            <wp:docPr id="9" name="图片 9" descr="淋巴结△摄取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淋巴结△摄取图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70070" cy="536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22060">
      <w:pPr>
        <w:widowControl/>
        <w:shd w:val="clear"/>
        <w:adjustRightInd w:val="0"/>
        <w:snapToGrid w:val="0"/>
        <w:spacing w:line="480" w:lineRule="auto"/>
        <w:jc w:val="left"/>
        <w:rPr>
          <w:rFonts w:ascii="Times New Roman" w:hAnsi="Times New Roman" w:eastAsia="PMingLiU" w:cs="Times New Roman"/>
          <w:kern w:val="2"/>
          <w:sz w:val="24"/>
          <w:szCs w:val="24"/>
          <w:lang w:val="en-GB" w:eastAsia="zh-TW"/>
          <w14:ligatures w14:val="none"/>
        </w:rPr>
      </w:pP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NAT, neoadjuvant therapy;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 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ΔXX% = (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post-NAT XX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 – pre-NAT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 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XX) / pre-NAT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 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XX × 100%; SUVmax, maximum standardized uptake value; SUVmean, mean standardized uptake value; TLG, total lesion glycolysis; MTV, metabolic tumor volume; NAT, neoadjuvant therapy; 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ypN0, no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 lymph node metastasis on histological examination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 xml:space="preserve"> 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after neoadjuvant therapy</w:t>
      </w:r>
      <w:r>
        <w:rPr>
          <w:rFonts w:hint="default"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; ypN+, p</w:t>
      </w:r>
      <w:r>
        <w:rPr>
          <w:rFonts w:ascii="Times New Roman" w:hAnsi="Times New Roman" w:eastAsia="PMingLiU" w:cs="Times New Roman"/>
          <w:kern w:val="2"/>
          <w:sz w:val="24"/>
          <w:szCs w:val="24"/>
          <w:shd w:val="clear"/>
          <w:lang w:val="en-GB" w:eastAsia="zh-TW"/>
          <w14:ligatures w14:val="none"/>
        </w:rPr>
        <w:t>ositive lymph nodes on histological examination after neoadjuvant therapy.</w:t>
      </w:r>
    </w:p>
    <w:p w14:paraId="02540023">
      <w:pPr>
        <w:widowControl/>
        <w:shd w:val="clear" w:color="auto" w:fill="FFFFFF" w:themeFill="background1"/>
        <w:rPr>
          <w:rFonts w:hint="eastAsia" w:ascii="Times New Roman" w:hAnsi="Times New Roman" w:eastAsia="宋体" w:cs="Times New Roman"/>
          <w:b/>
          <w:bCs/>
          <w:color w:val="000000"/>
          <w:kern w:val="24"/>
          <w:szCs w:val="21"/>
          <w:highlight w:val="none"/>
          <w:shd w:val="clear" w:color="auto" w:fill="FFFFFF"/>
          <w:lang w:val="en-US" w:eastAsia="zh-CN"/>
        </w:rPr>
      </w:pPr>
    </w:p>
    <w:p w14:paraId="03959671">
      <w:pPr>
        <w:widowControl/>
        <w:shd w:val="clear" w:color="auto" w:fill="FFFFFF" w:themeFill="background1"/>
        <w:rPr>
          <w:rFonts w:ascii="Times New Roman" w:hAnsi="Times New Roman" w:eastAsia="Times New Roman" w:cs="Times New Roman"/>
          <w:b/>
          <w:bCs/>
          <w:color w:val="000000"/>
          <w:kern w:val="24"/>
          <w:szCs w:val="21"/>
          <w:highlight w:val="none"/>
          <w:shd w:val="clear" w:color="auto" w:fill="FFFFFF"/>
        </w:rPr>
      </w:pPr>
    </w:p>
    <w:p w14:paraId="77F657D7">
      <w:pPr>
        <w:widowControl/>
        <w:shd w:val="clear" w:color="auto" w:fill="FFFFFF" w:themeFill="background1"/>
        <w:rPr>
          <w:rFonts w:ascii="Times New Roman" w:hAnsi="Times New Roman" w:eastAsia="Times New Roman" w:cs="Times New Roman"/>
          <w:b/>
          <w:bCs/>
          <w:color w:val="000000"/>
          <w:kern w:val="24"/>
          <w:szCs w:val="21"/>
          <w:highlight w:val="none"/>
          <w:shd w:val="clear" w:color="auto" w:fill="FFFFFF"/>
        </w:rPr>
      </w:pPr>
    </w:p>
    <w:p w14:paraId="15E3D10A">
      <w:pPr>
        <w:widowControl/>
        <w:shd w:val="clear" w:color="auto" w:fill="FFFFFF" w:themeFill="background1"/>
        <w:rPr>
          <w:rFonts w:ascii="Times New Roman" w:hAnsi="Times New Roman" w:eastAsia="Times New Roman" w:cs="Times New Roman"/>
          <w:b/>
          <w:bCs/>
          <w:color w:val="000000"/>
          <w:kern w:val="24"/>
          <w:szCs w:val="21"/>
          <w:highlight w:val="none"/>
          <w:shd w:val="clear" w:color="auto" w:fill="FFFFFF"/>
        </w:rPr>
      </w:pPr>
    </w:p>
    <w:p w14:paraId="2FD9726D">
      <w:pPr>
        <w:widowControl/>
        <w:shd w:val="clear" w:color="auto" w:fill="FFFFFF" w:themeFill="background1"/>
        <w:rPr>
          <w:rFonts w:ascii="Times New Roman" w:hAnsi="Times New Roman" w:eastAsia="Times New Roman" w:cs="Times New Roman"/>
          <w:b/>
          <w:bCs/>
          <w:color w:val="000000"/>
          <w:kern w:val="24"/>
          <w:szCs w:val="21"/>
          <w:highlight w:val="none"/>
          <w:shd w:val="clear" w:color="auto" w:fill="FFFFFF"/>
        </w:rPr>
      </w:pPr>
    </w:p>
    <w:p w14:paraId="2B533081">
      <w:pPr>
        <w:shd w:val="clear" w:color="auto" w:fill="FFFFFF" w:themeFill="background1"/>
        <w:rPr>
          <w:rFonts w:hint="eastAsia" w:ascii="Times New Roman" w:hAnsi="Times New Roman" w:eastAsia="Times New Roman"/>
          <w:szCs w:val="21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trackRevisions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NlYjFlZTAwZWNkOWIxZTQxZjU0Y2NkMDBjZTI4OGQifQ=="/>
  </w:docVars>
  <w:rsids>
    <w:rsidRoot w:val="005345C5"/>
    <w:rsid w:val="00050FAB"/>
    <w:rsid w:val="0009589F"/>
    <w:rsid w:val="000A026D"/>
    <w:rsid w:val="000A3CF7"/>
    <w:rsid w:val="000B33A5"/>
    <w:rsid w:val="0011693A"/>
    <w:rsid w:val="001A3A33"/>
    <w:rsid w:val="001A5816"/>
    <w:rsid w:val="001D6611"/>
    <w:rsid w:val="00243F33"/>
    <w:rsid w:val="00293735"/>
    <w:rsid w:val="002F7F03"/>
    <w:rsid w:val="00321047"/>
    <w:rsid w:val="003E7EA2"/>
    <w:rsid w:val="0040236A"/>
    <w:rsid w:val="0042553B"/>
    <w:rsid w:val="005345C5"/>
    <w:rsid w:val="005777A2"/>
    <w:rsid w:val="0057791E"/>
    <w:rsid w:val="00585C53"/>
    <w:rsid w:val="00595827"/>
    <w:rsid w:val="005978B5"/>
    <w:rsid w:val="005B267E"/>
    <w:rsid w:val="005F6C20"/>
    <w:rsid w:val="006812CD"/>
    <w:rsid w:val="00684B96"/>
    <w:rsid w:val="006E5EEF"/>
    <w:rsid w:val="006E6420"/>
    <w:rsid w:val="008E6D9D"/>
    <w:rsid w:val="009153C9"/>
    <w:rsid w:val="00973790"/>
    <w:rsid w:val="009B525B"/>
    <w:rsid w:val="009B636A"/>
    <w:rsid w:val="009D1EB1"/>
    <w:rsid w:val="00A2282B"/>
    <w:rsid w:val="00A4640D"/>
    <w:rsid w:val="00A722DA"/>
    <w:rsid w:val="00A90389"/>
    <w:rsid w:val="00AA4BB5"/>
    <w:rsid w:val="00AE6E50"/>
    <w:rsid w:val="00B14B28"/>
    <w:rsid w:val="00B52115"/>
    <w:rsid w:val="00B671D0"/>
    <w:rsid w:val="00C20014"/>
    <w:rsid w:val="00C331B6"/>
    <w:rsid w:val="00C77C9E"/>
    <w:rsid w:val="00D1472B"/>
    <w:rsid w:val="00D23345"/>
    <w:rsid w:val="00D551C7"/>
    <w:rsid w:val="00D73A6C"/>
    <w:rsid w:val="00DA1713"/>
    <w:rsid w:val="00DD497F"/>
    <w:rsid w:val="00DE0552"/>
    <w:rsid w:val="00E236C8"/>
    <w:rsid w:val="00E26617"/>
    <w:rsid w:val="00E31886"/>
    <w:rsid w:val="00E57DC7"/>
    <w:rsid w:val="00E621EE"/>
    <w:rsid w:val="00E764A5"/>
    <w:rsid w:val="00E97F4B"/>
    <w:rsid w:val="00F07215"/>
    <w:rsid w:val="00F42308"/>
    <w:rsid w:val="00F701AE"/>
    <w:rsid w:val="00F72DD6"/>
    <w:rsid w:val="00F805F7"/>
    <w:rsid w:val="00FC5444"/>
    <w:rsid w:val="00FD58D6"/>
    <w:rsid w:val="024A0BB7"/>
    <w:rsid w:val="0288005D"/>
    <w:rsid w:val="02916567"/>
    <w:rsid w:val="02CD1F13"/>
    <w:rsid w:val="02D01099"/>
    <w:rsid w:val="07925FFC"/>
    <w:rsid w:val="07C51CB9"/>
    <w:rsid w:val="0885253C"/>
    <w:rsid w:val="093305F6"/>
    <w:rsid w:val="0B7A5B5C"/>
    <w:rsid w:val="0C9E6EBA"/>
    <w:rsid w:val="107439CE"/>
    <w:rsid w:val="11621A79"/>
    <w:rsid w:val="12E43551"/>
    <w:rsid w:val="1B1C6C4D"/>
    <w:rsid w:val="1C0D5BCC"/>
    <w:rsid w:val="1C1A6400"/>
    <w:rsid w:val="1DA63635"/>
    <w:rsid w:val="205B2399"/>
    <w:rsid w:val="209E23A2"/>
    <w:rsid w:val="20E77FF0"/>
    <w:rsid w:val="26284BE7"/>
    <w:rsid w:val="28FE2577"/>
    <w:rsid w:val="2A2F12C9"/>
    <w:rsid w:val="2AE1703F"/>
    <w:rsid w:val="2C33078A"/>
    <w:rsid w:val="2C6E0973"/>
    <w:rsid w:val="2ECD1975"/>
    <w:rsid w:val="30FC114A"/>
    <w:rsid w:val="3140197F"/>
    <w:rsid w:val="319962AE"/>
    <w:rsid w:val="31AD6A30"/>
    <w:rsid w:val="320A3F4A"/>
    <w:rsid w:val="32446254"/>
    <w:rsid w:val="32841B0E"/>
    <w:rsid w:val="34F43F27"/>
    <w:rsid w:val="3DFB36B1"/>
    <w:rsid w:val="3F1A0D83"/>
    <w:rsid w:val="40C477AB"/>
    <w:rsid w:val="434D7F2B"/>
    <w:rsid w:val="45F34DBA"/>
    <w:rsid w:val="460D74FE"/>
    <w:rsid w:val="470D28FD"/>
    <w:rsid w:val="497C50C6"/>
    <w:rsid w:val="505E1082"/>
    <w:rsid w:val="52B16B0B"/>
    <w:rsid w:val="552050A1"/>
    <w:rsid w:val="55B41744"/>
    <w:rsid w:val="55C72B21"/>
    <w:rsid w:val="5A721D40"/>
    <w:rsid w:val="5C7020B3"/>
    <w:rsid w:val="5DA32066"/>
    <w:rsid w:val="5E532442"/>
    <w:rsid w:val="5FB32A6C"/>
    <w:rsid w:val="60274695"/>
    <w:rsid w:val="61A83FEE"/>
    <w:rsid w:val="61E9403D"/>
    <w:rsid w:val="638C5AAE"/>
    <w:rsid w:val="63C33BC6"/>
    <w:rsid w:val="689B6EBF"/>
    <w:rsid w:val="6B631373"/>
    <w:rsid w:val="6F296E91"/>
    <w:rsid w:val="6FE53AAA"/>
    <w:rsid w:val="70E909E4"/>
    <w:rsid w:val="72207448"/>
    <w:rsid w:val="769A6A08"/>
    <w:rsid w:val="77A25449"/>
    <w:rsid w:val="792512F9"/>
    <w:rsid w:val="7ABA7664"/>
    <w:rsid w:val="7BCA5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unhideWhenUsed/>
    <w:qFormat/>
    <w:uiPriority w:val="99"/>
    <w:pPr>
      <w:jc w:val="left"/>
    </w:p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0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3">
    <w:name w:val="批注文字 字符"/>
    <w:basedOn w:val="8"/>
    <w:link w:val="2"/>
    <w:qFormat/>
    <w:uiPriority w:val="99"/>
  </w:style>
  <w:style w:type="paragraph" w:customStyle="1" w:styleId="14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customStyle="1" w:styleId="15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16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0BE0FD-4D4B-421E-9269-C8681D3D569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1215</Words>
  <Characters>6819</Characters>
  <Lines>78</Lines>
  <Paragraphs>22</Paragraphs>
  <TotalTime>0</TotalTime>
  <ScaleCrop>false</ScaleCrop>
  <LinksUpToDate>false</LinksUpToDate>
  <CharactersWithSpaces>7714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2024-09-08T16:55:00Z</dcterms:created>
  <dc:creator>785299730@qq.com</dc:creator>
  <cp:lastModifiedBy>嘿嘿嘿嘿嘿嘿</cp:lastModifiedBy>
  <dcterms:modified xsi:type="dcterms:W3CDTF">2025-03-16T12:47:39Z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138199EDF3604EBF99F264BF0A96CE4B_13</vt:lpwstr>
  </property>
  <property fmtid="{D5CDD505-2E9C-101B-9397-08002B2CF9AE}" pid="4" name="KSOTemplateDocerSaveRecord">
    <vt:lpwstr>eyJoZGlkIjoiZmNlYjFlZTAwZWNkOWIxZTQxZjU0Y2NkMDBjZTI4OGQiLCJ1c2VySWQiOiIyNzQ0NDU3ODkifQ==</vt:lpwstr>
  </property>
</Properties>
</file>