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03173" w14:textId="77777777" w:rsidR="00D562D9" w:rsidRPr="00D06AAF" w:rsidRDefault="00D562D9" w:rsidP="00D562D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6AAF">
        <w:rPr>
          <w:rFonts w:ascii="Times New Roman" w:hAnsi="Times New Roman" w:cs="Times New Roman"/>
          <w:b/>
          <w:bCs/>
          <w:sz w:val="28"/>
          <w:szCs w:val="28"/>
        </w:rPr>
        <w:t>Supplementary</w:t>
      </w:r>
    </w:p>
    <w:p w14:paraId="7395CE75" w14:textId="77777777" w:rsidR="00D562D9" w:rsidRDefault="00D562D9" w:rsidP="00D562D9">
      <w:r>
        <w:rPr>
          <w:noProof/>
        </w:rPr>
        <w:drawing>
          <wp:inline distT="0" distB="0" distL="0" distR="0" wp14:anchorId="37769686" wp14:editId="166B7176">
            <wp:extent cx="5274310" cy="1980565"/>
            <wp:effectExtent l="0" t="0" r="2540" b="635"/>
            <wp:docPr id="17878925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F324A">
        <w:t>Supplementary Figure 1 Kaplan–Meier survival analysis curves for all-cause mortality Kaplan–Meier curves and cumulative incidence of 90-day (A) and 180-day (B) all-cause mortality stratified by RCR</w:t>
      </w:r>
    </w:p>
    <w:p w14:paraId="551E5BDC" w14:textId="77777777" w:rsidR="00D562D9" w:rsidRDefault="00D562D9" w:rsidP="00D562D9"/>
    <w:p w14:paraId="08B6DC6B" w14:textId="77777777" w:rsidR="00D562D9" w:rsidRDefault="00D562D9" w:rsidP="00D562D9"/>
    <w:p w14:paraId="6A32B203" w14:textId="77777777" w:rsidR="00D562D9" w:rsidRDefault="00D562D9" w:rsidP="00D562D9"/>
    <w:p w14:paraId="35E3FF52" w14:textId="77777777" w:rsidR="00D562D9" w:rsidRDefault="00D562D9" w:rsidP="00D562D9"/>
    <w:p w14:paraId="06C6CBA7" w14:textId="77777777" w:rsidR="00D562D9" w:rsidRDefault="00D562D9" w:rsidP="00D562D9"/>
    <w:p w14:paraId="137F7780" w14:textId="77777777" w:rsidR="00D562D9" w:rsidRDefault="00D562D9" w:rsidP="00D562D9"/>
    <w:p w14:paraId="1C1814F6" w14:textId="77777777" w:rsidR="00D562D9" w:rsidRDefault="00D562D9" w:rsidP="00D562D9"/>
    <w:p w14:paraId="62E8E254" w14:textId="77777777" w:rsidR="00D562D9" w:rsidRDefault="00D562D9" w:rsidP="00D562D9"/>
    <w:p w14:paraId="1B3F9CDD" w14:textId="77777777" w:rsidR="00D562D9" w:rsidRDefault="00D562D9" w:rsidP="00D562D9"/>
    <w:p w14:paraId="727196C9" w14:textId="77777777" w:rsidR="00D562D9" w:rsidRDefault="00D562D9" w:rsidP="00D562D9"/>
    <w:p w14:paraId="0AB28852" w14:textId="77777777" w:rsidR="00D562D9" w:rsidRDefault="00D562D9" w:rsidP="00D562D9"/>
    <w:p w14:paraId="7E246975" w14:textId="77777777" w:rsidR="00D562D9" w:rsidRPr="006F324A" w:rsidRDefault="00D562D9" w:rsidP="00D562D9">
      <w:r>
        <w:rPr>
          <w:noProof/>
        </w:rPr>
        <w:drawing>
          <wp:inline distT="0" distB="0" distL="0" distR="0" wp14:anchorId="58E6A2C9" wp14:editId="29B81787">
            <wp:extent cx="5114925" cy="1994732"/>
            <wp:effectExtent l="0" t="0" r="0" b="5715"/>
            <wp:docPr id="18614249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013" cy="1995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EEAC22" w14:textId="77777777" w:rsidR="00D562D9" w:rsidRPr="00D06AAF" w:rsidRDefault="00D562D9" w:rsidP="00D562D9">
      <w:pPr>
        <w:rPr>
          <w:rFonts w:ascii="Times New Roman" w:hAnsi="Times New Roman" w:cs="Times New Roman"/>
          <w:b/>
          <w:bCs/>
          <w:sz w:val="24"/>
        </w:rPr>
      </w:pPr>
      <w:r w:rsidRPr="00D06AAF">
        <w:rPr>
          <w:rFonts w:ascii="Times New Roman" w:hAnsi="Times New Roman" w:cs="Times New Roman"/>
          <w:b/>
          <w:bCs/>
          <w:sz w:val="24"/>
        </w:rPr>
        <w:t xml:space="preserve">Supplementary Figure 2 Restricted cubic spline regression analysis of RCR with all-cause mortality </w:t>
      </w:r>
    </w:p>
    <w:p w14:paraId="404E6D4B" w14:textId="77777777" w:rsidR="00D562D9" w:rsidRPr="00D06AAF" w:rsidRDefault="00D562D9" w:rsidP="00D562D9">
      <w:pPr>
        <w:rPr>
          <w:rFonts w:ascii="Times New Roman" w:hAnsi="Times New Roman" w:cs="Times New Roman"/>
          <w:sz w:val="24"/>
        </w:rPr>
      </w:pPr>
      <w:r w:rsidRPr="00D06AAF">
        <w:rPr>
          <w:rFonts w:ascii="Times New Roman" w:hAnsi="Times New Roman" w:cs="Times New Roman"/>
          <w:sz w:val="24"/>
        </w:rPr>
        <w:t>Restricted cubic spline regression analysis of RCR with 90-day (A) and 180-day (B) all-cause mortality</w:t>
      </w:r>
    </w:p>
    <w:p w14:paraId="1BC3A107" w14:textId="77777777" w:rsidR="00D562D9" w:rsidRPr="00D06AAF" w:rsidRDefault="00D562D9" w:rsidP="00D562D9">
      <w:pPr>
        <w:rPr>
          <w:rFonts w:ascii="Times New Roman" w:hAnsi="Times New Roman" w:cs="Times New Roman"/>
          <w:sz w:val="24"/>
        </w:rPr>
      </w:pPr>
    </w:p>
    <w:p w14:paraId="3B0547A9" w14:textId="77777777" w:rsidR="00D562D9" w:rsidRDefault="00D562D9" w:rsidP="00D562D9"/>
    <w:p w14:paraId="549AE81F" w14:textId="77777777" w:rsidR="00D562D9" w:rsidRDefault="00D562D9" w:rsidP="00D562D9">
      <w:r>
        <w:rPr>
          <w:noProof/>
        </w:rPr>
        <w:lastRenderedPageBreak/>
        <w:drawing>
          <wp:inline distT="0" distB="0" distL="0" distR="0" wp14:anchorId="4C85455E" wp14:editId="011F52CC">
            <wp:extent cx="5431155" cy="2108470"/>
            <wp:effectExtent l="0" t="0" r="0" b="6350"/>
            <wp:docPr id="17079461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319" cy="2118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C7E346" w14:textId="77777777" w:rsidR="00D562D9" w:rsidRPr="00D06AAF" w:rsidRDefault="00D562D9" w:rsidP="00D562D9">
      <w:pPr>
        <w:rPr>
          <w:rFonts w:ascii="Times New Roman" w:hAnsi="Times New Roman" w:cs="Times New Roman"/>
          <w:sz w:val="24"/>
        </w:rPr>
      </w:pPr>
      <w:r w:rsidRPr="00D06AAF">
        <w:rPr>
          <w:rFonts w:ascii="Times New Roman" w:hAnsi="Times New Roman" w:cs="Times New Roman"/>
          <w:sz w:val="24"/>
        </w:rPr>
        <w:t>Supplementary Figure 3 Forest plots of stratified analyses of RCR and 90-day all-cause mortality (A), and 180-day all-cause mortality (B)</w:t>
      </w:r>
    </w:p>
    <w:p w14:paraId="7066D17D" w14:textId="77777777" w:rsidR="00D562D9" w:rsidRDefault="00D562D9" w:rsidP="00D562D9"/>
    <w:p w14:paraId="337F992E" w14:textId="77777777" w:rsidR="00D562D9" w:rsidRDefault="00D562D9" w:rsidP="00D562D9"/>
    <w:p w14:paraId="41243B6C" w14:textId="77777777" w:rsidR="00D562D9" w:rsidRDefault="00D562D9" w:rsidP="00D562D9"/>
    <w:p w14:paraId="2608838A" w14:textId="77777777" w:rsidR="00D562D9" w:rsidRDefault="00D562D9" w:rsidP="00D562D9"/>
    <w:p w14:paraId="2FAB0ECA" w14:textId="77777777" w:rsidR="00D562D9" w:rsidRDefault="00D562D9" w:rsidP="00D562D9"/>
    <w:p w14:paraId="50632410" w14:textId="77777777" w:rsidR="00D562D9" w:rsidRDefault="00D562D9" w:rsidP="00D562D9"/>
    <w:p w14:paraId="066B5B00" w14:textId="77777777" w:rsidR="00D562D9" w:rsidRDefault="00D562D9" w:rsidP="00D562D9"/>
    <w:p w14:paraId="5F8EB2AA" w14:textId="77777777" w:rsidR="00D562D9" w:rsidRDefault="00D562D9" w:rsidP="00D562D9"/>
    <w:p w14:paraId="00690F49" w14:textId="77777777" w:rsidR="00D562D9" w:rsidRDefault="00D562D9" w:rsidP="00D562D9"/>
    <w:p w14:paraId="597C09BB" w14:textId="77777777" w:rsidR="00D562D9" w:rsidRDefault="00D562D9" w:rsidP="00D562D9"/>
    <w:p w14:paraId="068E3D34" w14:textId="77777777" w:rsidR="00D562D9" w:rsidRDefault="00D562D9" w:rsidP="00D562D9"/>
    <w:p w14:paraId="19CEB5D5" w14:textId="77777777" w:rsidR="00D562D9" w:rsidRDefault="00D562D9" w:rsidP="00D562D9"/>
    <w:p w14:paraId="2A2259DD" w14:textId="77777777" w:rsidR="00D562D9" w:rsidRDefault="00D562D9" w:rsidP="00D562D9"/>
    <w:p w14:paraId="02DE3095" w14:textId="77777777" w:rsidR="00D562D9" w:rsidRDefault="00D562D9" w:rsidP="00D562D9"/>
    <w:p w14:paraId="20FA6792" w14:textId="77777777" w:rsidR="00D562D9" w:rsidRDefault="00D562D9" w:rsidP="00D562D9"/>
    <w:p w14:paraId="416422A9" w14:textId="77777777" w:rsidR="00D562D9" w:rsidRDefault="00D562D9" w:rsidP="00D562D9"/>
    <w:p w14:paraId="399276FA" w14:textId="77777777" w:rsidR="00D562D9" w:rsidRDefault="00D562D9" w:rsidP="00D562D9"/>
    <w:p w14:paraId="42EB1688" w14:textId="77777777" w:rsidR="00D562D9" w:rsidRDefault="00D562D9" w:rsidP="00D562D9"/>
    <w:p w14:paraId="4FCC44B5" w14:textId="77777777" w:rsidR="00D562D9" w:rsidRDefault="00D562D9" w:rsidP="00D562D9"/>
    <w:p w14:paraId="6A74C3C5" w14:textId="77777777" w:rsidR="00D562D9" w:rsidRDefault="00D562D9" w:rsidP="00D562D9"/>
    <w:p w14:paraId="1C874B9D" w14:textId="77777777" w:rsidR="00D562D9" w:rsidRDefault="00D562D9" w:rsidP="00D562D9"/>
    <w:p w14:paraId="0D6C80DB" w14:textId="77777777" w:rsidR="00D562D9" w:rsidRDefault="00D562D9" w:rsidP="00D562D9"/>
    <w:p w14:paraId="16981B97" w14:textId="77777777" w:rsidR="00D562D9" w:rsidRDefault="00D562D9" w:rsidP="00D562D9"/>
    <w:p w14:paraId="64673503" w14:textId="77777777" w:rsidR="00D562D9" w:rsidRDefault="00D562D9" w:rsidP="00D562D9"/>
    <w:p w14:paraId="6669A707" w14:textId="77777777" w:rsidR="00D562D9" w:rsidRDefault="00D562D9" w:rsidP="00D562D9"/>
    <w:p w14:paraId="7E39A9CE" w14:textId="77777777" w:rsidR="00D562D9" w:rsidRDefault="00D562D9" w:rsidP="00D562D9"/>
    <w:p w14:paraId="0534441E" w14:textId="77777777" w:rsidR="00D562D9" w:rsidRDefault="00D562D9" w:rsidP="00D562D9"/>
    <w:p w14:paraId="4125E52D" w14:textId="77777777" w:rsidR="00D562D9" w:rsidRDefault="00D562D9" w:rsidP="00D562D9"/>
    <w:p w14:paraId="65D5C49D" w14:textId="77777777" w:rsidR="00D562D9" w:rsidRDefault="00D562D9" w:rsidP="00D562D9"/>
    <w:p w14:paraId="54E4AFFF" w14:textId="77777777" w:rsidR="00D562D9" w:rsidRDefault="00D562D9" w:rsidP="00D562D9"/>
    <w:p w14:paraId="6440B83B" w14:textId="77777777" w:rsidR="00D562D9" w:rsidRDefault="00D562D9" w:rsidP="00D562D9"/>
    <w:p w14:paraId="21E88D2C" w14:textId="77777777" w:rsidR="00D562D9" w:rsidRPr="006F324A" w:rsidRDefault="00D562D9" w:rsidP="00D562D9">
      <w:r>
        <w:rPr>
          <w:noProof/>
        </w:rPr>
        <w:lastRenderedPageBreak/>
        <w:drawing>
          <wp:inline distT="0" distB="0" distL="0" distR="0" wp14:anchorId="6806B033" wp14:editId="14C5BE39">
            <wp:extent cx="4682424" cy="3714750"/>
            <wp:effectExtent l="0" t="0" r="4445" b="0"/>
            <wp:docPr id="128628755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370" cy="372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C8D60" w14:textId="77777777" w:rsidR="00D562D9" w:rsidRPr="00D06AAF" w:rsidRDefault="00D562D9" w:rsidP="00D562D9">
      <w:pPr>
        <w:rPr>
          <w:rFonts w:ascii="Times New Roman" w:hAnsi="Times New Roman" w:cs="Times New Roman"/>
          <w:sz w:val="24"/>
        </w:rPr>
      </w:pPr>
      <w:r w:rsidRPr="00D06AAF">
        <w:rPr>
          <w:rFonts w:ascii="Times New Roman" w:hAnsi="Times New Roman" w:cs="Times New Roman"/>
          <w:sz w:val="24"/>
        </w:rPr>
        <w:t>Supplementary Figure 4. Restricted cubic spline analysis showing the relationship between Red Cell Distribution Width-to-Serum Calcium Ratio (RCR) and hazard ratio (HR) comparing mortality risk between female versus male groups at different follow-up periods: (A) 30-day, (B) 90-day, (C) 180-day, and (D) 365-day mortality.</w:t>
      </w:r>
    </w:p>
    <w:p w14:paraId="52488526" w14:textId="77777777" w:rsidR="00D562D9" w:rsidRDefault="00D562D9" w:rsidP="00D562D9"/>
    <w:p w14:paraId="4328E496" w14:textId="77777777" w:rsidR="00D562D9" w:rsidRDefault="00D562D9" w:rsidP="00D562D9"/>
    <w:p w14:paraId="12D629E8" w14:textId="77777777" w:rsidR="00D562D9" w:rsidRDefault="00D562D9" w:rsidP="00D562D9"/>
    <w:p w14:paraId="3D1273D6" w14:textId="77777777" w:rsidR="00D562D9" w:rsidRDefault="00D562D9" w:rsidP="00D562D9"/>
    <w:p w14:paraId="07F2A852" w14:textId="77777777" w:rsidR="00D562D9" w:rsidRDefault="00D562D9" w:rsidP="00D562D9"/>
    <w:p w14:paraId="03300186" w14:textId="77777777" w:rsidR="00D562D9" w:rsidRDefault="00D562D9" w:rsidP="00D562D9"/>
    <w:p w14:paraId="63B719D7" w14:textId="77777777" w:rsidR="00D562D9" w:rsidRDefault="00D562D9" w:rsidP="00D562D9">
      <w:r>
        <w:rPr>
          <w:noProof/>
        </w:rPr>
        <w:drawing>
          <wp:inline distT="0" distB="0" distL="0" distR="0" wp14:anchorId="6C847A62" wp14:editId="0929699F">
            <wp:extent cx="5241925" cy="1747437"/>
            <wp:effectExtent l="0" t="0" r="0" b="5715"/>
            <wp:docPr id="2837358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233" cy="1758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6734BD" w14:textId="77777777" w:rsidR="00D562D9" w:rsidRPr="00D06AAF" w:rsidRDefault="00D562D9" w:rsidP="00D562D9">
      <w:pPr>
        <w:rPr>
          <w:rFonts w:ascii="Times New Roman" w:hAnsi="Times New Roman" w:cs="Times New Roman"/>
          <w:sz w:val="24"/>
        </w:rPr>
      </w:pPr>
      <w:r w:rsidRPr="00D06AAF">
        <w:rPr>
          <w:rFonts w:ascii="Times New Roman" w:hAnsi="Times New Roman" w:cs="Times New Roman"/>
          <w:sz w:val="24"/>
        </w:rPr>
        <w:t>Supplementary Figure 5. Forest plots showing hazard ratios (HR) with 95% confidence intervals (CI) for mortality comparing female versus male groups, stratified by RCR cutoff values at different follow-up periods: (A) 30-day, (B) 90-day, (C) 180-day, and (D) 365-day mortality.</w:t>
      </w:r>
    </w:p>
    <w:p w14:paraId="4C5EE2CB" w14:textId="77777777" w:rsidR="00D562D9" w:rsidRPr="00D06AAF" w:rsidRDefault="00D562D9" w:rsidP="00D562D9">
      <w:pPr>
        <w:rPr>
          <w:rFonts w:ascii="Times New Roman" w:hAnsi="Times New Roman" w:cs="Times New Roman"/>
          <w:sz w:val="24"/>
        </w:rPr>
      </w:pPr>
    </w:p>
    <w:p w14:paraId="6F2F5F0F" w14:textId="77777777" w:rsidR="00D562D9" w:rsidRDefault="00D562D9" w:rsidP="00D562D9"/>
    <w:p w14:paraId="075EC713" w14:textId="77777777" w:rsidR="00D562D9" w:rsidRDefault="00D562D9" w:rsidP="00D562D9">
      <w:r>
        <w:rPr>
          <w:noProof/>
        </w:rPr>
        <w:lastRenderedPageBreak/>
        <w:drawing>
          <wp:inline distT="0" distB="0" distL="0" distR="0" wp14:anchorId="15BAAB12" wp14:editId="5C88DA3E">
            <wp:extent cx="5187832" cy="4115710"/>
            <wp:effectExtent l="0" t="0" r="0" b="0"/>
            <wp:docPr id="17636051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079" cy="4132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07EADC" w14:textId="77777777" w:rsidR="00D562D9" w:rsidRPr="00D06AAF" w:rsidRDefault="00D562D9" w:rsidP="00D562D9">
      <w:pPr>
        <w:rPr>
          <w:rFonts w:ascii="Times New Roman" w:hAnsi="Times New Roman" w:cs="Times New Roman"/>
          <w:sz w:val="24"/>
        </w:rPr>
      </w:pPr>
      <w:r w:rsidRPr="00D06AAF">
        <w:rPr>
          <w:rFonts w:ascii="Times New Roman" w:hAnsi="Times New Roman" w:cs="Times New Roman" w:hint="eastAsia"/>
          <w:sz w:val="24"/>
        </w:rPr>
        <w:t>Supplementary  Figure 6. Restricted cubic spline analysis showing the relationship between Red Cell Distribution Width-to-Serum Calcium Ratio (RCR) and hazard ratio (HR) comparing mortality risk between BMI &gt; 30 group versus BMI ≤ 30 group at different fol</w:t>
      </w:r>
      <w:r w:rsidRPr="00D06AAF">
        <w:rPr>
          <w:rFonts w:ascii="Times New Roman" w:hAnsi="Times New Roman" w:cs="Times New Roman"/>
          <w:sz w:val="24"/>
        </w:rPr>
        <w:t>low-up periods: (A) 30-day, (B) 90-day, (C) 180-day, and (D) 365-day mortality.</w:t>
      </w:r>
    </w:p>
    <w:p w14:paraId="7CC9D448" w14:textId="77777777" w:rsidR="00D562D9" w:rsidRDefault="00D562D9" w:rsidP="00D562D9"/>
    <w:p w14:paraId="65E1D09B" w14:textId="77777777" w:rsidR="00D562D9" w:rsidRDefault="00D562D9" w:rsidP="00D562D9"/>
    <w:p w14:paraId="230CAD4A" w14:textId="77777777" w:rsidR="00D562D9" w:rsidRDefault="00D562D9" w:rsidP="00D562D9"/>
    <w:p w14:paraId="3860C7B3" w14:textId="77777777" w:rsidR="00D562D9" w:rsidRDefault="00D562D9" w:rsidP="00D562D9"/>
    <w:p w14:paraId="73D9F35E" w14:textId="77777777" w:rsidR="00D562D9" w:rsidRDefault="00D562D9" w:rsidP="00D562D9">
      <w:r>
        <w:rPr>
          <w:noProof/>
        </w:rPr>
        <w:drawing>
          <wp:inline distT="0" distB="0" distL="0" distR="0" wp14:anchorId="31673049" wp14:editId="3D82C33D">
            <wp:extent cx="5358332" cy="1786242"/>
            <wp:effectExtent l="0" t="0" r="0" b="5080"/>
            <wp:docPr id="135503767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47" cy="1802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5A5915" w14:textId="77777777" w:rsidR="00D562D9" w:rsidRPr="00D06AAF" w:rsidRDefault="00D562D9" w:rsidP="00D562D9">
      <w:pPr>
        <w:rPr>
          <w:rFonts w:ascii="Times New Roman" w:hAnsi="Times New Roman" w:cs="Times New Roman"/>
          <w:sz w:val="24"/>
        </w:rPr>
      </w:pPr>
      <w:r w:rsidRPr="00D06AAF">
        <w:rPr>
          <w:rFonts w:ascii="Times New Roman" w:hAnsi="Times New Roman" w:cs="Times New Roman" w:hint="eastAsia"/>
          <w:sz w:val="24"/>
        </w:rPr>
        <w:t>Supplementary  Figure 7. Forest plots showing hazard ratios (HR) with 95% confidence intervals (CI) for mortality comparing BMI &gt; 30 versus BMI ≤ 30 groups at different follow-up periods: (A) 30-day, (B) 90-day, (C) 180-day, and (D) 365-day mortality.</w:t>
      </w:r>
    </w:p>
    <w:p w14:paraId="24183EE4" w14:textId="77777777" w:rsidR="00E023F9" w:rsidRDefault="00E023F9"/>
    <w:sectPr w:rsidR="00E023F9" w:rsidSect="00D56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D9"/>
    <w:rsid w:val="000676DF"/>
    <w:rsid w:val="000C4033"/>
    <w:rsid w:val="00173ED8"/>
    <w:rsid w:val="004B42CB"/>
    <w:rsid w:val="005F2B46"/>
    <w:rsid w:val="006E1731"/>
    <w:rsid w:val="00866D74"/>
    <w:rsid w:val="00882A73"/>
    <w:rsid w:val="0095305D"/>
    <w:rsid w:val="00B260B7"/>
    <w:rsid w:val="00B85331"/>
    <w:rsid w:val="00D562D9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EE3B8"/>
  <w15:chartTrackingRefBased/>
  <w15:docId w15:val="{4270D9E4-3730-4941-9DF0-5E0BA361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2D9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62D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2D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2D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2D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2D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2D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2D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2D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2D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2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2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2D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6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2D9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6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2D9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6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2D9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62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2D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2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2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2026-05-18T10:12:00Z</dcterms:created>
  <dcterms:modified xsi:type="dcterms:W3CDTF">2026-05-18T10:12:00Z</dcterms:modified>
</cp:coreProperties>
</file>