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76F3" w14:textId="77777777" w:rsidR="00D71BA9" w:rsidRPr="00D35090" w:rsidRDefault="00D71BA9" w:rsidP="00D71BA9">
      <w:pPr>
        <w:jc w:val="both"/>
        <w:rPr>
          <w:rFonts w:ascii="Times New Roman" w:hAnsi="Times New Roman" w:cs="Times New Roman"/>
          <w:b/>
          <w:bCs/>
          <w:sz w:val="24"/>
          <w:szCs w:val="24"/>
          <w:lang w:val="en-US"/>
        </w:rPr>
      </w:pPr>
      <w:r w:rsidRPr="00D35090">
        <w:rPr>
          <w:rFonts w:ascii="Times New Roman" w:hAnsi="Times New Roman" w:cs="Times New Roman"/>
          <w:b/>
          <w:bCs/>
          <w:sz w:val="24"/>
          <w:szCs w:val="24"/>
          <w:lang w:val="en-US"/>
        </w:rPr>
        <w:t xml:space="preserve">Supplementary methods </w:t>
      </w:r>
    </w:p>
    <w:p w14:paraId="2C9E1AC6" w14:textId="77777777" w:rsidR="00D71BA9" w:rsidRPr="00D35090" w:rsidRDefault="00D71BA9" w:rsidP="00D71BA9">
      <w:pPr>
        <w:jc w:val="both"/>
        <w:rPr>
          <w:rFonts w:ascii="Times New Roman" w:hAnsi="Times New Roman" w:cs="Times New Roman"/>
          <w:b/>
          <w:bCs/>
          <w:sz w:val="24"/>
          <w:szCs w:val="24"/>
          <w:lang w:val="en-US"/>
        </w:rPr>
      </w:pPr>
      <w:r w:rsidRPr="00D35090">
        <w:rPr>
          <w:rFonts w:ascii="Times New Roman" w:hAnsi="Times New Roman" w:cs="Times New Roman"/>
          <w:b/>
          <w:bCs/>
          <w:sz w:val="24"/>
          <w:szCs w:val="24"/>
          <w:lang w:val="en-US"/>
        </w:rPr>
        <w:t>Supplemental 1 (S1). Real-time PCR assay</w:t>
      </w:r>
    </w:p>
    <w:p w14:paraId="4875F73E" w14:textId="77777777" w:rsidR="00D71BA9" w:rsidRPr="00DD1ACC" w:rsidRDefault="00D71BA9" w:rsidP="00D71BA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F464A3">
        <w:rPr>
          <w:rFonts w:ascii="Times New Roman" w:hAnsi="Times New Roman" w:cs="Times New Roman"/>
          <w:sz w:val="24"/>
          <w:szCs w:val="24"/>
          <w:lang w:val="en-US"/>
        </w:rPr>
        <w:t>JAK2V617F mutational load was analyzed by</w:t>
      </w:r>
      <w:r>
        <w:rPr>
          <w:rFonts w:ascii="Times New Roman" w:hAnsi="Times New Roman" w:cs="Times New Roman"/>
          <w:sz w:val="24"/>
          <w:szCs w:val="24"/>
          <w:lang w:val="en-US"/>
        </w:rPr>
        <w:t xml:space="preserve"> Allele-specific real-time PCR,</w:t>
      </w:r>
      <w:r w:rsidRPr="00D350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using </w:t>
      </w:r>
      <w:r w:rsidRPr="00F464A3">
        <w:rPr>
          <w:rFonts w:ascii="Times New Roman" w:hAnsi="Times New Roman" w:cs="Times New Roman"/>
          <w:sz w:val="24"/>
          <w:szCs w:val="24"/>
          <w:lang w:val="en-US"/>
        </w:rPr>
        <w:t xml:space="preserve">JAK2 </w:t>
      </w:r>
      <w:proofErr w:type="spellStart"/>
      <w:r w:rsidRPr="00F464A3">
        <w:rPr>
          <w:rFonts w:ascii="Times New Roman" w:hAnsi="Times New Roman" w:cs="Times New Roman"/>
          <w:sz w:val="24"/>
          <w:szCs w:val="24"/>
          <w:lang w:val="en-US"/>
        </w:rPr>
        <w:t>MutaQuant</w:t>
      </w:r>
      <w:proofErr w:type="spellEnd"/>
      <w:r w:rsidRPr="00F464A3">
        <w:rPr>
          <w:rFonts w:ascii="Times New Roman" w:hAnsi="Times New Roman" w:cs="Times New Roman"/>
          <w:sz w:val="24"/>
          <w:szCs w:val="24"/>
          <w:lang w:val="en-US"/>
        </w:rPr>
        <w:t xml:space="preserve"> assay (</w:t>
      </w:r>
      <w:proofErr w:type="spellStart"/>
      <w:r w:rsidRPr="00F464A3">
        <w:rPr>
          <w:rFonts w:ascii="Times New Roman" w:hAnsi="Times New Roman" w:cs="Times New Roman"/>
          <w:sz w:val="24"/>
          <w:szCs w:val="24"/>
          <w:lang w:val="en-US"/>
        </w:rPr>
        <w:t>Ipsogen</w:t>
      </w:r>
      <w:proofErr w:type="spellEnd"/>
      <w:r w:rsidRPr="00F464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Pr="00F464A3">
        <w:rPr>
          <w:rFonts w:ascii="Times New Roman" w:hAnsi="Times New Roman" w:cs="Times New Roman"/>
          <w:sz w:val="24"/>
          <w:szCs w:val="24"/>
          <w:lang w:val="en-US"/>
        </w:rPr>
        <w:t>detects the JAK2 V617F allele in genomic DNA by real-time detection of fluorescent signals using double-</w:t>
      </w:r>
      <w:proofErr w:type="gramStart"/>
      <w:r w:rsidRPr="00F464A3">
        <w:rPr>
          <w:rFonts w:ascii="Times New Roman" w:hAnsi="Times New Roman" w:cs="Times New Roman"/>
          <w:sz w:val="24"/>
          <w:szCs w:val="24"/>
          <w:lang w:val="en-US"/>
        </w:rPr>
        <w:t>dye</w:t>
      </w:r>
      <w:proofErr w:type="gramEnd"/>
      <w:r w:rsidRPr="00F464A3">
        <w:rPr>
          <w:rFonts w:ascii="Times New Roman" w:hAnsi="Times New Roman" w:cs="Times New Roman"/>
          <w:sz w:val="24"/>
          <w:szCs w:val="24"/>
          <w:lang w:val="en-US"/>
        </w:rPr>
        <w:t xml:space="preserve"> hydrolysis oligonucleotide probes. Calibration standards at 4 different concentrations were included with each PCR run, and wild-type and mutated alleles were detected in 2 separate reactions for the same sample. Use of a standard curve in result analysis allowed precise quantitation of mutant and wild-type alleles. The results were expressed as the percentage of mutant allele in the total reaction mixture.</w:t>
      </w:r>
      <w:r>
        <w:rPr>
          <w:rFonts w:ascii="Times New Roman" w:hAnsi="Times New Roman" w:cs="Times New Roman"/>
          <w:sz w:val="24"/>
          <w:szCs w:val="24"/>
          <w:lang w:val="en-US"/>
        </w:rPr>
        <w:t xml:space="preserve"> </w:t>
      </w:r>
      <w:r w:rsidRPr="00F464A3">
        <w:rPr>
          <w:rFonts w:ascii="Times New Roman" w:hAnsi="Times New Roman" w:cs="Times New Roman"/>
          <w:sz w:val="24"/>
          <w:szCs w:val="24"/>
          <w:lang w:val="en-US"/>
        </w:rPr>
        <w:t xml:space="preserve">Each sample was tested in duplicate using </w:t>
      </w:r>
      <w:r w:rsidRPr="00342224">
        <w:rPr>
          <w:rFonts w:ascii="Times New Roman" w:hAnsi="Times New Roman" w:cs="Times New Roman"/>
          <w:sz w:val="24"/>
          <w:szCs w:val="24"/>
          <w:lang w:val="en-US"/>
        </w:rPr>
        <w:t xml:space="preserve">ABI PRISM 7900HT SDS </w:t>
      </w:r>
      <w:r w:rsidRPr="00F464A3">
        <w:rPr>
          <w:rFonts w:ascii="Times New Roman" w:hAnsi="Times New Roman" w:cs="Times New Roman"/>
          <w:sz w:val="24"/>
          <w:szCs w:val="24"/>
          <w:lang w:val="en-US"/>
        </w:rPr>
        <w:t>detection system (</w:t>
      </w:r>
      <w:r>
        <w:rPr>
          <w:rFonts w:ascii="Times New Roman" w:hAnsi="Times New Roman" w:cs="Times New Roman"/>
          <w:sz w:val="24"/>
          <w:szCs w:val="24"/>
          <w:lang w:val="en-US"/>
        </w:rPr>
        <w:t>A</w:t>
      </w:r>
      <w:r w:rsidRPr="00F464A3">
        <w:rPr>
          <w:rFonts w:ascii="Times New Roman" w:hAnsi="Times New Roman" w:cs="Times New Roman"/>
          <w:sz w:val="24"/>
          <w:szCs w:val="24"/>
          <w:lang w:val="en-US"/>
        </w:rPr>
        <w:t xml:space="preserve">pplied </w:t>
      </w:r>
      <w:r>
        <w:rPr>
          <w:rFonts w:ascii="Times New Roman" w:hAnsi="Times New Roman" w:cs="Times New Roman"/>
          <w:sz w:val="24"/>
          <w:szCs w:val="24"/>
          <w:lang w:val="en-US"/>
        </w:rPr>
        <w:t>B</w:t>
      </w:r>
      <w:r w:rsidRPr="00F464A3">
        <w:rPr>
          <w:rFonts w:ascii="Times New Roman" w:hAnsi="Times New Roman" w:cs="Times New Roman"/>
          <w:sz w:val="24"/>
          <w:szCs w:val="24"/>
          <w:lang w:val="en-US"/>
        </w:rPr>
        <w:t>iosystem)</w:t>
      </w:r>
      <w:r>
        <w:rPr>
          <w:rFonts w:ascii="Times New Roman" w:hAnsi="Times New Roman" w:cs="Times New Roman"/>
          <w:sz w:val="24"/>
          <w:szCs w:val="24"/>
          <w:lang w:val="en-US"/>
        </w:rPr>
        <w:t xml:space="preserve">. </w:t>
      </w:r>
      <w:r w:rsidRPr="00F464A3">
        <w:rPr>
          <w:rFonts w:ascii="Times New Roman" w:hAnsi="Times New Roman" w:cs="Times New Roman"/>
          <w:sz w:val="24"/>
          <w:szCs w:val="24"/>
          <w:lang w:val="en-US"/>
        </w:rPr>
        <w:t xml:space="preserve">The results were expressed as the percentage of mutant allele CN in the total </w:t>
      </w:r>
      <w:proofErr w:type="gramStart"/>
      <w:r w:rsidRPr="00F464A3">
        <w:rPr>
          <w:rFonts w:ascii="Times New Roman" w:hAnsi="Times New Roman" w:cs="Times New Roman"/>
          <w:sz w:val="24"/>
          <w:szCs w:val="24"/>
          <w:lang w:val="en-US"/>
        </w:rPr>
        <w:t xml:space="preserve">CN </w:t>
      </w:r>
      <w:r w:rsidRPr="0087300F">
        <w:rPr>
          <w:rFonts w:ascii="Times New Roman" w:hAnsi="Times New Roman" w:cs="Times New Roman"/>
          <w:sz w:val="24"/>
          <w:szCs w:val="24"/>
          <w:lang w:val="en-US"/>
        </w:rPr>
        <w:t>[(</w:t>
      </w:r>
      <w:proofErr w:type="gramEnd"/>
      <w:r w:rsidRPr="0087300F">
        <w:rPr>
          <w:rFonts w:ascii="Times New Roman" w:hAnsi="Times New Roman" w:cs="Times New Roman"/>
          <w:sz w:val="24"/>
          <w:szCs w:val="24"/>
          <w:lang w:val="en-US"/>
        </w:rPr>
        <w:t>CN</w:t>
      </w:r>
      <w:r w:rsidRPr="00342224">
        <w:rPr>
          <w:rFonts w:ascii="Times New Roman" w:hAnsi="Times New Roman" w:cs="Times New Roman"/>
          <w:sz w:val="24"/>
          <w:szCs w:val="24"/>
          <w:lang w:val="en-US"/>
        </w:rPr>
        <w:t>V617F</w:t>
      </w:r>
      <w:r w:rsidRPr="0087300F">
        <w:rPr>
          <w:rFonts w:ascii="Times New Roman" w:hAnsi="Times New Roman" w:cs="Times New Roman"/>
          <w:sz w:val="24"/>
          <w:szCs w:val="24"/>
          <w:lang w:val="en-US"/>
        </w:rPr>
        <w:t>/CN</w:t>
      </w:r>
      <w:r w:rsidRPr="00342224">
        <w:rPr>
          <w:rFonts w:ascii="Times New Roman" w:hAnsi="Times New Roman" w:cs="Times New Roman"/>
          <w:sz w:val="24"/>
          <w:szCs w:val="24"/>
          <w:lang w:val="en-US"/>
        </w:rPr>
        <w:t>V617F</w:t>
      </w:r>
      <w:r w:rsidRPr="0087300F">
        <w:rPr>
          <w:rFonts w:ascii="Times New Roman" w:hAnsi="Times New Roman" w:cs="Times New Roman"/>
          <w:sz w:val="24"/>
          <w:szCs w:val="24"/>
          <w:lang w:val="en-US"/>
        </w:rPr>
        <w:t>+</w:t>
      </w:r>
      <w:proofErr w:type="gramStart"/>
      <w:r w:rsidRPr="0087300F">
        <w:rPr>
          <w:rFonts w:ascii="Times New Roman" w:hAnsi="Times New Roman" w:cs="Times New Roman"/>
          <w:sz w:val="24"/>
          <w:szCs w:val="24"/>
          <w:lang w:val="en-US"/>
        </w:rPr>
        <w:t>CN</w:t>
      </w:r>
      <w:r w:rsidRPr="00342224">
        <w:rPr>
          <w:rFonts w:ascii="Times New Roman" w:hAnsi="Times New Roman" w:cs="Times New Roman"/>
          <w:sz w:val="24"/>
          <w:szCs w:val="24"/>
          <w:lang w:val="en-US"/>
        </w:rPr>
        <w:t>WT</w:t>
      </w:r>
      <w:r w:rsidRPr="0087300F">
        <w:rPr>
          <w:rFonts w:ascii="Times New Roman" w:hAnsi="Times New Roman" w:cs="Times New Roman"/>
          <w:sz w:val="24"/>
          <w:szCs w:val="24"/>
          <w:lang w:val="en-US"/>
        </w:rPr>
        <w:t>)×</w:t>
      </w:r>
      <w:proofErr w:type="gramEnd"/>
      <w:r w:rsidRPr="0087300F">
        <w:rPr>
          <w:rFonts w:ascii="Times New Roman" w:hAnsi="Times New Roman" w:cs="Times New Roman"/>
          <w:sz w:val="24"/>
          <w:szCs w:val="24"/>
          <w:lang w:val="en-US"/>
        </w:rPr>
        <w:t>100].</w:t>
      </w:r>
      <w:r w:rsidRPr="00342224">
        <w:rPr>
          <w:rFonts w:ascii="Times New Roman" w:hAnsi="Times New Roman" w:cs="Times New Roman"/>
          <w:sz w:val="24"/>
          <w:szCs w:val="24"/>
          <w:lang w:val="en-US"/>
        </w:rPr>
        <w:t xml:space="preserve"> </w:t>
      </w:r>
      <w:r w:rsidRPr="00DD1ACC">
        <w:rPr>
          <w:rFonts w:ascii="Times New Roman" w:hAnsi="Times New Roman" w:cs="Times New Roman"/>
          <w:sz w:val="24"/>
          <w:szCs w:val="24"/>
          <w:lang w:val="en-US"/>
        </w:rPr>
        <w:t>The background level or level of blank (LOB) was determined on negative samples, this was found to be 0.014%. The limit of detection (LOD) was determined using samples that were known to be positive but with low expression and this was found to be 0.061%, with a 90% confidence interval upper bound at 0.091%. This optimal sensitivity can be obtained on specimens containing at least 10,000 copies of the JAK2 gene (wild-type or V617F mutation).</w:t>
      </w:r>
    </w:p>
    <w:p w14:paraId="036EA252" w14:textId="77777777" w:rsidR="00D71BA9" w:rsidRPr="00D35090" w:rsidRDefault="00D71BA9" w:rsidP="00D71BA9">
      <w:pPr>
        <w:jc w:val="both"/>
        <w:rPr>
          <w:rFonts w:ascii="Times New Roman" w:hAnsi="Times New Roman" w:cs="Times New Roman"/>
          <w:sz w:val="24"/>
          <w:szCs w:val="24"/>
          <w:lang w:val="en-US"/>
        </w:rPr>
      </w:pPr>
      <w:r w:rsidRPr="00D35090">
        <w:rPr>
          <w:rFonts w:ascii="Times New Roman" w:hAnsi="Times New Roman" w:cs="Times New Roman"/>
          <w:sz w:val="24"/>
          <w:szCs w:val="24"/>
          <w:lang w:val="en-US"/>
        </w:rPr>
        <w:t xml:space="preserve">Minimal residual disease was carried out by real-time quantitative-PCR (RQ-PCR) for T-cell receptor (TR) genes rearrangements. RQ-PCR targets were tested for speciﬁcity and sensitivity with the aim of selecting for each patient two markers with a sensitivity of at least 10-4 and a quantitative range of at least 10-4, with a molecular probe recognizing patient-specific T-receptor gene rearrangement. Analysis was processed at </w:t>
      </w:r>
      <w:proofErr w:type="spellStart"/>
      <w:r w:rsidRPr="00D35090">
        <w:rPr>
          <w:rFonts w:ascii="Times New Roman" w:hAnsi="Times New Roman" w:cs="Times New Roman"/>
          <w:sz w:val="24"/>
          <w:szCs w:val="24"/>
          <w:lang w:val="en-US"/>
        </w:rPr>
        <w:t>EuroMRD</w:t>
      </w:r>
      <w:proofErr w:type="spellEnd"/>
      <w:r w:rsidRPr="00D35090">
        <w:rPr>
          <w:rFonts w:ascii="Times New Roman" w:hAnsi="Times New Roman" w:cs="Times New Roman"/>
          <w:sz w:val="24"/>
          <w:szCs w:val="24"/>
          <w:lang w:val="en-US"/>
        </w:rPr>
        <w:t>-certified GIMEMA laboratory in Rome (Università La Sapienza) trough MRD-</w:t>
      </w:r>
      <w:proofErr w:type="spellStart"/>
      <w:r w:rsidRPr="00D35090">
        <w:rPr>
          <w:rFonts w:ascii="Times New Roman" w:hAnsi="Times New Roman" w:cs="Times New Roman"/>
          <w:sz w:val="24"/>
          <w:szCs w:val="24"/>
          <w:lang w:val="en-US"/>
        </w:rPr>
        <w:t>ITALLab</w:t>
      </w:r>
      <w:proofErr w:type="spellEnd"/>
      <w:r w:rsidRPr="00D35090">
        <w:rPr>
          <w:rFonts w:ascii="Times New Roman" w:hAnsi="Times New Roman" w:cs="Times New Roman"/>
          <w:sz w:val="24"/>
          <w:szCs w:val="24"/>
          <w:lang w:val="en-US"/>
        </w:rPr>
        <w:t xml:space="preserve"> </w:t>
      </w:r>
      <w:proofErr w:type="gramStart"/>
      <w:r w:rsidRPr="00D35090">
        <w:rPr>
          <w:rFonts w:ascii="Times New Roman" w:hAnsi="Times New Roman" w:cs="Times New Roman"/>
          <w:sz w:val="24"/>
          <w:szCs w:val="24"/>
          <w:lang w:val="en-US"/>
        </w:rPr>
        <w:t>platform, and</w:t>
      </w:r>
      <w:proofErr w:type="gramEnd"/>
      <w:r w:rsidRPr="00D35090">
        <w:rPr>
          <w:rFonts w:ascii="Times New Roman" w:hAnsi="Times New Roman" w:cs="Times New Roman"/>
          <w:sz w:val="24"/>
          <w:szCs w:val="24"/>
          <w:lang w:val="en-US"/>
        </w:rPr>
        <w:t xml:space="preserve"> performed according to the </w:t>
      </w:r>
      <w:proofErr w:type="spellStart"/>
      <w:r w:rsidRPr="00D35090">
        <w:rPr>
          <w:rFonts w:ascii="Times New Roman" w:hAnsi="Times New Roman" w:cs="Times New Roman"/>
          <w:sz w:val="24"/>
          <w:szCs w:val="24"/>
          <w:lang w:val="en-US"/>
        </w:rPr>
        <w:t>EuroMRD</w:t>
      </w:r>
      <w:proofErr w:type="spellEnd"/>
      <w:r w:rsidRPr="00D35090">
        <w:rPr>
          <w:rFonts w:ascii="Times New Roman" w:hAnsi="Times New Roman" w:cs="Times New Roman"/>
          <w:sz w:val="24"/>
          <w:szCs w:val="24"/>
          <w:lang w:val="en-US"/>
        </w:rPr>
        <w:t xml:space="preserve"> guidelines.</w:t>
      </w:r>
    </w:p>
    <w:p w14:paraId="4655C92E" w14:textId="77777777" w:rsidR="00D71BA9" w:rsidRPr="00D35090" w:rsidRDefault="00D71BA9" w:rsidP="00D71BA9">
      <w:pPr>
        <w:jc w:val="both"/>
        <w:rPr>
          <w:rFonts w:ascii="Times New Roman" w:hAnsi="Times New Roman" w:cs="Times New Roman"/>
          <w:b/>
          <w:bCs/>
          <w:sz w:val="24"/>
          <w:szCs w:val="24"/>
          <w:lang w:val="en-US"/>
        </w:rPr>
      </w:pPr>
    </w:p>
    <w:p w14:paraId="6413B5B0" w14:textId="77777777" w:rsidR="00D71BA9" w:rsidRPr="00D35090" w:rsidRDefault="00D71BA9" w:rsidP="00D71BA9">
      <w:pPr>
        <w:jc w:val="both"/>
        <w:rPr>
          <w:rFonts w:ascii="Times New Roman" w:hAnsi="Times New Roman" w:cs="Times New Roman"/>
          <w:b/>
          <w:bCs/>
          <w:sz w:val="24"/>
          <w:szCs w:val="24"/>
          <w:lang w:val="en-US"/>
        </w:rPr>
      </w:pPr>
      <w:r w:rsidRPr="00D35090">
        <w:rPr>
          <w:rFonts w:ascii="Times New Roman" w:hAnsi="Times New Roman" w:cs="Times New Roman"/>
          <w:b/>
          <w:bCs/>
          <w:sz w:val="24"/>
          <w:szCs w:val="24"/>
          <w:lang w:val="en-US"/>
        </w:rPr>
        <w:t xml:space="preserve">Supplemental 2 (S2). </w:t>
      </w:r>
      <w:r w:rsidRPr="004C0369">
        <w:rPr>
          <w:rFonts w:ascii="Times New Roman" w:hAnsi="Times New Roman" w:cs="Times New Roman"/>
          <w:b/>
          <w:bCs/>
          <w:sz w:val="24"/>
          <w:szCs w:val="24"/>
          <w:lang w:val="en-US"/>
        </w:rPr>
        <w:t>Next-generation sequencing</w:t>
      </w:r>
      <w:r w:rsidRPr="00D35090">
        <w:rPr>
          <w:rFonts w:ascii="Times New Roman" w:hAnsi="Times New Roman" w:cs="Times New Roman"/>
          <w:b/>
          <w:bCs/>
          <w:sz w:val="24"/>
          <w:szCs w:val="24"/>
          <w:lang w:val="en-US"/>
        </w:rPr>
        <w:t xml:space="preserve"> analysis</w:t>
      </w:r>
    </w:p>
    <w:p w14:paraId="632E01D1" w14:textId="77777777" w:rsidR="00D71BA9" w:rsidRPr="004C0369" w:rsidRDefault="00D71BA9" w:rsidP="00D71BA9">
      <w:pPr>
        <w:jc w:val="both"/>
        <w:rPr>
          <w:rFonts w:ascii="Times New Roman" w:hAnsi="Times New Roman" w:cs="Times New Roman"/>
          <w:sz w:val="24"/>
          <w:szCs w:val="24"/>
          <w:lang w:val="en-US"/>
        </w:rPr>
      </w:pPr>
      <w:r w:rsidRPr="00D35090">
        <w:rPr>
          <w:rFonts w:ascii="Times New Roman" w:hAnsi="Times New Roman" w:cs="Times New Roman"/>
          <w:sz w:val="24"/>
          <w:szCs w:val="24"/>
          <w:lang w:val="en-US"/>
        </w:rPr>
        <w:t xml:space="preserve">Next-generation sequencing (NGS) analysis was performed using SOPHIA Genetics Myeloid Solution panel (Sophia Genetics, Saint </w:t>
      </w:r>
      <w:proofErr w:type="spellStart"/>
      <w:r w:rsidRPr="00D35090">
        <w:rPr>
          <w:rFonts w:ascii="Times New Roman" w:hAnsi="Times New Roman" w:cs="Times New Roman"/>
          <w:sz w:val="24"/>
          <w:szCs w:val="24"/>
          <w:lang w:val="en-US"/>
        </w:rPr>
        <w:t>Sulpice</w:t>
      </w:r>
      <w:proofErr w:type="spellEnd"/>
      <w:r w:rsidRPr="00D35090">
        <w:rPr>
          <w:rFonts w:ascii="Times New Roman" w:hAnsi="Times New Roman" w:cs="Times New Roman"/>
          <w:sz w:val="24"/>
          <w:szCs w:val="24"/>
          <w:lang w:val="en-US"/>
        </w:rPr>
        <w:t>, Switzerland), covering 30 genes  (ABL1, ASXL1, BRAF, CALR, CBL, CEBPA, CSF3R, DNMT3A, ETV6, EZH2, FLT3, HRAS, IDH1, IDH2, JAK2, KIT, KRAS, MPL, NPM1, NRAS, PTPN11, RUNX1, SETBP1, SF3B1, SRSF2, TET2, TP53, U2AF1, WT1, ZRSR2). Samples were first diluted with IDTE (10 mM Tris, 0.1 mM EDTA) buffer to obtain 200 ng of DNA in 30 </w:t>
      </w:r>
      <w:proofErr w:type="spellStart"/>
      <w:r w:rsidRPr="00D35090">
        <w:rPr>
          <w:rFonts w:ascii="Times New Roman" w:hAnsi="Times New Roman" w:cs="Times New Roman"/>
          <w:sz w:val="24"/>
          <w:szCs w:val="24"/>
          <w:lang w:val="en-US"/>
        </w:rPr>
        <w:t>μL</w:t>
      </w:r>
      <w:proofErr w:type="spellEnd"/>
      <w:r w:rsidRPr="00D35090">
        <w:rPr>
          <w:rFonts w:ascii="Times New Roman" w:hAnsi="Times New Roman" w:cs="Times New Roman"/>
          <w:sz w:val="24"/>
          <w:szCs w:val="24"/>
          <w:lang w:val="en-US"/>
        </w:rPr>
        <w:t xml:space="preserve"> of final volume, and then library preparation was initiated with enzymatic DNA fragmentation, followed by barcode adapter ligation at the ends of fragments and purification by </w:t>
      </w:r>
      <w:proofErr w:type="spellStart"/>
      <w:r w:rsidRPr="00D35090">
        <w:rPr>
          <w:rFonts w:ascii="Times New Roman" w:hAnsi="Times New Roman" w:cs="Times New Roman"/>
          <w:sz w:val="24"/>
          <w:szCs w:val="24"/>
          <w:lang w:val="en-US"/>
        </w:rPr>
        <w:t>AMPure</w:t>
      </w:r>
      <w:proofErr w:type="spellEnd"/>
      <w:r w:rsidRPr="00D35090">
        <w:rPr>
          <w:rFonts w:ascii="Times New Roman" w:hAnsi="Times New Roman" w:cs="Times New Roman"/>
          <w:sz w:val="24"/>
          <w:szCs w:val="24"/>
          <w:lang w:val="en-US"/>
        </w:rPr>
        <w:t xml:space="preserve"> beads (Beckman Coulter, Milan, Italy) to remove enzymatic reaction components and unbound adapters. Subsequently, </w:t>
      </w:r>
      <w:proofErr w:type="spellStart"/>
      <w:r w:rsidRPr="00D35090">
        <w:rPr>
          <w:rFonts w:ascii="Times New Roman" w:hAnsi="Times New Roman" w:cs="Times New Roman"/>
          <w:sz w:val="24"/>
          <w:szCs w:val="24"/>
          <w:lang w:val="en-US"/>
        </w:rPr>
        <w:t>AMPure</w:t>
      </w:r>
      <w:proofErr w:type="spellEnd"/>
      <w:r w:rsidRPr="00D35090">
        <w:rPr>
          <w:rFonts w:ascii="Times New Roman" w:hAnsi="Times New Roman" w:cs="Times New Roman"/>
          <w:sz w:val="24"/>
          <w:szCs w:val="24"/>
          <w:lang w:val="en-US"/>
        </w:rPr>
        <w:t xml:space="preserve"> beads were used for dual size selection of fragments of length between 300 and 700 bp, and the library was then amplified by PCR. After a further purification step, libraries were quantified and subjected to quality control using a 4200 Tape Station System (Agilent, Milan, Italy). Samples were further processed only if concentrations were 5–20 ng/</w:t>
      </w:r>
      <w:proofErr w:type="spellStart"/>
      <w:r w:rsidRPr="00D35090">
        <w:rPr>
          <w:rFonts w:ascii="Times New Roman" w:hAnsi="Times New Roman" w:cs="Times New Roman"/>
          <w:sz w:val="24"/>
          <w:szCs w:val="24"/>
          <w:lang w:val="en-US"/>
        </w:rPr>
        <w:t>μL</w:t>
      </w:r>
      <w:proofErr w:type="spellEnd"/>
      <w:r w:rsidRPr="00D35090">
        <w:rPr>
          <w:rFonts w:ascii="Times New Roman" w:hAnsi="Times New Roman" w:cs="Times New Roman"/>
          <w:sz w:val="24"/>
          <w:szCs w:val="24"/>
          <w:lang w:val="en-US"/>
        </w:rPr>
        <w:t xml:space="preserve"> and fragment length of 300–700 bp. Next, 150 ng of each library were pooled, 2 </w:t>
      </w:r>
      <w:proofErr w:type="spellStart"/>
      <w:r w:rsidRPr="00D35090">
        <w:rPr>
          <w:rFonts w:ascii="Times New Roman" w:hAnsi="Times New Roman" w:cs="Times New Roman"/>
          <w:sz w:val="24"/>
          <w:szCs w:val="24"/>
          <w:lang w:val="en-US"/>
        </w:rPr>
        <w:t>μL</w:t>
      </w:r>
      <w:proofErr w:type="spellEnd"/>
      <w:r w:rsidRPr="00D35090">
        <w:rPr>
          <w:rFonts w:ascii="Times New Roman" w:hAnsi="Times New Roman" w:cs="Times New Roman"/>
          <w:sz w:val="24"/>
          <w:szCs w:val="24"/>
          <w:lang w:val="en-US"/>
        </w:rPr>
        <w:t xml:space="preserve"> of universal blockers were added to prevent non-specific hybridization between adapter sequences, and 5 </w:t>
      </w:r>
      <w:proofErr w:type="spellStart"/>
      <w:r w:rsidRPr="00D35090">
        <w:rPr>
          <w:rFonts w:ascii="Times New Roman" w:hAnsi="Times New Roman" w:cs="Times New Roman"/>
          <w:sz w:val="24"/>
          <w:szCs w:val="24"/>
          <w:lang w:val="en-US"/>
        </w:rPr>
        <w:t>μL</w:t>
      </w:r>
      <w:proofErr w:type="spellEnd"/>
      <w:r w:rsidRPr="00D35090">
        <w:rPr>
          <w:rFonts w:ascii="Times New Roman" w:hAnsi="Times New Roman" w:cs="Times New Roman"/>
          <w:sz w:val="24"/>
          <w:szCs w:val="24"/>
          <w:lang w:val="en-US"/>
        </w:rPr>
        <w:t xml:space="preserve"> of human cot DNA for binding repetitive sequences were mixed to avoid secondary DNA structure formation. Lyophilized DNA samples were obtained using a vacuum pump (Savant DNA </w:t>
      </w:r>
      <w:proofErr w:type="spellStart"/>
      <w:r w:rsidRPr="00D35090">
        <w:rPr>
          <w:rFonts w:ascii="Times New Roman" w:hAnsi="Times New Roman" w:cs="Times New Roman"/>
          <w:sz w:val="24"/>
          <w:szCs w:val="24"/>
          <w:lang w:val="en-US"/>
        </w:rPr>
        <w:t>SpeedVac</w:t>
      </w:r>
      <w:proofErr w:type="spellEnd"/>
      <w:r w:rsidRPr="00D35090">
        <w:rPr>
          <w:rFonts w:ascii="Times New Roman" w:hAnsi="Times New Roman" w:cs="Times New Roman"/>
          <w:sz w:val="24"/>
          <w:szCs w:val="24"/>
          <w:lang w:val="en-US"/>
        </w:rPr>
        <w:t xml:space="preserve">, </w:t>
      </w:r>
      <w:proofErr w:type="spellStart"/>
      <w:r w:rsidRPr="00D35090">
        <w:rPr>
          <w:rFonts w:ascii="Times New Roman" w:hAnsi="Times New Roman" w:cs="Times New Roman"/>
          <w:sz w:val="24"/>
          <w:szCs w:val="24"/>
          <w:lang w:val="en-US"/>
        </w:rPr>
        <w:t>Thermo</w:t>
      </w:r>
      <w:proofErr w:type="spellEnd"/>
      <w:r w:rsidRPr="00D35090">
        <w:rPr>
          <w:rFonts w:ascii="Times New Roman" w:hAnsi="Times New Roman" w:cs="Times New Roman"/>
          <w:sz w:val="24"/>
          <w:szCs w:val="24"/>
          <w:lang w:val="en-US"/>
        </w:rPr>
        <w:t xml:space="preserve"> Scientific, Milan, Italy), and then resuspended in an appropriate volume using the hybridization mix. Subsequently, DNA denaturation was carried out at 95°C for 10 min, then target-specific biotinylated probes were added, and hybridization was performed at 65°C for 4 h. After this step, streptavidin-coated beads were used for DNA capture, unbound fragments were removed by </w:t>
      </w:r>
      <w:r w:rsidRPr="00D35090">
        <w:rPr>
          <w:rFonts w:ascii="Times New Roman" w:hAnsi="Times New Roman" w:cs="Times New Roman"/>
          <w:sz w:val="24"/>
          <w:szCs w:val="24"/>
          <w:lang w:val="en-US"/>
        </w:rPr>
        <w:lastRenderedPageBreak/>
        <w:t xml:space="preserve">washing, samples were subjected to amplification by PCR, and then to a second purification step. Afterwards, DNA quality and concentration were monitored using a 4200 </w:t>
      </w:r>
      <w:proofErr w:type="spellStart"/>
      <w:r w:rsidRPr="00D35090">
        <w:rPr>
          <w:rFonts w:ascii="Times New Roman" w:hAnsi="Times New Roman" w:cs="Times New Roman"/>
          <w:sz w:val="24"/>
          <w:szCs w:val="24"/>
          <w:lang w:val="en-US"/>
        </w:rPr>
        <w:t>TapeStation</w:t>
      </w:r>
      <w:proofErr w:type="spellEnd"/>
      <w:r w:rsidRPr="00D35090">
        <w:rPr>
          <w:rFonts w:ascii="Times New Roman" w:hAnsi="Times New Roman" w:cs="Times New Roman"/>
          <w:sz w:val="24"/>
          <w:szCs w:val="24"/>
          <w:lang w:val="en-US"/>
        </w:rPr>
        <w:t xml:space="preserve"> System (Agilent), and libraries were diluted to obtain a final concentration of 4 </w:t>
      </w:r>
      <w:proofErr w:type="spellStart"/>
      <w:r w:rsidRPr="00D35090">
        <w:rPr>
          <w:rFonts w:ascii="Times New Roman" w:hAnsi="Times New Roman" w:cs="Times New Roman"/>
          <w:sz w:val="24"/>
          <w:szCs w:val="24"/>
          <w:lang w:val="en-US"/>
        </w:rPr>
        <w:t>nM.</w:t>
      </w:r>
      <w:proofErr w:type="spellEnd"/>
      <w:r w:rsidRPr="00D35090">
        <w:rPr>
          <w:rFonts w:ascii="Times New Roman" w:hAnsi="Times New Roman" w:cs="Times New Roman"/>
          <w:sz w:val="24"/>
          <w:szCs w:val="24"/>
          <w:lang w:val="en-US"/>
        </w:rPr>
        <w:t xml:space="preserve"> Next, further sample dilution and denaturation were performed according to manufacturers' instructions, and 10 </w:t>
      </w:r>
      <w:proofErr w:type="spellStart"/>
      <w:r w:rsidRPr="00D35090">
        <w:rPr>
          <w:rFonts w:ascii="Times New Roman" w:hAnsi="Times New Roman" w:cs="Times New Roman"/>
          <w:sz w:val="24"/>
          <w:szCs w:val="24"/>
          <w:lang w:val="en-US"/>
        </w:rPr>
        <w:t>pM</w:t>
      </w:r>
      <w:proofErr w:type="spellEnd"/>
      <w:r w:rsidRPr="00D35090">
        <w:rPr>
          <w:rFonts w:ascii="Times New Roman" w:hAnsi="Times New Roman" w:cs="Times New Roman"/>
          <w:sz w:val="24"/>
          <w:szCs w:val="24"/>
          <w:lang w:val="en-US"/>
        </w:rPr>
        <w:t xml:space="preserve"> of denatured library and 5% of </w:t>
      </w:r>
      <w:proofErr w:type="spellStart"/>
      <w:r w:rsidRPr="00D35090">
        <w:rPr>
          <w:rFonts w:ascii="Times New Roman" w:hAnsi="Times New Roman" w:cs="Times New Roman"/>
          <w:sz w:val="24"/>
          <w:szCs w:val="24"/>
          <w:lang w:val="en-US"/>
        </w:rPr>
        <w:t>PhiX</w:t>
      </w:r>
      <w:proofErr w:type="spellEnd"/>
      <w:r w:rsidRPr="00D35090">
        <w:rPr>
          <w:rFonts w:ascii="Times New Roman" w:hAnsi="Times New Roman" w:cs="Times New Roman"/>
          <w:sz w:val="24"/>
          <w:szCs w:val="24"/>
          <w:lang w:val="en-US"/>
        </w:rPr>
        <w:t xml:space="preserve"> Control v3 Library (Illumina, Milan, Italy) were loaded in the flow cell for sequencing.</w:t>
      </w:r>
    </w:p>
    <w:p w14:paraId="1D584C50" w14:textId="77777777" w:rsidR="004C0369" w:rsidRPr="00D35090" w:rsidRDefault="004C0369" w:rsidP="00D35090">
      <w:pPr>
        <w:jc w:val="both"/>
        <w:rPr>
          <w:rFonts w:ascii="Times New Roman" w:hAnsi="Times New Roman" w:cs="Times New Roman"/>
          <w:b/>
          <w:bCs/>
          <w:sz w:val="24"/>
          <w:szCs w:val="24"/>
          <w:lang w:val="en-US"/>
        </w:rPr>
      </w:pPr>
    </w:p>
    <w:p w14:paraId="6485AC77" w14:textId="77777777" w:rsidR="008C2AE5" w:rsidRPr="008C2AE5" w:rsidRDefault="008C2AE5" w:rsidP="008C2AE5">
      <w:pPr>
        <w:jc w:val="both"/>
        <w:rPr>
          <w:rFonts w:ascii="Times New Roman" w:hAnsi="Times New Roman" w:cs="Times New Roman"/>
          <w:sz w:val="24"/>
          <w:szCs w:val="24"/>
          <w:lang w:val="en-US"/>
        </w:rPr>
      </w:pPr>
      <w:r w:rsidRPr="008C2AE5">
        <w:rPr>
          <w:rFonts w:ascii="Times New Roman" w:hAnsi="Times New Roman" w:cs="Times New Roman"/>
          <w:b/>
          <w:bCs/>
          <w:sz w:val="24"/>
          <w:szCs w:val="24"/>
          <w:lang w:val="en-US"/>
        </w:rPr>
        <w:t>Supplemental 3 (S3).  Flow-cytometry analysis and B- and T-lymphocyte sorting</w:t>
      </w:r>
    </w:p>
    <w:p w14:paraId="7842ECAD" w14:textId="2456DEDD" w:rsidR="008C2AE5" w:rsidRDefault="008C2AE5" w:rsidP="008C2AE5">
      <w:pPr>
        <w:jc w:val="both"/>
        <w:rPr>
          <w:rFonts w:ascii="Times New Roman" w:hAnsi="Times New Roman" w:cs="Times New Roman"/>
          <w:sz w:val="24"/>
          <w:szCs w:val="24"/>
          <w:lang w:val="en-GB"/>
        </w:rPr>
      </w:pPr>
      <w:r w:rsidRPr="008C2AE5">
        <w:rPr>
          <w:rFonts w:ascii="Times New Roman" w:hAnsi="Times New Roman" w:cs="Times New Roman"/>
          <w:sz w:val="24"/>
          <w:szCs w:val="24"/>
          <w:lang w:val="en-US"/>
        </w:rPr>
        <w:t>For immunophenotyping, 50 </w:t>
      </w:r>
      <w:proofErr w:type="spellStart"/>
      <w:r w:rsidRPr="008C2AE5">
        <w:rPr>
          <w:rFonts w:ascii="Times New Roman" w:hAnsi="Times New Roman" w:cs="Times New Roman"/>
          <w:sz w:val="24"/>
          <w:szCs w:val="24"/>
          <w:lang w:val="en-US"/>
        </w:rPr>
        <w:t>μL</w:t>
      </w:r>
      <w:proofErr w:type="spellEnd"/>
      <w:r w:rsidRPr="008C2AE5">
        <w:rPr>
          <w:rFonts w:ascii="Times New Roman" w:hAnsi="Times New Roman" w:cs="Times New Roman"/>
          <w:sz w:val="24"/>
          <w:szCs w:val="24"/>
          <w:lang w:val="en-US"/>
        </w:rPr>
        <w:t xml:space="preserve"> of fresh heparinized whole PB or BM was </w:t>
      </w:r>
      <w:proofErr w:type="gramStart"/>
      <w:r w:rsidRPr="008C2AE5">
        <w:rPr>
          <w:rFonts w:ascii="Times New Roman" w:hAnsi="Times New Roman" w:cs="Times New Roman"/>
          <w:sz w:val="24"/>
          <w:szCs w:val="24"/>
          <w:lang w:val="en-US"/>
        </w:rPr>
        <w:t xml:space="preserve">stained  </w:t>
      </w:r>
      <w:r w:rsidRPr="008C2AE5">
        <w:rPr>
          <w:rFonts w:ascii="Times New Roman" w:hAnsi="Times New Roman" w:cs="Times New Roman"/>
          <w:bCs/>
          <w:sz w:val="24"/>
          <w:szCs w:val="24"/>
          <w:lang w:val="en-GB"/>
        </w:rPr>
        <w:t>at</w:t>
      </w:r>
      <w:proofErr w:type="gramEnd"/>
      <w:r w:rsidRPr="008C2AE5">
        <w:rPr>
          <w:rFonts w:ascii="Times New Roman" w:hAnsi="Times New Roman" w:cs="Times New Roman"/>
          <w:bCs/>
          <w:sz w:val="24"/>
          <w:szCs w:val="24"/>
          <w:lang w:val="en-GB"/>
        </w:rPr>
        <w:t xml:space="preserve"> 4°C in dark for 30 minutes in the presence of appropriate amounts of monoclonal antibodies</w:t>
      </w:r>
      <w:r w:rsidRPr="008C2AE5">
        <w:rPr>
          <w:rFonts w:ascii="Times New Roman" w:hAnsi="Times New Roman" w:cs="Times New Roman"/>
          <w:sz w:val="24"/>
          <w:szCs w:val="24"/>
          <w:lang w:val="en-US"/>
        </w:rPr>
        <w:t xml:space="preserve"> as previously described.</w:t>
      </w:r>
      <w:r>
        <w:rPr>
          <w:rFonts w:ascii="Times New Roman" w:hAnsi="Times New Roman" w:cs="Times New Roman"/>
          <w:sz w:val="24"/>
          <w:szCs w:val="24"/>
          <w:lang w:val="en-US"/>
        </w:rPr>
        <w:t xml:space="preserve"> </w:t>
      </w:r>
      <w:r w:rsidRPr="008C2AE5">
        <w:rPr>
          <w:rFonts w:ascii="Times New Roman" w:hAnsi="Times New Roman" w:cs="Times New Roman"/>
          <w:sz w:val="24"/>
          <w:szCs w:val="24"/>
          <w:lang w:val="en-US"/>
        </w:rPr>
        <w:t xml:space="preserve">For characterization of PB or BM mononucleated leukemic cells, the following antibodies were employed CD2, CD5, CD3, CD7, CD4, CD8, CD1a, CD99 CD19, CD10, CD24, CD20, CD22,  CD13, CD33, CD117, CD11a, CD11b, CD11c, CD36, CD14, CD16, CD56, CD66b, CD64, CD61, CD42b, CD34, HLA-DR, CD38, CD71, CD25, CD69, CD45RA, CD45RO, CD15, cCD79a, MPO-7, </w:t>
      </w:r>
      <w:proofErr w:type="spellStart"/>
      <w:r w:rsidRPr="008C2AE5">
        <w:rPr>
          <w:rFonts w:ascii="Times New Roman" w:hAnsi="Times New Roman" w:cs="Times New Roman"/>
          <w:sz w:val="24"/>
          <w:szCs w:val="24"/>
          <w:lang w:val="en-US"/>
        </w:rPr>
        <w:t>TdT</w:t>
      </w:r>
      <w:proofErr w:type="spellEnd"/>
      <w:r w:rsidRPr="008C2AE5">
        <w:rPr>
          <w:rFonts w:ascii="Times New Roman" w:hAnsi="Times New Roman" w:cs="Times New Roman"/>
          <w:sz w:val="24"/>
          <w:szCs w:val="24"/>
          <w:lang w:val="en-US"/>
        </w:rPr>
        <w:t xml:space="preserve">, cCD3 </w:t>
      </w:r>
      <w:r w:rsidRPr="008C2AE5">
        <w:rPr>
          <w:rFonts w:ascii="Times New Roman" w:hAnsi="Times New Roman" w:cs="Times New Roman"/>
          <w:bCs/>
          <w:sz w:val="24"/>
          <w:szCs w:val="24"/>
          <w:lang w:val="en-GB"/>
        </w:rPr>
        <w:t>(from Beckman Coulter, Marseille Cedex 9, France and from BD San Diego, CA, USA).</w:t>
      </w:r>
      <w:r>
        <w:rPr>
          <w:rFonts w:ascii="Times New Roman" w:hAnsi="Times New Roman" w:cs="Times New Roman"/>
          <w:sz w:val="24"/>
          <w:szCs w:val="24"/>
          <w:lang w:val="en-US"/>
        </w:rPr>
        <w:t xml:space="preserve"> </w:t>
      </w:r>
      <w:r w:rsidRPr="008C2AE5">
        <w:rPr>
          <w:rFonts w:ascii="Times New Roman" w:hAnsi="Times New Roman" w:cs="Times New Roman"/>
          <w:bCs/>
          <w:sz w:val="24"/>
          <w:szCs w:val="24"/>
          <w:lang w:val="en-US"/>
        </w:rPr>
        <w:t>B</w:t>
      </w:r>
      <w:r w:rsidRPr="008C2AE5">
        <w:rPr>
          <w:rFonts w:ascii="Times New Roman" w:hAnsi="Times New Roman" w:cs="Times New Roman"/>
          <w:bCs/>
          <w:sz w:val="24"/>
          <w:szCs w:val="24"/>
          <w:lang w:val="en-GB"/>
        </w:rPr>
        <w:t xml:space="preserve">last cells were gated by using CD45 vs SSC-A dot-plot. The Blasts showed the following phenotype: </w:t>
      </w:r>
      <w:r w:rsidRPr="008C2AE5">
        <w:rPr>
          <w:rFonts w:ascii="Times New Roman" w:hAnsi="Times New Roman" w:cs="Times New Roman"/>
          <w:sz w:val="24"/>
          <w:szCs w:val="24"/>
          <w:lang w:val="en-GB"/>
        </w:rPr>
        <w:t>CD45dim, DR-, CD34-, CD5+, CD7+, CD2+, CD4+, CD8+, CD1a+, CD99+, CD10+, CD3</w:t>
      </w:r>
      <w:proofErr w:type="gramStart"/>
      <w:r w:rsidRPr="008C2AE5">
        <w:rPr>
          <w:rFonts w:ascii="Times New Roman" w:hAnsi="Times New Roman" w:cs="Times New Roman"/>
          <w:sz w:val="24"/>
          <w:szCs w:val="24"/>
          <w:lang w:val="en-GB"/>
        </w:rPr>
        <w:t>-,cyCD</w:t>
      </w:r>
      <w:proofErr w:type="gramEnd"/>
      <w:r w:rsidRPr="008C2AE5">
        <w:rPr>
          <w:rFonts w:ascii="Times New Roman" w:hAnsi="Times New Roman" w:cs="Times New Roman"/>
          <w:sz w:val="24"/>
          <w:szCs w:val="24"/>
          <w:lang w:val="en-GB"/>
        </w:rPr>
        <w:t>3+/-.</w:t>
      </w:r>
      <w:r>
        <w:rPr>
          <w:rFonts w:ascii="Times New Roman" w:hAnsi="Times New Roman" w:cs="Times New Roman"/>
          <w:sz w:val="24"/>
          <w:szCs w:val="24"/>
          <w:lang w:val="en-US"/>
        </w:rPr>
        <w:t xml:space="preserve"> </w:t>
      </w:r>
      <w:r w:rsidRPr="008C2AE5">
        <w:rPr>
          <w:rFonts w:ascii="Times New Roman" w:hAnsi="Times New Roman" w:cs="Times New Roman"/>
          <w:sz w:val="24"/>
          <w:szCs w:val="24"/>
          <w:lang w:val="en-US"/>
        </w:rPr>
        <w:t xml:space="preserve">Red cell lysis was performed with </w:t>
      </w:r>
      <w:r w:rsidRPr="008C2AE5">
        <w:rPr>
          <w:rFonts w:ascii="Times New Roman" w:hAnsi="Times New Roman" w:cs="Times New Roman"/>
          <w:bCs/>
          <w:sz w:val="24"/>
          <w:szCs w:val="24"/>
          <w:lang w:val="en-GB"/>
        </w:rPr>
        <w:t>ammonium chloride lysing solution (</w:t>
      </w:r>
      <w:proofErr w:type="spellStart"/>
      <w:r w:rsidRPr="008C2AE5">
        <w:rPr>
          <w:rFonts w:ascii="Times New Roman" w:hAnsi="Times New Roman" w:cs="Times New Roman"/>
          <w:bCs/>
          <w:sz w:val="24"/>
          <w:szCs w:val="24"/>
          <w:lang w:val="en-GB"/>
        </w:rPr>
        <w:t>Pharmlyse</w:t>
      </w:r>
      <w:proofErr w:type="spellEnd"/>
      <w:r w:rsidRPr="008C2AE5">
        <w:rPr>
          <w:rFonts w:ascii="Times New Roman" w:hAnsi="Times New Roman" w:cs="Times New Roman"/>
          <w:bCs/>
          <w:sz w:val="24"/>
          <w:szCs w:val="24"/>
          <w:lang w:val="en-GB"/>
        </w:rPr>
        <w:t>; BD Bioscience, San JOSE, CA), at room temperature for 10 minutes washed</w:t>
      </w:r>
      <w:r w:rsidRPr="008C2AE5">
        <w:rPr>
          <w:rFonts w:ascii="Times New Roman" w:hAnsi="Times New Roman" w:cs="Times New Roman"/>
          <w:sz w:val="24"/>
          <w:szCs w:val="24"/>
          <w:lang w:val="en-US"/>
        </w:rPr>
        <w:t xml:space="preserve"> twice with phosphate-buffered saline (PBS)</w:t>
      </w:r>
      <w:r w:rsidRPr="008C2AE5">
        <w:rPr>
          <w:rFonts w:ascii="Times New Roman" w:hAnsi="Times New Roman" w:cs="Times New Roman"/>
          <w:bCs/>
          <w:sz w:val="24"/>
          <w:szCs w:val="24"/>
          <w:lang w:val="en-GB"/>
        </w:rPr>
        <w:t xml:space="preserve"> and finally</w:t>
      </w:r>
      <w:r w:rsidRPr="008C2AE5">
        <w:rPr>
          <w:rFonts w:ascii="Times New Roman" w:hAnsi="Times New Roman" w:cs="Times New Roman"/>
          <w:sz w:val="24"/>
          <w:szCs w:val="24"/>
          <w:lang w:val="en-US"/>
        </w:rPr>
        <w:t xml:space="preserve"> resuspended in 500 </w:t>
      </w:r>
      <w:proofErr w:type="spellStart"/>
      <w:r w:rsidRPr="008C2AE5">
        <w:rPr>
          <w:rFonts w:ascii="Times New Roman" w:hAnsi="Times New Roman" w:cs="Times New Roman"/>
          <w:sz w:val="24"/>
          <w:szCs w:val="24"/>
          <w:lang w:val="en-US"/>
        </w:rPr>
        <w:t>μL</w:t>
      </w:r>
      <w:proofErr w:type="spellEnd"/>
      <w:r w:rsidRPr="008C2AE5">
        <w:rPr>
          <w:rFonts w:ascii="Times New Roman" w:hAnsi="Times New Roman" w:cs="Times New Roman"/>
          <w:sz w:val="24"/>
          <w:szCs w:val="24"/>
          <w:lang w:val="en-US"/>
        </w:rPr>
        <w:t xml:space="preserve"> PBS for acquisition. At least 200 000 events were </w:t>
      </w:r>
      <w:proofErr w:type="spellStart"/>
      <w:proofErr w:type="gramStart"/>
      <w:r w:rsidRPr="008C2AE5">
        <w:rPr>
          <w:rFonts w:ascii="Times New Roman" w:hAnsi="Times New Roman" w:cs="Times New Roman"/>
          <w:sz w:val="24"/>
          <w:szCs w:val="24"/>
          <w:lang w:val="en-US"/>
        </w:rPr>
        <w:t>recorded.Samples</w:t>
      </w:r>
      <w:proofErr w:type="spellEnd"/>
      <w:proofErr w:type="gramEnd"/>
      <w:r w:rsidRPr="008C2AE5">
        <w:rPr>
          <w:rFonts w:ascii="Times New Roman" w:hAnsi="Times New Roman" w:cs="Times New Roman"/>
          <w:sz w:val="24"/>
          <w:szCs w:val="24"/>
          <w:lang w:val="en-US"/>
        </w:rPr>
        <w:t xml:space="preserve"> were acquired on </w:t>
      </w:r>
      <w:r w:rsidRPr="008C2AE5">
        <w:rPr>
          <w:rFonts w:ascii="Times New Roman" w:hAnsi="Times New Roman" w:cs="Times New Roman"/>
          <w:bCs/>
          <w:sz w:val="24"/>
          <w:szCs w:val="24"/>
          <w:lang w:val="en-GB"/>
        </w:rPr>
        <w:t xml:space="preserve">Becton Dickinson </w:t>
      </w:r>
      <w:proofErr w:type="spellStart"/>
      <w:r w:rsidRPr="008C2AE5">
        <w:rPr>
          <w:rFonts w:ascii="Times New Roman" w:hAnsi="Times New Roman" w:cs="Times New Roman"/>
          <w:bCs/>
          <w:sz w:val="24"/>
          <w:szCs w:val="24"/>
          <w:lang w:val="en-GB"/>
        </w:rPr>
        <w:t>Facs</w:t>
      </w:r>
      <w:proofErr w:type="spellEnd"/>
      <w:r w:rsidRPr="008C2AE5">
        <w:rPr>
          <w:rFonts w:ascii="Times New Roman" w:hAnsi="Times New Roman" w:cs="Times New Roman"/>
          <w:bCs/>
          <w:sz w:val="24"/>
          <w:szCs w:val="24"/>
          <w:lang w:val="en-GB"/>
        </w:rPr>
        <w:t xml:space="preserve"> Canto II cytometer (BD Bioscience, San JOSE, CA) and</w:t>
      </w:r>
      <w:r w:rsidRPr="008C2AE5">
        <w:rPr>
          <w:rFonts w:ascii="Times New Roman" w:hAnsi="Times New Roman" w:cs="Times New Roman"/>
          <w:sz w:val="24"/>
          <w:szCs w:val="24"/>
          <w:lang w:val="en-US"/>
        </w:rPr>
        <w:t xml:space="preserve"> post-acquisition analysis was carried out using</w:t>
      </w:r>
      <w:r w:rsidRPr="008C2AE5">
        <w:rPr>
          <w:rFonts w:ascii="Times New Roman" w:hAnsi="Times New Roman" w:cs="Times New Roman"/>
          <w:bCs/>
          <w:sz w:val="24"/>
          <w:szCs w:val="24"/>
          <w:lang w:val="en-GB"/>
        </w:rPr>
        <w:t xml:space="preserve">  BD </w:t>
      </w:r>
      <w:proofErr w:type="spellStart"/>
      <w:r w:rsidRPr="008C2AE5">
        <w:rPr>
          <w:rFonts w:ascii="Times New Roman" w:hAnsi="Times New Roman" w:cs="Times New Roman"/>
          <w:bCs/>
          <w:sz w:val="24"/>
          <w:szCs w:val="24"/>
          <w:lang w:val="en-GB"/>
        </w:rPr>
        <w:t>Facs</w:t>
      </w:r>
      <w:proofErr w:type="spellEnd"/>
      <w:r w:rsidRPr="008C2AE5">
        <w:rPr>
          <w:rFonts w:ascii="Times New Roman" w:hAnsi="Times New Roman" w:cs="Times New Roman"/>
          <w:bCs/>
          <w:sz w:val="24"/>
          <w:szCs w:val="24"/>
          <w:lang w:val="en-GB"/>
        </w:rPr>
        <w:t xml:space="preserve"> Diva software.</w:t>
      </w:r>
      <w:r>
        <w:rPr>
          <w:rFonts w:ascii="Times New Roman" w:hAnsi="Times New Roman" w:cs="Times New Roman"/>
          <w:sz w:val="24"/>
          <w:szCs w:val="24"/>
          <w:lang w:val="en-US"/>
        </w:rPr>
        <w:t xml:space="preserve"> </w:t>
      </w:r>
      <w:r w:rsidRPr="008C2AE5">
        <w:rPr>
          <w:rFonts w:ascii="Times New Roman" w:hAnsi="Times New Roman" w:cs="Times New Roman"/>
          <w:bCs/>
          <w:sz w:val="24"/>
          <w:szCs w:val="24"/>
          <w:lang w:val="en-GB"/>
        </w:rPr>
        <w:t>The lower level of detection was 10</w:t>
      </w:r>
      <w:r w:rsidRPr="008C2AE5">
        <w:rPr>
          <w:rFonts w:ascii="Times New Roman" w:hAnsi="Times New Roman" w:cs="Times New Roman"/>
          <w:bCs/>
          <w:sz w:val="24"/>
          <w:szCs w:val="24"/>
          <w:vertAlign w:val="superscript"/>
          <w:lang w:val="en-GB"/>
        </w:rPr>
        <w:t>-4</w:t>
      </w:r>
      <w:r w:rsidRPr="008C2AE5">
        <w:rPr>
          <w:rFonts w:ascii="Times New Roman" w:hAnsi="Times New Roman" w:cs="Times New Roman"/>
          <w:bCs/>
          <w:sz w:val="24"/>
          <w:szCs w:val="24"/>
          <w:lang w:val="en-GB"/>
        </w:rPr>
        <w:t xml:space="preserve"> (as such, zero corresponds to a level below 1/10000 cells). The values have been expressed as a percentage.</w:t>
      </w:r>
      <w:r>
        <w:rPr>
          <w:rFonts w:ascii="Times New Roman" w:hAnsi="Times New Roman" w:cs="Times New Roman"/>
          <w:sz w:val="24"/>
          <w:szCs w:val="24"/>
          <w:lang w:val="en-US"/>
        </w:rPr>
        <w:t xml:space="preserve"> </w:t>
      </w:r>
      <w:r w:rsidRPr="008C2AE5">
        <w:rPr>
          <w:rFonts w:ascii="Times New Roman" w:hAnsi="Times New Roman" w:cs="Times New Roman"/>
          <w:sz w:val="24"/>
          <w:szCs w:val="24"/>
          <w:lang w:val="en-US"/>
        </w:rPr>
        <w:t xml:space="preserve">External quality control was performed using UK NEQAS for Leucocyte Immunophenotyping tests </w:t>
      </w:r>
      <w:r w:rsidRPr="008C2AE5">
        <w:rPr>
          <w:rFonts w:ascii="Times New Roman" w:hAnsi="Times New Roman" w:cs="Times New Roman"/>
          <w:bCs/>
          <w:sz w:val="24"/>
          <w:szCs w:val="24"/>
          <w:lang w:val="en-GB"/>
        </w:rPr>
        <w:t>(</w:t>
      </w:r>
      <w:hyperlink r:id="rId4" w:history="1">
        <w:r w:rsidRPr="008C2AE5">
          <w:rPr>
            <w:rStyle w:val="Collegamentoipertestuale"/>
            <w:rFonts w:ascii="Times New Roman" w:hAnsi="Times New Roman" w:cs="Times New Roman"/>
            <w:bCs/>
            <w:sz w:val="24"/>
            <w:szCs w:val="24"/>
            <w:lang w:val="en-GB"/>
          </w:rPr>
          <w:t>https://ukneqas.org.uk/</w:t>
        </w:r>
      </w:hyperlink>
      <w:r w:rsidRPr="008C2AE5">
        <w:rPr>
          <w:rFonts w:ascii="Times New Roman" w:hAnsi="Times New Roman" w:cs="Times New Roman"/>
          <w:bCs/>
          <w:sz w:val="24"/>
          <w:szCs w:val="24"/>
          <w:lang w:val="en-GB"/>
        </w:rPr>
        <w:t>).</w:t>
      </w:r>
    </w:p>
    <w:p w14:paraId="1A8FDA3C" w14:textId="41BC84E4" w:rsidR="008C2AE5" w:rsidRPr="008C2AE5" w:rsidRDefault="008C2AE5" w:rsidP="008C2AE5">
      <w:pPr>
        <w:jc w:val="both"/>
        <w:rPr>
          <w:rFonts w:ascii="Times New Roman" w:hAnsi="Times New Roman" w:cs="Times New Roman"/>
          <w:sz w:val="24"/>
          <w:szCs w:val="24"/>
          <w:lang w:val="en-US"/>
        </w:rPr>
      </w:pPr>
      <w:r w:rsidRPr="008C2AE5">
        <w:rPr>
          <w:rFonts w:ascii="Times New Roman" w:hAnsi="Times New Roman" w:cs="Times New Roman"/>
          <w:sz w:val="24"/>
          <w:szCs w:val="24"/>
          <w:lang w:val="en-US"/>
        </w:rPr>
        <w:t xml:space="preserve">For the sorting experiment, mononucleated cells (MNCs) were isolated after lyses. Peripheral blood lymphocytes were labeled by incubation using antibodies CD3 specific for T lymphocytes and CD19 for B lymphocytes, with a purity check ≥98% performed by FACS re-analysis. DNA from sorted lymphocytes was obtained using the </w:t>
      </w:r>
      <w:proofErr w:type="spellStart"/>
      <w:r w:rsidRPr="008C2AE5">
        <w:rPr>
          <w:rFonts w:ascii="Times New Roman" w:hAnsi="Times New Roman" w:cs="Times New Roman"/>
          <w:sz w:val="24"/>
          <w:szCs w:val="24"/>
          <w:lang w:val="en-US"/>
        </w:rPr>
        <w:t>QIAmp</w:t>
      </w:r>
      <w:proofErr w:type="spellEnd"/>
      <w:r w:rsidRPr="008C2AE5">
        <w:rPr>
          <w:rFonts w:ascii="Times New Roman" w:hAnsi="Times New Roman" w:cs="Times New Roman"/>
          <w:sz w:val="24"/>
          <w:szCs w:val="24"/>
          <w:lang w:val="en-US"/>
        </w:rPr>
        <w:t xml:space="preserve"> DNA blood kit (Qiagen GmbH) and processed </w:t>
      </w:r>
      <w:proofErr w:type="spellStart"/>
      <w:proofErr w:type="gramStart"/>
      <w:r w:rsidRPr="008C2AE5">
        <w:rPr>
          <w:rFonts w:ascii="Times New Roman" w:hAnsi="Times New Roman" w:cs="Times New Roman"/>
          <w:sz w:val="24"/>
          <w:szCs w:val="24"/>
          <w:lang w:val="en-US"/>
        </w:rPr>
        <w:t>trough</w:t>
      </w:r>
      <w:proofErr w:type="spellEnd"/>
      <w:proofErr w:type="gramEnd"/>
      <w:r w:rsidRPr="008C2AE5">
        <w:rPr>
          <w:rFonts w:ascii="Times New Roman" w:hAnsi="Times New Roman" w:cs="Times New Roman"/>
          <w:sz w:val="24"/>
          <w:szCs w:val="24"/>
          <w:lang w:val="en-US"/>
        </w:rPr>
        <w:t xml:space="preserve"> Next-generation sequencing (NGS) analysis with SOPHIA Genetic platform as already described. </w:t>
      </w:r>
    </w:p>
    <w:p w14:paraId="618E6F4A" w14:textId="60277378" w:rsidR="004C0369" w:rsidRPr="00D35090" w:rsidRDefault="004C0369" w:rsidP="008C2AE5">
      <w:pPr>
        <w:jc w:val="both"/>
        <w:rPr>
          <w:rFonts w:ascii="Times New Roman" w:hAnsi="Times New Roman" w:cs="Times New Roman"/>
          <w:sz w:val="24"/>
          <w:szCs w:val="24"/>
          <w:lang w:val="en-US"/>
        </w:rPr>
      </w:pPr>
    </w:p>
    <w:sectPr w:rsidR="004C0369" w:rsidRPr="00D350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1"/>
    <w:rsid w:val="00176658"/>
    <w:rsid w:val="00283711"/>
    <w:rsid w:val="004C0369"/>
    <w:rsid w:val="005635BD"/>
    <w:rsid w:val="008C2AE5"/>
    <w:rsid w:val="00913615"/>
    <w:rsid w:val="00A01B0E"/>
    <w:rsid w:val="00AA3626"/>
    <w:rsid w:val="00AC61D4"/>
    <w:rsid w:val="00C05335"/>
    <w:rsid w:val="00C41EA0"/>
    <w:rsid w:val="00D35090"/>
    <w:rsid w:val="00D71BA9"/>
    <w:rsid w:val="00EE0981"/>
    <w:rsid w:val="00EE2D5F"/>
    <w:rsid w:val="00FC5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0006"/>
  <w15:chartTrackingRefBased/>
  <w15:docId w15:val="{6835F5AA-9CC8-42E5-B47A-6EB42521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3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3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37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37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37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37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37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37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37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37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37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37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37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37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37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37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37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37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37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37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37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37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3711"/>
    <w:rPr>
      <w:i/>
      <w:iCs/>
      <w:color w:val="404040" w:themeColor="text1" w:themeTint="BF"/>
    </w:rPr>
  </w:style>
  <w:style w:type="paragraph" w:styleId="Paragrafoelenco">
    <w:name w:val="List Paragraph"/>
    <w:basedOn w:val="Normale"/>
    <w:uiPriority w:val="34"/>
    <w:qFormat/>
    <w:rsid w:val="00283711"/>
    <w:pPr>
      <w:ind w:left="720"/>
      <w:contextualSpacing/>
    </w:pPr>
  </w:style>
  <w:style w:type="character" w:styleId="Enfasiintensa">
    <w:name w:val="Intense Emphasis"/>
    <w:basedOn w:val="Carpredefinitoparagrafo"/>
    <w:uiPriority w:val="21"/>
    <w:qFormat/>
    <w:rsid w:val="00283711"/>
    <w:rPr>
      <w:i/>
      <w:iCs/>
      <w:color w:val="0F4761" w:themeColor="accent1" w:themeShade="BF"/>
    </w:rPr>
  </w:style>
  <w:style w:type="paragraph" w:styleId="Citazioneintensa">
    <w:name w:val="Intense Quote"/>
    <w:basedOn w:val="Normale"/>
    <w:next w:val="Normale"/>
    <w:link w:val="CitazioneintensaCarattere"/>
    <w:uiPriority w:val="30"/>
    <w:qFormat/>
    <w:rsid w:val="00283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3711"/>
    <w:rPr>
      <w:i/>
      <w:iCs/>
      <w:color w:val="0F4761" w:themeColor="accent1" w:themeShade="BF"/>
    </w:rPr>
  </w:style>
  <w:style w:type="character" w:styleId="Riferimentointenso">
    <w:name w:val="Intense Reference"/>
    <w:basedOn w:val="Carpredefinitoparagrafo"/>
    <w:uiPriority w:val="32"/>
    <w:qFormat/>
    <w:rsid w:val="00283711"/>
    <w:rPr>
      <w:b/>
      <w:bCs/>
      <w:smallCaps/>
      <w:color w:val="0F4761" w:themeColor="accent1" w:themeShade="BF"/>
      <w:spacing w:val="5"/>
    </w:rPr>
  </w:style>
  <w:style w:type="character" w:styleId="Collegamentoipertestuale">
    <w:name w:val="Hyperlink"/>
    <w:basedOn w:val="Carpredefinitoparagrafo"/>
    <w:uiPriority w:val="99"/>
    <w:unhideWhenUsed/>
    <w:rsid w:val="004C0369"/>
    <w:rPr>
      <w:color w:val="467886" w:themeColor="hyperlink"/>
      <w:u w:val="single"/>
    </w:rPr>
  </w:style>
  <w:style w:type="character" w:styleId="Menzionenonrisolta">
    <w:name w:val="Unresolved Mention"/>
    <w:basedOn w:val="Carpredefinitoparagrafo"/>
    <w:uiPriority w:val="99"/>
    <w:semiHidden/>
    <w:unhideWhenUsed/>
    <w:rsid w:val="004C0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1743">
      <w:bodyDiv w:val="1"/>
      <w:marLeft w:val="0"/>
      <w:marRight w:val="0"/>
      <w:marTop w:val="0"/>
      <w:marBottom w:val="0"/>
      <w:divBdr>
        <w:top w:val="none" w:sz="0" w:space="0" w:color="auto"/>
        <w:left w:val="none" w:sz="0" w:space="0" w:color="auto"/>
        <w:bottom w:val="none" w:sz="0" w:space="0" w:color="auto"/>
        <w:right w:val="none" w:sz="0" w:space="0" w:color="auto"/>
      </w:divBdr>
    </w:div>
    <w:div w:id="488131741">
      <w:bodyDiv w:val="1"/>
      <w:marLeft w:val="0"/>
      <w:marRight w:val="0"/>
      <w:marTop w:val="0"/>
      <w:marBottom w:val="0"/>
      <w:divBdr>
        <w:top w:val="none" w:sz="0" w:space="0" w:color="auto"/>
        <w:left w:val="none" w:sz="0" w:space="0" w:color="auto"/>
        <w:bottom w:val="none" w:sz="0" w:space="0" w:color="auto"/>
        <w:right w:val="none" w:sz="0" w:space="0" w:color="auto"/>
      </w:divBdr>
    </w:div>
    <w:div w:id="722867027">
      <w:bodyDiv w:val="1"/>
      <w:marLeft w:val="0"/>
      <w:marRight w:val="0"/>
      <w:marTop w:val="0"/>
      <w:marBottom w:val="0"/>
      <w:divBdr>
        <w:top w:val="none" w:sz="0" w:space="0" w:color="auto"/>
        <w:left w:val="none" w:sz="0" w:space="0" w:color="auto"/>
        <w:bottom w:val="none" w:sz="0" w:space="0" w:color="auto"/>
        <w:right w:val="none" w:sz="0" w:space="0" w:color="auto"/>
      </w:divBdr>
    </w:div>
    <w:div w:id="18392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neqas.org.u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970</Words>
  <Characters>5531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Grimaldi</dc:creator>
  <cp:keywords/>
  <dc:description/>
  <cp:lastModifiedBy>Francesco Grimaldi</cp:lastModifiedBy>
  <cp:revision>6</cp:revision>
  <dcterms:created xsi:type="dcterms:W3CDTF">2025-03-08T10:10:00Z</dcterms:created>
  <dcterms:modified xsi:type="dcterms:W3CDTF">2025-03-14T20:46:00Z</dcterms:modified>
</cp:coreProperties>
</file>