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16C79" w14:textId="77777777" w:rsidR="00322484" w:rsidRDefault="00322484" w:rsidP="00322484">
      <w:pPr>
        <w:rPr>
          <w:rFonts w:ascii="Helvetica" w:hAnsi="Helvetica" w:cs="Arial"/>
          <w:b/>
          <w:bCs/>
        </w:rPr>
      </w:pPr>
      <w:r>
        <w:rPr>
          <w:rFonts w:ascii="Helvetica" w:hAnsi="Helvetica" w:cs="Arial" w:hint="eastAsia"/>
          <w:b/>
          <w:bCs/>
          <w:noProof/>
        </w:rPr>
        <w:drawing>
          <wp:inline distT="0" distB="0" distL="0" distR="0" wp14:anchorId="4846829F" wp14:editId="540DF948">
            <wp:extent cx="5274310" cy="4262755"/>
            <wp:effectExtent l="0" t="0" r="0" b="4445"/>
            <wp:docPr id="167713499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134992" name="图片 167713499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B2B6F" w14:textId="77777777" w:rsidR="00322484" w:rsidRPr="00690CC1" w:rsidRDefault="00322484" w:rsidP="00322484">
      <w:pPr>
        <w:spacing w:line="360" w:lineRule="auto"/>
        <w:rPr>
          <w:rFonts w:ascii="Helvetica" w:hAnsi="Helvetica" w:cs="Arial"/>
          <w:sz w:val="24"/>
          <w:szCs w:val="28"/>
        </w:rPr>
      </w:pPr>
      <w:r w:rsidRPr="00690CC1">
        <w:rPr>
          <w:rFonts w:ascii="Helvetica" w:hAnsi="Helvetica" w:cs="Arial" w:hint="eastAsia"/>
          <w:b/>
          <w:bCs/>
          <w:sz w:val="24"/>
          <w:szCs w:val="28"/>
        </w:rPr>
        <w:t xml:space="preserve">Extended </w:t>
      </w:r>
      <w:r w:rsidRPr="00690CC1">
        <w:rPr>
          <w:rFonts w:ascii="Helvetica" w:hAnsi="Helvetica" w:cs="Arial"/>
          <w:b/>
          <w:bCs/>
          <w:sz w:val="24"/>
          <w:szCs w:val="28"/>
        </w:rPr>
        <w:t>Data Fig. 1 Spectral connectivity across psychiatric symptoms in PD patients. a.</w:t>
      </w:r>
      <w:r w:rsidRPr="00690CC1">
        <w:rPr>
          <w:rFonts w:ascii="Helvetica" w:hAnsi="Helvetica" w:cs="Arial"/>
          <w:sz w:val="24"/>
          <w:szCs w:val="28"/>
        </w:rPr>
        <w:t xml:space="preserve"> Correlational histogram between anxiety (BAI), depression (BDI-2), apathy (AES-PD), impulsivity (UPPS-P), compulsivity (OCI-R) severity and EEG-STN power coherence. Red indicates unadjusted p &lt; 0.05.</w:t>
      </w:r>
      <w:r w:rsidRPr="00690CC1">
        <w:rPr>
          <w:rFonts w:ascii="Helvetica" w:hAnsi="Helvetica" w:cs="Arial"/>
          <w:b/>
          <w:bCs/>
          <w:sz w:val="24"/>
          <w:szCs w:val="28"/>
        </w:rPr>
        <w:t xml:space="preserve"> b.</w:t>
      </w:r>
      <w:r w:rsidRPr="00690CC1">
        <w:rPr>
          <w:rFonts w:ascii="Helvetica" w:hAnsi="Helvetica" w:cs="Arial"/>
          <w:sz w:val="24"/>
          <w:szCs w:val="28"/>
        </w:rPr>
        <w:t xml:space="preserve"> </w:t>
      </w:r>
      <w:r w:rsidRPr="00690CC1">
        <w:rPr>
          <w:rFonts w:ascii="Helvetica" w:hAnsi="Helvetica" w:cs="Arial"/>
          <w:b/>
          <w:bCs/>
          <w:sz w:val="24"/>
          <w:szCs w:val="28"/>
        </w:rPr>
        <w:t>Top:</w:t>
      </w:r>
      <w:r w:rsidRPr="00690CC1">
        <w:rPr>
          <w:rFonts w:ascii="Helvetica" w:hAnsi="Helvetica" w:cs="Arial"/>
          <w:sz w:val="24"/>
          <w:szCs w:val="28"/>
        </w:rPr>
        <w:t xml:space="preserve"> Phase-amplitude per-frequency co-modulogram illustrating the correlation matrix between symptom severity—anxiety (BAI), depression (BDI-2), apathy (AES-PD), impulsivity (UPPS-P), and compulsivity (OCI-R)—and Frontal EEG to STN phase-amplitude coupling (PAC). Deep colors indicate significant correlations identified through cluster-based permutation testing. </w:t>
      </w:r>
      <w:r w:rsidRPr="00690CC1">
        <w:rPr>
          <w:rFonts w:ascii="Helvetica" w:hAnsi="Helvetica" w:cs="Arial"/>
          <w:b/>
          <w:bCs/>
          <w:sz w:val="24"/>
          <w:szCs w:val="28"/>
        </w:rPr>
        <w:t>Bottom:</w:t>
      </w:r>
      <w:r w:rsidRPr="00690CC1">
        <w:rPr>
          <w:rFonts w:ascii="Helvetica" w:hAnsi="Helvetica" w:cs="Arial"/>
          <w:sz w:val="24"/>
          <w:szCs w:val="28"/>
        </w:rPr>
        <w:t xml:space="preserve"> Correlational histogram between delta (1–4Hz), theta (4–8Hz), and alpha (8–12Hz) phase-averaged PAC and anxiety (BAI), depression (BDI-2), apathy (AES-PD), impulsivity (UPPS-P), compulsivity (OCI-R) severity. Blue indicate Bonferroni-adjusted p &lt; 0.05.</w:t>
      </w:r>
      <w:r w:rsidRPr="00690CC1">
        <w:rPr>
          <w:rFonts w:ascii="Helvetica" w:hAnsi="Helvetica" w:cs="Arial"/>
          <w:b/>
          <w:bCs/>
          <w:sz w:val="24"/>
          <w:szCs w:val="28"/>
        </w:rPr>
        <w:t xml:space="preserve"> </w:t>
      </w:r>
    </w:p>
    <w:p w14:paraId="158E141F" w14:textId="77777777" w:rsidR="00322484" w:rsidRDefault="00322484" w:rsidP="00322484">
      <w:pPr>
        <w:rPr>
          <w:rFonts w:ascii="Helvetica" w:hAnsi="Helvetica" w:cs="Arial"/>
          <w:b/>
          <w:bCs/>
        </w:rPr>
      </w:pPr>
      <w:r>
        <w:rPr>
          <w:rFonts w:ascii="Helvetica" w:hAnsi="Helvetica" w:cs="Arial"/>
          <w:b/>
          <w:bCs/>
        </w:rPr>
        <w:br w:type="page"/>
      </w:r>
    </w:p>
    <w:p w14:paraId="06A6B817" w14:textId="77777777" w:rsidR="00322484" w:rsidRPr="007941FB" w:rsidRDefault="00322484" w:rsidP="00322484">
      <w:pPr>
        <w:rPr>
          <w:rFonts w:ascii="Helvetica" w:hAnsi="Helvetica" w:cs="Arial"/>
          <w:b/>
          <w:bCs/>
        </w:rPr>
      </w:pPr>
      <w:r>
        <w:rPr>
          <w:rFonts w:ascii="Helvetica" w:hAnsi="Helvetica" w:cs="Arial"/>
          <w:b/>
          <w:bCs/>
          <w:noProof/>
        </w:rPr>
        <w:lastRenderedPageBreak/>
        <w:drawing>
          <wp:inline distT="0" distB="0" distL="0" distR="0" wp14:anchorId="37213219" wp14:editId="0F8BB4FD">
            <wp:extent cx="5274310" cy="4146550"/>
            <wp:effectExtent l="0" t="0" r="0" b="6350"/>
            <wp:docPr id="14972805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280517" name="图片 149728051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10121" w14:textId="77777777" w:rsidR="00322484" w:rsidRPr="00690CC1" w:rsidRDefault="00322484" w:rsidP="00322484">
      <w:pPr>
        <w:spacing w:line="360" w:lineRule="auto"/>
        <w:rPr>
          <w:rFonts w:ascii="Helvetica" w:hAnsi="Helvetica" w:cs="Arial"/>
          <w:b/>
          <w:bCs/>
          <w:sz w:val="24"/>
          <w:szCs w:val="28"/>
        </w:rPr>
      </w:pPr>
      <w:r w:rsidRPr="00690CC1">
        <w:rPr>
          <w:rFonts w:ascii="Helvetica" w:hAnsi="Helvetica" w:cs="Arial" w:hint="eastAsia"/>
          <w:b/>
          <w:bCs/>
          <w:sz w:val="24"/>
          <w:szCs w:val="28"/>
        </w:rPr>
        <w:t xml:space="preserve">Extended </w:t>
      </w:r>
      <w:r w:rsidRPr="00690CC1">
        <w:rPr>
          <w:rFonts w:ascii="Helvetica" w:hAnsi="Helvetica" w:cs="Arial"/>
          <w:b/>
          <w:bCs/>
          <w:sz w:val="24"/>
          <w:szCs w:val="28"/>
        </w:rPr>
        <w:t xml:space="preserve">Data Fig. 2 Robust generalized linear model linking PD neuropsychiatric constructs to STN physiology. a &amp; b. </w:t>
      </w:r>
      <w:r w:rsidRPr="00690CC1">
        <w:rPr>
          <w:rFonts w:ascii="Helvetica" w:hAnsi="Helvetica" w:cs="Arial"/>
          <w:sz w:val="24"/>
          <w:szCs w:val="28"/>
        </w:rPr>
        <w:t>Robust generalized linear model predicting STN absolute low beta (</w:t>
      </w:r>
      <w:r w:rsidRPr="00690CC1">
        <w:rPr>
          <w:rFonts w:ascii="Helvetica" w:hAnsi="Helvetica" w:cs="Arial"/>
          <w:b/>
          <w:bCs/>
          <w:sz w:val="24"/>
          <w:szCs w:val="28"/>
        </w:rPr>
        <w:t>a</w:t>
      </w:r>
      <w:r w:rsidRPr="00690CC1">
        <w:rPr>
          <w:rFonts w:ascii="Helvetica" w:hAnsi="Helvetica" w:cs="Arial"/>
          <w:sz w:val="24"/>
          <w:szCs w:val="28"/>
        </w:rPr>
        <w:t>) and high beta (</w:t>
      </w:r>
      <w:r w:rsidRPr="00690CC1">
        <w:rPr>
          <w:rFonts w:ascii="Helvetica" w:hAnsi="Helvetica" w:cs="Arial"/>
          <w:b/>
          <w:bCs/>
          <w:sz w:val="24"/>
          <w:szCs w:val="28"/>
        </w:rPr>
        <w:t>b</w:t>
      </w:r>
      <w:r w:rsidRPr="00690CC1">
        <w:rPr>
          <w:rFonts w:ascii="Helvetica" w:hAnsi="Helvetica" w:cs="Arial"/>
          <w:sz w:val="24"/>
          <w:szCs w:val="28"/>
        </w:rPr>
        <w:t xml:space="preserve">) power included apathy behavioral, cognitive, and emotional subscores as predictors. </w:t>
      </w:r>
      <w:r w:rsidRPr="00690CC1">
        <w:rPr>
          <w:rFonts w:ascii="Helvetica" w:hAnsi="Helvetica" w:cs="Arial"/>
          <w:b/>
          <w:bCs/>
          <w:sz w:val="24"/>
          <w:szCs w:val="28"/>
        </w:rPr>
        <w:t xml:space="preserve">c &amp; d. </w:t>
      </w:r>
      <w:r w:rsidRPr="00690CC1">
        <w:rPr>
          <w:rFonts w:ascii="Helvetica" w:hAnsi="Helvetica" w:cs="Arial"/>
          <w:sz w:val="24"/>
          <w:szCs w:val="28"/>
        </w:rPr>
        <w:t>Robust generalized linear model predicting EEG absolute (</w:t>
      </w:r>
      <w:r w:rsidRPr="00690CC1">
        <w:rPr>
          <w:rFonts w:ascii="Helvetica" w:hAnsi="Helvetica" w:cs="Arial"/>
          <w:b/>
          <w:bCs/>
          <w:sz w:val="24"/>
          <w:szCs w:val="28"/>
        </w:rPr>
        <w:t>c</w:t>
      </w:r>
      <w:r w:rsidRPr="00690CC1">
        <w:rPr>
          <w:rFonts w:ascii="Helvetica" w:hAnsi="Helvetica" w:cs="Arial"/>
          <w:sz w:val="24"/>
          <w:szCs w:val="28"/>
        </w:rPr>
        <w:t>) and (</w:t>
      </w:r>
      <w:r w:rsidRPr="00690CC1">
        <w:rPr>
          <w:rFonts w:ascii="Helvetica" w:hAnsi="Helvetica" w:cs="Arial"/>
          <w:b/>
          <w:bCs/>
          <w:sz w:val="24"/>
          <w:szCs w:val="28"/>
        </w:rPr>
        <w:t>d</w:t>
      </w:r>
      <w:r w:rsidRPr="00690CC1">
        <w:rPr>
          <w:rFonts w:ascii="Helvetica" w:hAnsi="Helvetica" w:cs="Arial"/>
          <w:sz w:val="24"/>
          <w:szCs w:val="28"/>
        </w:rPr>
        <w:t xml:space="preserve">) relative low beta power included apathy behavioral, cognitive, and emotional subscores as predictors. </w:t>
      </w:r>
      <w:r w:rsidRPr="00690CC1">
        <w:rPr>
          <w:rFonts w:ascii="Helvetica" w:hAnsi="Helvetica" w:cs="Arial"/>
          <w:b/>
          <w:bCs/>
          <w:sz w:val="24"/>
          <w:szCs w:val="28"/>
        </w:rPr>
        <w:t xml:space="preserve">e &amp; f. </w:t>
      </w:r>
      <w:r w:rsidRPr="00690CC1">
        <w:rPr>
          <w:rFonts w:ascii="Helvetica" w:hAnsi="Helvetica" w:cs="Arial"/>
          <w:sz w:val="24"/>
          <w:szCs w:val="28"/>
        </w:rPr>
        <w:t>Robust generalized linear model predicting STN absolute (</w:t>
      </w:r>
      <w:r w:rsidRPr="00690CC1">
        <w:rPr>
          <w:rFonts w:ascii="Helvetica" w:hAnsi="Helvetica" w:cs="Arial"/>
          <w:b/>
          <w:bCs/>
          <w:sz w:val="24"/>
          <w:szCs w:val="28"/>
        </w:rPr>
        <w:t>e</w:t>
      </w:r>
      <w:r w:rsidRPr="00690CC1">
        <w:rPr>
          <w:rFonts w:ascii="Helvetica" w:hAnsi="Helvetica" w:cs="Arial"/>
          <w:sz w:val="24"/>
          <w:szCs w:val="28"/>
        </w:rPr>
        <w:t>) and (</w:t>
      </w:r>
      <w:r w:rsidRPr="00690CC1">
        <w:rPr>
          <w:rFonts w:ascii="Helvetica" w:hAnsi="Helvetica" w:cs="Arial"/>
          <w:b/>
          <w:bCs/>
          <w:sz w:val="24"/>
          <w:szCs w:val="28"/>
        </w:rPr>
        <w:t>f</w:t>
      </w:r>
      <w:r w:rsidRPr="00690CC1">
        <w:rPr>
          <w:rFonts w:ascii="Helvetica" w:hAnsi="Helvetica" w:cs="Arial"/>
          <w:sz w:val="24"/>
          <w:szCs w:val="28"/>
        </w:rPr>
        <w:t>) relative low gamma power with positive urgency (PU), negative urgency (NU), lack of perseverance (LOPers), lack of premeditation (LOPrem), and sensation seeking (SS) as predictors. Blue indicates significant predictors.</w:t>
      </w:r>
    </w:p>
    <w:p w14:paraId="6CC5205C" w14:textId="77777777" w:rsidR="00322484" w:rsidRDefault="00322484" w:rsidP="00322484">
      <w:pPr>
        <w:rPr>
          <w:rFonts w:ascii="Helvetica" w:hAnsi="Helvetica" w:cs="Arial"/>
          <w:b/>
          <w:bCs/>
        </w:rPr>
      </w:pPr>
      <w:r>
        <w:rPr>
          <w:rFonts w:ascii="Helvetica" w:hAnsi="Helvetica" w:cs="Arial"/>
          <w:b/>
          <w:bCs/>
        </w:rPr>
        <w:br w:type="page"/>
      </w:r>
    </w:p>
    <w:p w14:paraId="61774D4D" w14:textId="77777777" w:rsidR="00322484" w:rsidRPr="00690CC1" w:rsidRDefault="00322484" w:rsidP="00322484">
      <w:pPr>
        <w:spacing w:line="360" w:lineRule="auto"/>
        <w:rPr>
          <w:rFonts w:ascii="Helvetica" w:hAnsi="Helvetica" w:cs="Arial"/>
          <w:b/>
          <w:bCs/>
          <w:sz w:val="24"/>
          <w:szCs w:val="28"/>
        </w:rPr>
      </w:pPr>
      <w:r w:rsidRPr="00690CC1">
        <w:rPr>
          <w:rFonts w:ascii="Helvetica" w:hAnsi="Helvetica" w:cs="Arial" w:hint="eastAsia"/>
          <w:b/>
          <w:bCs/>
          <w:sz w:val="24"/>
          <w:szCs w:val="28"/>
        </w:rPr>
        <w:lastRenderedPageBreak/>
        <w:t xml:space="preserve">Extended </w:t>
      </w:r>
      <w:r w:rsidRPr="00690CC1">
        <w:rPr>
          <w:rFonts w:ascii="Helvetica" w:hAnsi="Helvetica" w:cs="Arial"/>
          <w:b/>
          <w:bCs/>
          <w:sz w:val="24"/>
          <w:szCs w:val="28"/>
        </w:rPr>
        <w:t xml:space="preserve">Data Table 1 </w:t>
      </w:r>
      <w:r w:rsidRPr="00690CC1">
        <w:rPr>
          <w:rFonts w:ascii="Helvetica" w:hAnsi="Helvetica" w:cs="Arial" w:hint="eastAsia"/>
          <w:b/>
          <w:bCs/>
          <w:sz w:val="24"/>
          <w:szCs w:val="28"/>
        </w:rPr>
        <w:t>D</w:t>
      </w:r>
      <w:r w:rsidRPr="00690CC1">
        <w:rPr>
          <w:rFonts w:ascii="Helvetica" w:hAnsi="Helvetica" w:cs="Arial"/>
          <w:b/>
          <w:bCs/>
          <w:sz w:val="24"/>
          <w:szCs w:val="28"/>
        </w:rPr>
        <w:t>emographic information</w:t>
      </w:r>
    </w:p>
    <w:p w14:paraId="38DD61C2" w14:textId="77777777" w:rsidR="00322484" w:rsidRDefault="00322484" w:rsidP="00322484">
      <w:pPr>
        <w:rPr>
          <w:rFonts w:ascii="Helvetica" w:hAnsi="Helvetica" w:cs="Arial"/>
          <w:b/>
          <w:bCs/>
        </w:rPr>
      </w:pPr>
      <w:r w:rsidRPr="005E0738">
        <w:rPr>
          <w:rFonts w:ascii="Helvetica" w:hAnsi="Helvetica" w:cs="Arial"/>
          <w:b/>
          <w:bCs/>
          <w:noProof/>
        </w:rPr>
        <w:drawing>
          <wp:inline distT="0" distB="0" distL="0" distR="0" wp14:anchorId="7DAB0175" wp14:editId="2463E482">
            <wp:extent cx="5280260" cy="4464000"/>
            <wp:effectExtent l="0" t="0" r="3175" b="0"/>
            <wp:docPr id="8611221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12211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0260" cy="44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C20B3" w14:textId="77777777" w:rsidR="00322484" w:rsidRPr="00690CC1" w:rsidRDefault="00322484" w:rsidP="00322484">
      <w:pPr>
        <w:spacing w:line="360" w:lineRule="auto"/>
        <w:rPr>
          <w:rFonts w:ascii="Helvetica" w:hAnsi="Helvetica" w:cs="Arial"/>
          <w:b/>
          <w:bCs/>
          <w:sz w:val="24"/>
          <w:szCs w:val="28"/>
        </w:rPr>
      </w:pPr>
      <w:r w:rsidRPr="00690CC1">
        <w:rPr>
          <w:rFonts w:ascii="Helvetica" w:hAnsi="Helvetica" w:cs="Arial"/>
          <w:b/>
          <w:bCs/>
          <w:sz w:val="24"/>
          <w:szCs w:val="28"/>
        </w:rPr>
        <w:t xml:space="preserve">Abbreviations: </w:t>
      </w:r>
      <w:r w:rsidRPr="00690CC1">
        <w:rPr>
          <w:rFonts w:ascii="Helvetica" w:hAnsi="Helvetica" w:cs="Arial"/>
          <w:sz w:val="24"/>
          <w:szCs w:val="28"/>
        </w:rPr>
        <w:t>EC, eye-closed dataset; EO, eye-open dataset;</w:t>
      </w:r>
      <w:r w:rsidRPr="00690CC1">
        <w:rPr>
          <w:rFonts w:ascii="Helvetica" w:hAnsi="Helvetica" w:cs="Arial" w:hint="eastAsia"/>
          <w:sz w:val="24"/>
          <w:szCs w:val="28"/>
        </w:rPr>
        <w:t xml:space="preserve"> LEED</w:t>
      </w:r>
      <w:r w:rsidRPr="00690CC1">
        <w:rPr>
          <w:rFonts w:ascii="Helvetica" w:hAnsi="Helvetica" w:cs="Arial"/>
          <w:sz w:val="24"/>
          <w:szCs w:val="28"/>
        </w:rPr>
        <w:t>, levodopa equivalent daily doses; DA, dopamine agonist; H-Y stage, Hohen Yahr stage; UPDRS, Unified Parkinson's Disease Rating Scale; MoCA, Montreal Cognitive Assessment; AES-PD, Apathy Evaluation Scale for Parkinson Disease; BDI, Beck Depression Inventory; OCI-R, Obsessive Compulsive Inventory; BAI, Beck Anxiety Inventory; QUIPS, Questionnaire for Impulsive-Compulsive Disorders in Parkinson disease.</w:t>
      </w:r>
    </w:p>
    <w:p w14:paraId="267F48F9" w14:textId="77777777" w:rsidR="00322484" w:rsidRDefault="00322484" w:rsidP="00322484">
      <w:pPr>
        <w:rPr>
          <w:rFonts w:ascii="Helvetica" w:hAnsi="Helvetica" w:cs="Arial"/>
          <w:b/>
          <w:bCs/>
        </w:rPr>
      </w:pPr>
      <w:r>
        <w:rPr>
          <w:rFonts w:ascii="Helvetica" w:hAnsi="Helvetica" w:cs="Arial"/>
          <w:b/>
          <w:bCs/>
        </w:rPr>
        <w:br w:type="page"/>
      </w:r>
    </w:p>
    <w:p w14:paraId="7C1F390B" w14:textId="77777777" w:rsidR="00322484" w:rsidRPr="00690CC1" w:rsidRDefault="00322484" w:rsidP="00322484">
      <w:pPr>
        <w:spacing w:line="360" w:lineRule="auto"/>
        <w:rPr>
          <w:rFonts w:ascii="Helvetica" w:hAnsi="Helvetica" w:cs="Arial"/>
          <w:b/>
          <w:bCs/>
          <w:sz w:val="24"/>
          <w:szCs w:val="28"/>
        </w:rPr>
      </w:pPr>
      <w:r w:rsidRPr="00690CC1">
        <w:rPr>
          <w:rFonts w:ascii="Helvetica" w:hAnsi="Helvetica" w:cs="Arial" w:hint="eastAsia"/>
          <w:b/>
          <w:bCs/>
          <w:sz w:val="24"/>
          <w:szCs w:val="28"/>
        </w:rPr>
        <w:lastRenderedPageBreak/>
        <w:t xml:space="preserve">Extended </w:t>
      </w:r>
      <w:r w:rsidRPr="00690CC1">
        <w:rPr>
          <w:rFonts w:ascii="Helvetica" w:hAnsi="Helvetica" w:cs="Arial"/>
          <w:b/>
          <w:bCs/>
          <w:sz w:val="24"/>
          <w:szCs w:val="28"/>
        </w:rPr>
        <w:t>Table 2 Questionnaires and cutoffs for neuropsychiatric assessment in Parkinson’s disease</w:t>
      </w:r>
    </w:p>
    <w:p w14:paraId="54DC4ADD" w14:textId="77777777" w:rsidR="00322484" w:rsidRPr="00690CC1" w:rsidRDefault="00322484" w:rsidP="00322484">
      <w:pPr>
        <w:spacing w:line="360" w:lineRule="auto"/>
        <w:jc w:val="center"/>
        <w:rPr>
          <w:rFonts w:ascii="Helvetica" w:hAnsi="Helvetica" w:cs="Arial"/>
          <w:b/>
          <w:bCs/>
          <w:sz w:val="24"/>
          <w:szCs w:val="28"/>
        </w:rPr>
      </w:pPr>
      <w:r w:rsidRPr="00690CC1">
        <w:rPr>
          <w:rFonts w:ascii="Helvetica" w:hAnsi="Helvetica" w:cs="Arial"/>
          <w:b/>
          <w:bCs/>
          <w:noProof/>
          <w:sz w:val="24"/>
          <w:szCs w:val="28"/>
        </w:rPr>
        <w:drawing>
          <wp:inline distT="0" distB="0" distL="0" distR="0" wp14:anchorId="27422492" wp14:editId="2F81CA9C">
            <wp:extent cx="3502201" cy="2230452"/>
            <wp:effectExtent l="0" t="0" r="3175" b="5080"/>
            <wp:docPr id="74106687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066879" name="图片 74106687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17765" cy="2240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0E178" w14:textId="77777777" w:rsidR="00322484" w:rsidRPr="00690CC1" w:rsidRDefault="00322484" w:rsidP="00322484">
      <w:pPr>
        <w:spacing w:line="360" w:lineRule="auto"/>
        <w:rPr>
          <w:rFonts w:ascii="Helvetica" w:hAnsi="Helvetica" w:cs="Arial"/>
          <w:b/>
          <w:bCs/>
          <w:sz w:val="24"/>
          <w:szCs w:val="28"/>
        </w:rPr>
      </w:pPr>
      <w:r w:rsidRPr="00690CC1">
        <w:rPr>
          <w:rFonts w:ascii="Helvetica" w:hAnsi="Helvetica" w:cs="Arial"/>
          <w:b/>
          <w:bCs/>
          <w:sz w:val="24"/>
          <w:szCs w:val="28"/>
        </w:rPr>
        <w:t xml:space="preserve">Abbreviations: </w:t>
      </w:r>
      <w:r w:rsidRPr="00690CC1">
        <w:rPr>
          <w:rFonts w:ascii="Helvetica" w:hAnsi="Helvetica" w:cs="Arial"/>
          <w:sz w:val="24"/>
          <w:szCs w:val="28"/>
        </w:rPr>
        <w:t>EC, eye-closed dataset; EO, eye-open dataset;</w:t>
      </w:r>
      <w:r w:rsidRPr="00690CC1">
        <w:rPr>
          <w:rFonts w:ascii="Helvetica" w:hAnsi="Helvetica" w:cs="Arial" w:hint="eastAsia"/>
          <w:sz w:val="24"/>
          <w:szCs w:val="28"/>
        </w:rPr>
        <w:t xml:space="preserve"> </w:t>
      </w:r>
      <w:r w:rsidRPr="00690CC1">
        <w:rPr>
          <w:rFonts w:ascii="Helvetica" w:hAnsi="Helvetica" w:cs="Arial"/>
          <w:sz w:val="24"/>
          <w:szCs w:val="28"/>
        </w:rPr>
        <w:t>AES-PD, Apathy Evaluation Scale for Parkinson Disease; BDI, Beck Depression Inventory; OCI-R, Obsessive Compulsive Inventory; BAI, Beck Anxiety Inventory; QUIPS, Questionnaire for Impulsive-Compulsive Disorders in Parkinson disease.</w:t>
      </w:r>
    </w:p>
    <w:p w14:paraId="0CC5650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484"/>
    <w:rsid w:val="002978F5"/>
    <w:rsid w:val="00322484"/>
    <w:rsid w:val="003852CF"/>
    <w:rsid w:val="004E780C"/>
    <w:rsid w:val="00F50F1E"/>
    <w:rsid w:val="00FE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A7A12"/>
  <w15:chartTrackingRefBased/>
  <w15:docId w15:val="{440120BD-EBAD-4B70-88D9-0A3B58CA2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484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248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48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48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48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48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48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48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48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48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4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4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4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4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4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4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4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4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4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48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24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48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24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48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24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48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24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48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4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4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2025-04-07T08:06:00Z</dcterms:created>
  <dcterms:modified xsi:type="dcterms:W3CDTF">2025-04-07T08:07:00Z</dcterms:modified>
</cp:coreProperties>
</file>