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90DFDA" w14:textId="77777777" w:rsidR="00241ACB" w:rsidRPr="006B2F60" w:rsidRDefault="00241ACB" w:rsidP="00241ACB">
      <w:pPr>
        <w:spacing w:after="0" w:line="240" w:lineRule="auto"/>
        <w:jc w:val="both"/>
        <w:rPr>
          <w:rFonts w:cstheme="minorHAnsi"/>
          <w:b/>
          <w:bCs/>
          <w:color w:val="000000" w:themeColor="text1"/>
          <w:sz w:val="20"/>
          <w:szCs w:val="20"/>
        </w:rPr>
      </w:pPr>
      <w:r w:rsidRPr="006B2F60">
        <w:rPr>
          <w:rFonts w:cstheme="minorHAnsi"/>
          <w:b/>
          <w:bCs/>
          <w:color w:val="000000" w:themeColor="text1"/>
          <w:sz w:val="20"/>
          <w:szCs w:val="20"/>
        </w:rPr>
        <w:t>Appendix</w:t>
      </w:r>
    </w:p>
    <w:p w14:paraId="4BE8821D" w14:textId="77777777" w:rsidR="00241ACB" w:rsidRPr="006B2F60" w:rsidRDefault="00241ACB" w:rsidP="00241ACB">
      <w:pPr>
        <w:spacing w:after="0" w:line="240" w:lineRule="auto"/>
        <w:jc w:val="both"/>
        <w:rPr>
          <w:rFonts w:cstheme="minorHAnsi"/>
          <w:b/>
          <w:bCs/>
          <w:color w:val="000000" w:themeColor="text1"/>
          <w:sz w:val="20"/>
          <w:szCs w:val="20"/>
        </w:rPr>
      </w:pPr>
    </w:p>
    <w:p w14:paraId="31D47D29" w14:textId="77777777" w:rsidR="00241ACB" w:rsidRPr="006B2F60" w:rsidRDefault="00241ACB" w:rsidP="00241ACB">
      <w:pPr>
        <w:spacing w:after="0" w:line="480" w:lineRule="auto"/>
        <w:jc w:val="center"/>
        <w:rPr>
          <w:rFonts w:cstheme="minorHAnsi"/>
          <w:sz w:val="16"/>
          <w:szCs w:val="16"/>
        </w:rPr>
      </w:pPr>
      <w:r w:rsidRPr="006B2F60">
        <w:rPr>
          <w:rFonts w:cstheme="minorHAnsi"/>
          <w:sz w:val="16"/>
          <w:szCs w:val="16"/>
        </w:rPr>
        <w:t>Table 1: Revenue Leakage Research Articles Used in the SLR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4248"/>
        <w:gridCol w:w="2836"/>
        <w:gridCol w:w="1497"/>
        <w:gridCol w:w="2668"/>
      </w:tblGrid>
      <w:tr w:rsidR="00241ACB" w:rsidRPr="006B2F60" w14:paraId="251A3885" w14:textId="77777777" w:rsidTr="00DE3143">
        <w:trPr>
          <w:trHeight w:val="210"/>
        </w:trPr>
        <w:tc>
          <w:tcPr>
            <w:tcW w:w="657" w:type="pct"/>
            <w:shd w:val="clear" w:color="auto" w:fill="BFBFBF" w:themeFill="background1" w:themeFillShade="BF"/>
            <w:hideMark/>
          </w:tcPr>
          <w:p w14:paraId="3FD25394"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Author (S)</w:t>
            </w:r>
          </w:p>
        </w:tc>
        <w:tc>
          <w:tcPr>
            <w:tcW w:w="1640" w:type="pct"/>
            <w:shd w:val="clear" w:color="auto" w:fill="BFBFBF" w:themeFill="background1" w:themeFillShade="BF"/>
            <w:hideMark/>
          </w:tcPr>
          <w:p w14:paraId="02DD2BC3"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Title</w:t>
            </w:r>
          </w:p>
        </w:tc>
        <w:tc>
          <w:tcPr>
            <w:tcW w:w="1095" w:type="pct"/>
            <w:shd w:val="clear" w:color="auto" w:fill="BFBFBF" w:themeFill="background1" w:themeFillShade="BF"/>
            <w:hideMark/>
          </w:tcPr>
          <w:p w14:paraId="79E486E4"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Journal</w:t>
            </w:r>
          </w:p>
        </w:tc>
        <w:tc>
          <w:tcPr>
            <w:tcW w:w="578" w:type="pct"/>
            <w:shd w:val="clear" w:color="auto" w:fill="BFBFBF" w:themeFill="background1" w:themeFillShade="BF"/>
            <w:hideMark/>
          </w:tcPr>
          <w:p w14:paraId="4F17DBBB"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Country</w:t>
            </w:r>
          </w:p>
        </w:tc>
        <w:tc>
          <w:tcPr>
            <w:tcW w:w="1030" w:type="pct"/>
            <w:shd w:val="clear" w:color="auto" w:fill="BFBFBF" w:themeFill="background1" w:themeFillShade="BF"/>
            <w:hideMark/>
          </w:tcPr>
          <w:p w14:paraId="61556BEC"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Industry Sector (ANZSIC)</w:t>
            </w:r>
          </w:p>
        </w:tc>
      </w:tr>
      <w:tr w:rsidR="00241ACB" w:rsidRPr="006B2F60" w14:paraId="2E6652FA" w14:textId="77777777" w:rsidTr="00DE3143">
        <w:trPr>
          <w:trHeight w:val="420"/>
        </w:trPr>
        <w:tc>
          <w:tcPr>
            <w:tcW w:w="657" w:type="pct"/>
            <w:shd w:val="clear" w:color="auto" w:fill="auto"/>
            <w:hideMark/>
          </w:tcPr>
          <w:p w14:paraId="79F6FC7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AuthorYear="1"&gt;&lt;Author&gt;Satsangi&lt;/Author&gt;&lt;Year&gt;1977&lt;/Year&gt;&lt;RecNum&gt;953&lt;/RecNum&gt;&lt;DisplayText&gt;Satsangi (1977)&lt;/DisplayText&gt;&lt;record&gt;&lt;rec-number&gt;953&lt;/rec-number&gt;&lt;foreign-keys&gt;&lt;key app="EN" db-id="dptp5pfxc5f2t6exvwlx0ve0fp5zwfx0ptw2" timestamp="1706121989"&gt;953&lt;/key&gt;&lt;/foreign-keys&gt;&lt;ref-type name="Journal Article"&gt;17&lt;/ref-type&gt;&lt;contributors&gt;&lt;authors&gt;&lt;author&gt;Satsangi, Prem Saran&lt;/author&gt;&lt;/authors&gt;&lt;/contributors&gt;&lt;titles&gt;&lt;title&gt;A Physical System Theory Modeling Framework for Transportation System Studies&lt;/title&gt;&lt;secondary-title&gt;IEEE Transactions on Systems, Man, and Cybernetics&lt;/secondary-title&gt;&lt;/titles&gt;&lt;periodical&gt;&lt;full-title&gt;IEEE Transactions on Systems, Man, and Cybernetics&lt;/full-title&gt;&lt;/periodical&gt;&lt;pages&gt;p.763-778&lt;/pages&gt;&lt;volume&gt;7&lt;/volume&gt;&lt;number&gt;11&lt;/number&gt;&lt;dates&gt;&lt;year&gt;1977&lt;/year&gt;&lt;/dates&gt;&lt;isbn&gt;0018-9472&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Satsangi (1977)</w:t>
            </w:r>
            <w:r w:rsidRPr="006B2F60">
              <w:rPr>
                <w:rFonts w:eastAsia="Times New Roman" w:cstheme="minorHAnsi"/>
                <w:color w:val="000000"/>
                <w:sz w:val="16"/>
                <w:szCs w:val="16"/>
                <w:lang w:eastAsia="en-GB"/>
              </w:rPr>
              <w:fldChar w:fldCharType="end"/>
            </w:r>
          </w:p>
        </w:tc>
        <w:tc>
          <w:tcPr>
            <w:tcW w:w="1640" w:type="pct"/>
            <w:shd w:val="clear" w:color="auto" w:fill="auto"/>
            <w:hideMark/>
          </w:tcPr>
          <w:p w14:paraId="13412DC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 Physical System Theory Modelling Framework for Transportation System Studies</w:t>
            </w:r>
          </w:p>
        </w:tc>
        <w:tc>
          <w:tcPr>
            <w:tcW w:w="1095" w:type="pct"/>
            <w:shd w:val="clear" w:color="auto" w:fill="auto"/>
            <w:hideMark/>
          </w:tcPr>
          <w:p w14:paraId="4685707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IEEE Transactions on Systems, Man, and Cybernetics</w:t>
            </w:r>
          </w:p>
        </w:tc>
        <w:tc>
          <w:tcPr>
            <w:tcW w:w="578" w:type="pct"/>
            <w:shd w:val="clear" w:color="auto" w:fill="auto"/>
            <w:hideMark/>
          </w:tcPr>
          <w:p w14:paraId="0838BB9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India</w:t>
            </w:r>
          </w:p>
        </w:tc>
        <w:tc>
          <w:tcPr>
            <w:tcW w:w="1030" w:type="pct"/>
            <w:shd w:val="clear" w:color="auto" w:fill="auto"/>
            <w:hideMark/>
          </w:tcPr>
          <w:p w14:paraId="0382077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4622 - Urban Bus Transport</w:t>
            </w:r>
          </w:p>
        </w:tc>
      </w:tr>
      <w:tr w:rsidR="00241ACB" w:rsidRPr="006B2F60" w14:paraId="6D205710" w14:textId="77777777" w:rsidTr="00DE3143">
        <w:trPr>
          <w:trHeight w:val="420"/>
        </w:trPr>
        <w:tc>
          <w:tcPr>
            <w:tcW w:w="657" w:type="pct"/>
            <w:shd w:val="clear" w:color="auto" w:fill="auto"/>
            <w:hideMark/>
          </w:tcPr>
          <w:p w14:paraId="268A115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AuthorYear="1"&gt;&lt;Author&gt;Poddar&lt;/Author&gt;&lt;Year&gt;1988&lt;/Year&gt;&lt;RecNum&gt;952&lt;/RecNum&gt;&lt;DisplayText&gt;Poddar (1988)&lt;/DisplayText&gt;&lt;record&gt;&lt;rec-number&gt;952&lt;/rec-number&gt;&lt;foreign-keys&gt;&lt;key app="EN" db-id="dptp5pfxc5f2t6exvwlx0ve0fp5zwfx0ptw2" timestamp="1706121361"&gt;952&lt;/key&gt;&lt;/foreign-keys&gt;&lt;ref-type name="Journal Article"&gt;17&lt;/ref-type&gt;&lt;contributors&gt;&lt;authors&gt;&lt;author&gt;Poddar, Satya&lt;/author&gt;&lt;/authors&gt;&lt;/contributors&gt;&lt;titles&gt;&lt;title&gt;Issues in Integration of Federal and Provincial sales Taxes: A Canadian Perspective&lt;/title&gt;&lt;secondary-title&gt;National Tax Journal&lt;/secondary-title&gt;&lt;/titles&gt;&lt;periodical&gt;&lt;full-title&gt;National Tax Journal&lt;/full-title&gt;&lt;/periodical&gt;&lt;pages&gt;p.369-380&lt;/pages&gt;&lt;volume&gt;41&lt;/volume&gt;&lt;number&gt;3&lt;/number&gt;&lt;dates&gt;&lt;year&gt;1988&lt;/year&gt;&lt;/dates&gt;&lt;isbn&gt;0028-0283&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Poddar (1988)</w:t>
            </w:r>
            <w:r w:rsidRPr="006B2F60">
              <w:rPr>
                <w:rFonts w:eastAsia="Times New Roman" w:cstheme="minorHAnsi"/>
                <w:color w:val="000000"/>
                <w:sz w:val="16"/>
                <w:szCs w:val="16"/>
                <w:lang w:eastAsia="en-GB"/>
              </w:rPr>
              <w:fldChar w:fldCharType="end"/>
            </w:r>
          </w:p>
        </w:tc>
        <w:tc>
          <w:tcPr>
            <w:tcW w:w="1640" w:type="pct"/>
            <w:shd w:val="clear" w:color="auto" w:fill="auto"/>
            <w:hideMark/>
          </w:tcPr>
          <w:p w14:paraId="19C9271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Issues in Integration of Federal and Provincial Sales Taxes: A Canadian Perspective</w:t>
            </w:r>
          </w:p>
        </w:tc>
        <w:tc>
          <w:tcPr>
            <w:tcW w:w="1095" w:type="pct"/>
            <w:shd w:val="clear" w:color="auto" w:fill="auto"/>
            <w:hideMark/>
          </w:tcPr>
          <w:p w14:paraId="54EDF61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National Tax Journal</w:t>
            </w:r>
          </w:p>
        </w:tc>
        <w:tc>
          <w:tcPr>
            <w:tcW w:w="578" w:type="pct"/>
            <w:shd w:val="clear" w:color="auto" w:fill="auto"/>
            <w:hideMark/>
          </w:tcPr>
          <w:p w14:paraId="4807EFC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Canada</w:t>
            </w:r>
          </w:p>
        </w:tc>
        <w:tc>
          <w:tcPr>
            <w:tcW w:w="1030" w:type="pct"/>
            <w:shd w:val="clear" w:color="auto" w:fill="auto"/>
            <w:hideMark/>
          </w:tcPr>
          <w:p w14:paraId="7385BFE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2B60827D" w14:textId="77777777" w:rsidTr="00DE3143">
        <w:trPr>
          <w:trHeight w:val="210"/>
        </w:trPr>
        <w:tc>
          <w:tcPr>
            <w:tcW w:w="657" w:type="pct"/>
            <w:shd w:val="clear" w:color="auto" w:fill="auto"/>
            <w:hideMark/>
          </w:tcPr>
          <w:p w14:paraId="0CB8DFC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AuthorYear="1"&gt;&lt;Author&gt;Slemrod&lt;/Author&gt;&lt;Year&gt;1991&lt;/Year&gt;&lt;RecNum&gt;954&lt;/RecNum&gt;&lt;DisplayText&gt;Slemrod (1991)&lt;/DisplayText&gt;&lt;record&gt;&lt;rec-number&gt;954&lt;/rec-number&gt;&lt;foreign-keys&gt;&lt;key app="EN" db-id="dptp5pfxc5f2t6exvwlx0ve0fp5zwfx0ptw2" timestamp="1706122113"&gt;954&lt;/key&gt;&lt;/foreign-keys&gt;&lt;ref-type name="Journal Article"&gt;17&lt;/ref-type&gt;&lt;contributors&gt;&lt;authors&gt;&lt;author&gt;Slemrod, J.&lt;/author&gt;&lt;/authors&gt;&lt;/contributors&gt;&lt;titles&gt;&lt;title&gt;The Flight Paths of Migratory Corporations by James R. Hines, Jr. Journal of Accounting, Auditing &amp;amp; Finance&lt;/title&gt;&lt;secondary-title&gt;Journal of Accounting, Auditing &amp;amp; Finance&lt;/secondary-title&gt;&lt;/titles&gt;&lt;periodical&gt;&lt;full-title&gt;Journal of Accounting, Auditing &amp;amp; Finance&lt;/full-title&gt;&lt;/periodical&gt;&lt;pages&gt;p.480-485&lt;/pages&gt;&lt;volume&gt;6&lt;/volume&gt;&lt;number&gt;4&lt;/number&gt;&lt;dates&gt;&lt;year&gt;1991&lt;/year&gt;&lt;/dates&gt;&lt;isbn&gt;0148-558X&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Slemrod (1991)</w:t>
            </w:r>
            <w:r w:rsidRPr="006B2F60">
              <w:rPr>
                <w:rFonts w:eastAsia="Times New Roman" w:cstheme="minorHAnsi"/>
                <w:color w:val="000000"/>
                <w:sz w:val="16"/>
                <w:szCs w:val="16"/>
                <w:lang w:eastAsia="en-GB"/>
              </w:rPr>
              <w:fldChar w:fldCharType="end"/>
            </w:r>
          </w:p>
        </w:tc>
        <w:tc>
          <w:tcPr>
            <w:tcW w:w="1640" w:type="pct"/>
            <w:shd w:val="clear" w:color="auto" w:fill="auto"/>
            <w:hideMark/>
          </w:tcPr>
          <w:p w14:paraId="2B6C819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Flight Paths of Migratory Corporations</w:t>
            </w:r>
          </w:p>
        </w:tc>
        <w:tc>
          <w:tcPr>
            <w:tcW w:w="1095" w:type="pct"/>
            <w:shd w:val="clear" w:color="auto" w:fill="auto"/>
            <w:hideMark/>
          </w:tcPr>
          <w:p w14:paraId="7CB5856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Accounting, Auditing &amp; Finance</w:t>
            </w:r>
          </w:p>
        </w:tc>
        <w:tc>
          <w:tcPr>
            <w:tcW w:w="578" w:type="pct"/>
            <w:shd w:val="clear" w:color="auto" w:fill="auto"/>
            <w:hideMark/>
          </w:tcPr>
          <w:p w14:paraId="5ACCB08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US</w:t>
            </w:r>
          </w:p>
        </w:tc>
        <w:tc>
          <w:tcPr>
            <w:tcW w:w="1030" w:type="pct"/>
            <w:shd w:val="clear" w:color="auto" w:fill="auto"/>
            <w:hideMark/>
          </w:tcPr>
          <w:p w14:paraId="799D876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1E474BC1" w14:textId="77777777" w:rsidTr="00DE3143">
        <w:trPr>
          <w:trHeight w:val="420"/>
        </w:trPr>
        <w:tc>
          <w:tcPr>
            <w:tcW w:w="657" w:type="pct"/>
            <w:shd w:val="clear" w:color="auto" w:fill="auto"/>
            <w:hideMark/>
          </w:tcPr>
          <w:p w14:paraId="307AC9D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AuthorYear="1"&gt;&lt;Author&gt;Slemrod&lt;/Author&gt;&lt;Year&gt;1998&lt;/Year&gt;&lt;RecNum&gt;956&lt;/RecNum&gt;&lt;DisplayText&gt;Slemrod (1998)&lt;/DisplayText&gt;&lt;record&gt;&lt;rec-number&gt;956&lt;/rec-number&gt;&lt;foreign-keys&gt;&lt;key app="EN" db-id="dptp5pfxc5f2t6exvwlx0ve0fp5zwfx0ptw2" timestamp="1706123027"&gt;956&lt;/key&gt;&lt;/foreign-keys&gt;&lt;ref-type name="Journal Article"&gt;17&lt;/ref-type&gt;&lt;contributors&gt;&lt;authors&gt;&lt;author&gt;Slemrod, Joel&lt;/author&gt;&lt;/authors&gt;&lt;/contributors&gt;&lt;titles&gt;&lt;title&gt;Methodological issues in measuring and interpreting taxable income elasticities&lt;/title&gt;&lt;secondary-title&gt;National Tax Journal&lt;/secondary-title&gt;&lt;/titles&gt;&lt;periodical&gt;&lt;full-title&gt;National Tax Journal&lt;/full-title&gt;&lt;/periodical&gt;&lt;pages&gt;p.773-788&lt;/pages&gt;&lt;volume&gt;51&lt;/volume&gt;&lt;number&gt;4&lt;/number&gt;&lt;dates&gt;&lt;year&gt;1998&lt;/year&gt;&lt;/dates&gt;&lt;isbn&gt;0028-0283&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Slemrod (1998)</w:t>
            </w:r>
            <w:r w:rsidRPr="006B2F60">
              <w:rPr>
                <w:rFonts w:eastAsia="Times New Roman" w:cstheme="minorHAnsi"/>
                <w:color w:val="000000"/>
                <w:sz w:val="16"/>
                <w:szCs w:val="16"/>
                <w:lang w:eastAsia="en-GB"/>
              </w:rPr>
              <w:fldChar w:fldCharType="end"/>
            </w:r>
          </w:p>
        </w:tc>
        <w:tc>
          <w:tcPr>
            <w:tcW w:w="1640" w:type="pct"/>
            <w:shd w:val="clear" w:color="auto" w:fill="auto"/>
            <w:hideMark/>
          </w:tcPr>
          <w:p w14:paraId="719EA53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Methodological Issues in Measuring and Interpreting Taxable Income Elasticities</w:t>
            </w:r>
          </w:p>
        </w:tc>
        <w:tc>
          <w:tcPr>
            <w:tcW w:w="1095" w:type="pct"/>
            <w:shd w:val="clear" w:color="auto" w:fill="auto"/>
            <w:hideMark/>
          </w:tcPr>
          <w:p w14:paraId="6E35BDF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National Tax Journal</w:t>
            </w:r>
          </w:p>
        </w:tc>
        <w:tc>
          <w:tcPr>
            <w:tcW w:w="578" w:type="pct"/>
            <w:shd w:val="clear" w:color="auto" w:fill="auto"/>
            <w:hideMark/>
          </w:tcPr>
          <w:p w14:paraId="1EC6B95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US</w:t>
            </w:r>
          </w:p>
        </w:tc>
        <w:tc>
          <w:tcPr>
            <w:tcW w:w="1030" w:type="pct"/>
            <w:shd w:val="clear" w:color="auto" w:fill="auto"/>
            <w:hideMark/>
          </w:tcPr>
          <w:p w14:paraId="48C08F5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51443B7A" w14:textId="77777777" w:rsidTr="00DE3143">
        <w:trPr>
          <w:trHeight w:val="420"/>
        </w:trPr>
        <w:tc>
          <w:tcPr>
            <w:tcW w:w="657" w:type="pct"/>
            <w:shd w:val="clear" w:color="auto" w:fill="auto"/>
            <w:hideMark/>
          </w:tcPr>
          <w:p w14:paraId="3031F47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AuthorYear="1"&gt;&lt;Author&gt;Barkoczy&lt;/Author&gt;&lt;Year&gt;2000&lt;/Year&gt;&lt;RecNum&gt;736&lt;/RecNum&gt;&lt;DisplayText&gt;Barkoczy (2000)&lt;/DisplayText&gt;&lt;record&gt;&lt;rec-number&gt;736&lt;/rec-number&gt;&lt;foreign-keys&gt;&lt;key app="EN" db-id="dptp5pfxc5f2t6exvwlx0ve0fp5zwfx0ptw2" timestamp="1633819601"&gt;736&lt;/key&gt;&lt;/foreign-keys&gt;&lt;ref-type name="Journal Article"&gt;17&lt;/ref-type&gt;&lt;contributors&gt;&lt;authors&gt;&lt;author&gt;Barkoczy, Stephen&lt;/author&gt;&lt;/authors&gt;&lt;/contributors&gt;&lt;titles&gt;&lt;title&gt;The GST general anti-avoidance provisions: part IVA with a GST twist?&lt;/title&gt;&lt;secondary-title&gt;Journal of Australian Taxation&lt;/secondary-title&gt;&lt;/titles&gt;&lt;periodical&gt;&lt;full-title&gt;Journal of Australian Taxation&lt;/full-title&gt;&lt;/periodical&gt;&lt;pages&gt;p.35-55&lt;/pages&gt;&lt;volume&gt;3&lt;/volume&gt;&lt;number&gt;1&lt;/number&gt;&lt;dates&gt;&lt;year&gt;2000&lt;/year&gt;&lt;/dates&gt;&lt;isbn&gt;1440-0405&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Barkoczy (2000)</w:t>
            </w:r>
            <w:r w:rsidRPr="006B2F60">
              <w:rPr>
                <w:rFonts w:eastAsia="Times New Roman" w:cstheme="minorHAnsi"/>
                <w:color w:val="000000"/>
                <w:sz w:val="16"/>
                <w:szCs w:val="16"/>
                <w:lang w:eastAsia="en-GB"/>
              </w:rPr>
              <w:fldChar w:fldCharType="end"/>
            </w:r>
          </w:p>
        </w:tc>
        <w:tc>
          <w:tcPr>
            <w:tcW w:w="1640" w:type="pct"/>
            <w:shd w:val="clear" w:color="auto" w:fill="auto"/>
            <w:hideMark/>
          </w:tcPr>
          <w:p w14:paraId="077C72C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GST General Anti-Avoidance Provisions</w:t>
            </w:r>
          </w:p>
        </w:tc>
        <w:tc>
          <w:tcPr>
            <w:tcW w:w="1095" w:type="pct"/>
            <w:shd w:val="clear" w:color="auto" w:fill="auto"/>
            <w:hideMark/>
          </w:tcPr>
          <w:p w14:paraId="4C4B948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Australian Taxation</w:t>
            </w:r>
          </w:p>
        </w:tc>
        <w:tc>
          <w:tcPr>
            <w:tcW w:w="578" w:type="pct"/>
            <w:shd w:val="clear" w:color="auto" w:fill="auto"/>
            <w:hideMark/>
          </w:tcPr>
          <w:p w14:paraId="0A8D07C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Australia</w:t>
            </w:r>
          </w:p>
        </w:tc>
        <w:tc>
          <w:tcPr>
            <w:tcW w:w="1030" w:type="pct"/>
            <w:shd w:val="clear" w:color="auto" w:fill="auto"/>
            <w:hideMark/>
          </w:tcPr>
          <w:p w14:paraId="5F6F70B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680384D1" w14:textId="77777777" w:rsidTr="00DE3143">
        <w:trPr>
          <w:trHeight w:val="420"/>
        </w:trPr>
        <w:tc>
          <w:tcPr>
            <w:tcW w:w="657" w:type="pct"/>
            <w:shd w:val="clear" w:color="auto" w:fill="auto"/>
          </w:tcPr>
          <w:p w14:paraId="41AAA21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AuthorYear="1"&gt;&lt;Author&gt;Jenkins&lt;/Author&gt;&lt;Year&gt;2000&lt;/Year&gt;&lt;RecNum&gt;1118&lt;/RecNum&gt;&lt;DisplayText&gt;Jenkins and Kuo (2000)&lt;/DisplayText&gt;&lt;record&gt;&lt;rec-number&gt;1118&lt;/rec-number&gt;&lt;foreign-keys&gt;&lt;key app="EN" db-id="dptp5pfxc5f2t6exvwlx0ve0fp5zwfx0ptw2" timestamp="1717919591"&gt;1118&lt;/key&gt;&lt;/foreign-keys&gt;&lt;ref-type name="Journal Article"&gt;17&lt;/ref-type&gt;&lt;contributors&gt;&lt;authors&gt;&lt;author&gt;Jenkins, Glenn P&lt;/author&gt;&lt;author&gt;Kuo, Chun-Yan&lt;/author&gt;&lt;/authors&gt;&lt;/contributors&gt;&lt;titles&gt;&lt;title&gt;A VAT revenue simulation model for tax reform in developing countries&lt;/title&gt;&lt;secondary-title&gt;World Development&lt;/secondary-title&gt;&lt;/titles&gt;&lt;periodical&gt;&lt;full-title&gt;World Development&lt;/full-title&gt;&lt;/periodical&gt;&lt;pages&gt;p.763-774&lt;/pages&gt;&lt;volume&gt;28&lt;/volume&gt;&lt;number&gt;4&lt;/number&gt;&lt;dates&gt;&lt;year&gt;2000&lt;/year&gt;&lt;/dates&gt;&lt;isbn&gt;0305-750X&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Jenkins and Kuo (2000)</w:t>
            </w:r>
            <w:r w:rsidRPr="006B2F60">
              <w:rPr>
                <w:rFonts w:eastAsia="Times New Roman" w:cstheme="minorHAnsi"/>
                <w:color w:val="000000"/>
                <w:sz w:val="16"/>
                <w:szCs w:val="16"/>
                <w:lang w:eastAsia="en-GB"/>
              </w:rPr>
              <w:fldChar w:fldCharType="end"/>
            </w:r>
          </w:p>
        </w:tc>
        <w:tc>
          <w:tcPr>
            <w:tcW w:w="1640" w:type="pct"/>
            <w:shd w:val="clear" w:color="auto" w:fill="auto"/>
          </w:tcPr>
          <w:p w14:paraId="4A19465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 VAT Revenue Simulation Model for Tax Reform in Developing Countries</w:t>
            </w:r>
          </w:p>
        </w:tc>
        <w:tc>
          <w:tcPr>
            <w:tcW w:w="1095" w:type="pct"/>
            <w:shd w:val="clear" w:color="auto" w:fill="auto"/>
          </w:tcPr>
          <w:p w14:paraId="46AC465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World Development</w:t>
            </w:r>
          </w:p>
        </w:tc>
        <w:tc>
          <w:tcPr>
            <w:tcW w:w="578" w:type="pct"/>
            <w:shd w:val="clear" w:color="auto" w:fill="auto"/>
          </w:tcPr>
          <w:p w14:paraId="5A13E73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Nepal</w:t>
            </w:r>
          </w:p>
        </w:tc>
        <w:tc>
          <w:tcPr>
            <w:tcW w:w="1030" w:type="pct"/>
            <w:shd w:val="clear" w:color="auto" w:fill="auto"/>
          </w:tcPr>
          <w:p w14:paraId="489A719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3CF192FB" w14:textId="77777777" w:rsidTr="00DE3143">
        <w:trPr>
          <w:trHeight w:val="420"/>
        </w:trPr>
        <w:tc>
          <w:tcPr>
            <w:tcW w:w="657" w:type="pct"/>
            <w:shd w:val="clear" w:color="auto" w:fill="auto"/>
          </w:tcPr>
          <w:p w14:paraId="6A0B282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AuthorYear="1"&gt;&lt;Author&gt;Evans&lt;/Author&gt;&lt;Year&gt;2002&lt;/Year&gt;&lt;RecNum&gt;1119&lt;/RecNum&gt;&lt;DisplayText&gt;Evans (2002)&lt;/DisplayText&gt;&lt;record&gt;&lt;rec-number&gt;1119&lt;/rec-number&gt;&lt;foreign-keys&gt;&lt;key app="EN" db-id="dptp5pfxc5f2t6exvwlx0ve0fp5zwfx0ptw2" timestamp="1717919635"&gt;1119&lt;/key&gt;&lt;/foreign-keys&gt;&lt;ref-type name="Journal Article"&gt;17&lt;/ref-type&gt;&lt;contributors&gt;&lt;authors&gt;&lt;author&gt;Evans, Chris&lt;/author&gt;&lt;/authors&gt;&lt;/contributors&gt;&lt;titles&gt;&lt;title&gt;Taxing capital gains: one step forwards or two steps back?&lt;/title&gt;&lt;secondary-title&gt;Journal of Australian Taxation&lt;/secondary-title&gt;&lt;/titles&gt;&lt;periodical&gt;&lt;full-title&gt;Journal of Australian Taxation&lt;/full-title&gt;&lt;/periodical&gt;&lt;pages&gt;p.114-135&lt;/pages&gt;&lt;volume&gt;5&lt;/volume&gt;&lt;number&gt;1&lt;/number&gt;&lt;dates&gt;&lt;year&gt;2002&lt;/year&gt;&lt;/dates&gt;&lt;isbn&gt;1440-0405&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Evans (2002)</w:t>
            </w:r>
            <w:r w:rsidRPr="006B2F60">
              <w:rPr>
                <w:rFonts w:eastAsia="Times New Roman" w:cstheme="minorHAnsi"/>
                <w:color w:val="000000"/>
                <w:sz w:val="16"/>
                <w:szCs w:val="16"/>
                <w:lang w:eastAsia="en-GB"/>
              </w:rPr>
              <w:fldChar w:fldCharType="end"/>
            </w:r>
          </w:p>
        </w:tc>
        <w:tc>
          <w:tcPr>
            <w:tcW w:w="1640" w:type="pct"/>
            <w:shd w:val="clear" w:color="auto" w:fill="auto"/>
          </w:tcPr>
          <w:p w14:paraId="4910656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Taxing Capital Gains: One Step Forwards or Two Steps Back?</w:t>
            </w:r>
          </w:p>
        </w:tc>
        <w:tc>
          <w:tcPr>
            <w:tcW w:w="1095" w:type="pct"/>
            <w:shd w:val="clear" w:color="auto" w:fill="auto"/>
          </w:tcPr>
          <w:p w14:paraId="150E858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Australian Taxation</w:t>
            </w:r>
          </w:p>
        </w:tc>
        <w:tc>
          <w:tcPr>
            <w:tcW w:w="578" w:type="pct"/>
            <w:shd w:val="clear" w:color="auto" w:fill="auto"/>
          </w:tcPr>
          <w:p w14:paraId="6925112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Australia</w:t>
            </w:r>
          </w:p>
        </w:tc>
        <w:tc>
          <w:tcPr>
            <w:tcW w:w="1030" w:type="pct"/>
            <w:shd w:val="clear" w:color="auto" w:fill="auto"/>
          </w:tcPr>
          <w:p w14:paraId="4E0F530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43B309F4" w14:textId="77777777" w:rsidTr="00DE3143">
        <w:trPr>
          <w:trHeight w:val="420"/>
        </w:trPr>
        <w:tc>
          <w:tcPr>
            <w:tcW w:w="657" w:type="pct"/>
            <w:shd w:val="clear" w:color="auto" w:fill="auto"/>
          </w:tcPr>
          <w:p w14:paraId="1AA073B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AuthorYear="1"&gt;&lt;Author&gt;Brueckner&lt;/Author&gt;&lt;Year&gt;2003&lt;/Year&gt;&lt;RecNum&gt;1120&lt;/RecNum&gt;&lt;DisplayText&gt;Brueckner and Kim (2003)&lt;/DisplayText&gt;&lt;record&gt;&lt;rec-number&gt;1120&lt;/rec-number&gt;&lt;foreign-keys&gt;&lt;key app="EN" db-id="dptp5pfxc5f2t6exvwlx0ve0fp5zwfx0ptw2" timestamp="1717919683"&gt;1120&lt;/key&gt;&lt;/foreign-keys&gt;&lt;ref-type name="Journal Article"&gt;17&lt;/ref-type&gt;&lt;contributors&gt;&lt;authors&gt;&lt;author&gt;Brueckner, Jan K&lt;/author&gt;&lt;author&gt;Kim, Hyun-A&lt;/author&gt;&lt;/authors&gt;&lt;/contributors&gt;&lt;titles&gt;&lt;title&gt;Urban sprawl and the property tax&lt;/title&gt;&lt;secondary-title&gt;International Tax and Public Finance&lt;/secondary-title&gt;&lt;/titles&gt;&lt;periodical&gt;&lt;full-title&gt;International Tax and Public Finance&lt;/full-title&gt;&lt;/periodical&gt;&lt;pages&gt;p.5-23&lt;/pages&gt;&lt;volume&gt;10&lt;/volume&gt;&lt;dates&gt;&lt;year&gt;2003&lt;/year&gt;&lt;/dates&gt;&lt;isbn&gt;0927-5940&lt;/isbn&gt;&lt;urls&gt;&lt;/urls&gt;&lt;/record&gt;&lt;/Cite&gt;&lt;/EndNote&gt;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Brueckner and Kim (2003)</w:t>
            </w:r>
            <w:r w:rsidRPr="006B2F60">
              <w:rPr>
                <w:rFonts w:eastAsia="Times New Roman" w:cstheme="minorHAnsi"/>
                <w:color w:val="000000"/>
                <w:sz w:val="16"/>
                <w:szCs w:val="16"/>
                <w:lang w:eastAsia="en-GB"/>
              </w:rPr>
              <w:fldChar w:fldCharType="end"/>
            </w:r>
          </w:p>
        </w:tc>
        <w:tc>
          <w:tcPr>
            <w:tcW w:w="1640" w:type="pct"/>
            <w:shd w:val="clear" w:color="auto" w:fill="auto"/>
          </w:tcPr>
          <w:p w14:paraId="1882EBE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Urban Sprawl and the Property Tax</w:t>
            </w:r>
          </w:p>
        </w:tc>
        <w:tc>
          <w:tcPr>
            <w:tcW w:w="1095" w:type="pct"/>
            <w:shd w:val="clear" w:color="auto" w:fill="auto"/>
          </w:tcPr>
          <w:p w14:paraId="719FA80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Tax and Public Finance</w:t>
            </w:r>
          </w:p>
        </w:tc>
        <w:tc>
          <w:tcPr>
            <w:tcW w:w="578" w:type="pct"/>
            <w:shd w:val="clear" w:color="auto" w:fill="auto"/>
          </w:tcPr>
          <w:p w14:paraId="14FEACA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US</w:t>
            </w:r>
          </w:p>
        </w:tc>
        <w:tc>
          <w:tcPr>
            <w:tcW w:w="1030" w:type="pct"/>
            <w:shd w:val="clear" w:color="auto" w:fill="auto"/>
          </w:tcPr>
          <w:p w14:paraId="09314F1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r>
      <w:tr w:rsidR="00241ACB" w:rsidRPr="006B2F60" w14:paraId="586CDA97" w14:textId="77777777" w:rsidTr="00DE3143">
        <w:trPr>
          <w:trHeight w:val="420"/>
        </w:trPr>
        <w:tc>
          <w:tcPr>
            <w:tcW w:w="657" w:type="pct"/>
            <w:shd w:val="clear" w:color="auto" w:fill="auto"/>
          </w:tcPr>
          <w:p w14:paraId="4691BA1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AuthorYear="1"&gt;&lt;Author&gt;Strange&lt;/Author&gt;&lt;Year&gt;2003&lt;/Year&gt;&lt;RecNum&gt;1121&lt;/RecNum&gt;&lt;DisplayText&gt;Strange (2003)&lt;/DisplayText&gt;&lt;record&gt;&lt;rec-number&gt;1121&lt;/rec-number&gt;&lt;foreign-keys&gt;&lt;key app="EN" db-id="dptp5pfxc5f2t6exvwlx0ve0fp5zwfx0ptw2" timestamp="1717919731"&gt;1121&lt;/key&gt;&lt;/foreign-keys&gt;&lt;ref-type name="Journal Article"&gt;17&lt;/ref-type&gt;&lt;contributors&gt;&lt;authors&gt;&lt;author&gt;Strange, Andrew&lt;/author&gt;&lt;/authors&gt;&lt;/contributors&gt;&lt;titles&gt;&lt;title&gt;Topical Issues in Corporate Tax Losses&lt;/title&gt;&lt;secondary-title&gt;Revenue Law Journal&lt;/secondary-title&gt;&lt;/titles&gt;&lt;periodical&gt;&lt;full-title&gt;Revenue Law Journal&lt;/full-title&gt;&lt;/periodical&gt;&lt;pages&gt;p.97-113&lt;/pages&gt;&lt;volume&gt;13&lt;/volume&gt;&lt;number&gt;1&lt;/number&gt;&lt;dates&gt;&lt;year&gt;2003&lt;/year&gt;&lt;/dates&gt;&lt;urls&gt;&lt;/urls&gt;&lt;/record&gt;&lt;/Cite&gt;&lt;/EndNote&gt;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Strange (2003)</w:t>
            </w:r>
            <w:r w:rsidRPr="006B2F60">
              <w:rPr>
                <w:rFonts w:eastAsia="Times New Roman" w:cstheme="minorHAnsi"/>
                <w:color w:val="000000"/>
                <w:sz w:val="16"/>
                <w:szCs w:val="16"/>
                <w:lang w:eastAsia="en-GB"/>
              </w:rPr>
              <w:fldChar w:fldCharType="end"/>
            </w:r>
          </w:p>
        </w:tc>
        <w:tc>
          <w:tcPr>
            <w:tcW w:w="1640" w:type="pct"/>
            <w:shd w:val="clear" w:color="auto" w:fill="auto"/>
          </w:tcPr>
          <w:p w14:paraId="5F9E00F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Topical Issues in Corporate Tax Losses</w:t>
            </w:r>
          </w:p>
        </w:tc>
        <w:tc>
          <w:tcPr>
            <w:tcW w:w="1095" w:type="pct"/>
            <w:shd w:val="clear" w:color="auto" w:fill="auto"/>
          </w:tcPr>
          <w:p w14:paraId="4B98DFE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Revenue Law Journal</w:t>
            </w:r>
          </w:p>
        </w:tc>
        <w:tc>
          <w:tcPr>
            <w:tcW w:w="578" w:type="pct"/>
            <w:shd w:val="clear" w:color="auto" w:fill="auto"/>
          </w:tcPr>
          <w:p w14:paraId="42D33DC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Australia</w:t>
            </w:r>
          </w:p>
        </w:tc>
        <w:tc>
          <w:tcPr>
            <w:tcW w:w="1030" w:type="pct"/>
            <w:shd w:val="clear" w:color="auto" w:fill="auto"/>
          </w:tcPr>
          <w:p w14:paraId="3CF6858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70043C2D" w14:textId="77777777" w:rsidTr="00DE3143">
        <w:trPr>
          <w:trHeight w:val="420"/>
        </w:trPr>
        <w:tc>
          <w:tcPr>
            <w:tcW w:w="657" w:type="pct"/>
            <w:shd w:val="clear" w:color="auto" w:fill="auto"/>
            <w:hideMark/>
          </w:tcPr>
          <w:p w14:paraId="630AB13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AuthorYear="1"&gt;&lt;Author&gt;White&lt;/Author&gt;&lt;Year&gt;2004&lt;/Year&gt;&lt;RecNum&gt;958&lt;/RecNum&gt;&lt;DisplayText&gt;White (2004)&lt;/DisplayText&gt;&lt;record&gt;&lt;rec-number&gt;958&lt;/rec-number&gt;&lt;foreign-keys&gt;&lt;key app="EN" db-id="dptp5pfxc5f2t6exvwlx0ve0fp5zwfx0ptw2" timestamp="1706144357"&gt;958&lt;/key&gt;&lt;/foreign-keys&gt;&lt;ref-type name="Journal Article"&gt;17&lt;/ref-type&gt;&lt;contributors&gt;&lt;authors&gt;&lt;author&gt;White, Blake&lt;/author&gt;&lt;/authors&gt;&lt;/contributors&gt;&lt;titles&gt;&lt;title&gt;A new era for content: Protection, potential, and profit in the digital world&lt;/title&gt;&lt;secondary-title&gt;SMPTE motion imaging journal&lt;/secondary-title&gt;&lt;/titles&gt;&lt;periodical&gt;&lt;full-title&gt;SMPTE motion imaging journal&lt;/full-title&gt;&lt;/periodical&gt;&lt;pages&gt;p.110-120&lt;/pages&gt;&lt;volume&gt;113&lt;/volume&gt;&lt;number&gt;4&lt;/number&gt;&lt;dates&gt;&lt;year&gt;2004&lt;/year&gt;&lt;/dates&gt;&lt;isbn&gt;1545-0279&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White (2004)</w:t>
            </w:r>
            <w:r w:rsidRPr="006B2F60">
              <w:rPr>
                <w:rFonts w:eastAsia="Times New Roman" w:cstheme="minorHAnsi"/>
                <w:color w:val="000000"/>
                <w:sz w:val="16"/>
                <w:szCs w:val="16"/>
                <w:lang w:eastAsia="en-GB"/>
              </w:rPr>
              <w:fldChar w:fldCharType="end"/>
            </w:r>
          </w:p>
        </w:tc>
        <w:tc>
          <w:tcPr>
            <w:tcW w:w="1640" w:type="pct"/>
            <w:shd w:val="clear" w:color="auto" w:fill="auto"/>
            <w:hideMark/>
          </w:tcPr>
          <w:p w14:paraId="2C3C729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 New Era for Content: Protection, Potential, and Profit in the Digital World</w:t>
            </w:r>
          </w:p>
        </w:tc>
        <w:tc>
          <w:tcPr>
            <w:tcW w:w="1095" w:type="pct"/>
            <w:shd w:val="clear" w:color="auto" w:fill="auto"/>
            <w:hideMark/>
          </w:tcPr>
          <w:p w14:paraId="2604601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SMPTE Motion Imaging Journal</w:t>
            </w:r>
          </w:p>
        </w:tc>
        <w:tc>
          <w:tcPr>
            <w:tcW w:w="578" w:type="pct"/>
            <w:shd w:val="clear" w:color="auto" w:fill="auto"/>
            <w:hideMark/>
          </w:tcPr>
          <w:p w14:paraId="10E6773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US</w:t>
            </w:r>
          </w:p>
        </w:tc>
        <w:tc>
          <w:tcPr>
            <w:tcW w:w="1030" w:type="pct"/>
            <w:shd w:val="clear" w:color="auto" w:fill="auto"/>
            <w:hideMark/>
          </w:tcPr>
          <w:p w14:paraId="7479642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5512 - Motion Picture and Video Distribution</w:t>
            </w:r>
          </w:p>
        </w:tc>
      </w:tr>
      <w:tr w:rsidR="00241ACB" w:rsidRPr="006B2F60" w14:paraId="4E779B7F" w14:textId="77777777" w:rsidTr="00DE3143">
        <w:trPr>
          <w:trHeight w:val="259"/>
        </w:trPr>
        <w:tc>
          <w:tcPr>
            <w:tcW w:w="657" w:type="pct"/>
            <w:shd w:val="clear" w:color="auto" w:fill="auto"/>
            <w:hideMark/>
          </w:tcPr>
          <w:p w14:paraId="6D858F0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AuthorYear="1"&gt;&lt;Author&gt;Vijayakumar&lt;/Author&gt;&lt;Year&gt;2005&lt;/Year&gt;&lt;RecNum&gt;709&lt;/RecNum&gt;&lt;DisplayText&gt;Vijayakumar et al. (2005)&lt;/DisplayText&gt;&lt;record&gt;&lt;rec-number&gt;709&lt;/rec-number&gt;&lt;foreign-keys&gt;&lt;key app="EN" db-id="dptp5pfxc5f2t6exvwlx0ve0fp5zwfx0ptw2" timestamp="1633814383"&gt;709&lt;/key&gt;&lt;/foreign-keys&gt;&lt;ref-type name="Journal Article"&gt;17&lt;/ref-type&gt;&lt;contributors&gt;&lt;authors&gt;&lt;author&gt;Vijayakumar, Jayaraman&lt;/author&gt;&lt;author&gt;Rasheed, Abdul A&lt;/author&gt;&lt;author&gt;Krishnan, VS&lt;/author&gt;&lt;/authors&gt;&lt;/contributors&gt;&lt;titles&gt;&lt;title&gt;Corruption and taxation: lessons from the indian experience&lt;/title&gt;&lt;secondary-title&gt;Journal of Public Budgeting, Accounting &amp;amp; Financial Management&lt;/secondary-title&gt;&lt;/titles&gt;&lt;periodical&gt;&lt;full-title&gt;Journal of Public Budgeting, Accounting &amp;amp; Financial Management&lt;/full-title&gt;&lt;/periodical&gt;&lt;pages&gt;p.398-419&lt;/pages&gt;&lt;volume&gt;17&lt;/volume&gt;&lt;number&gt;3&lt;/number&gt;&lt;dates&gt;&lt;year&gt;2005&lt;/year&gt;&lt;/dates&gt;&lt;isbn&gt;1096-3367&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Vijayakumar et al. (2005)</w:t>
            </w:r>
            <w:r w:rsidRPr="006B2F60">
              <w:rPr>
                <w:rFonts w:eastAsia="Times New Roman" w:cstheme="minorHAnsi"/>
                <w:color w:val="000000"/>
                <w:sz w:val="16"/>
                <w:szCs w:val="16"/>
                <w:lang w:eastAsia="en-GB"/>
              </w:rPr>
              <w:fldChar w:fldCharType="end"/>
            </w:r>
          </w:p>
        </w:tc>
        <w:tc>
          <w:tcPr>
            <w:tcW w:w="1640" w:type="pct"/>
            <w:shd w:val="clear" w:color="auto" w:fill="auto"/>
            <w:hideMark/>
          </w:tcPr>
          <w:p w14:paraId="37CD8D3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Corruption and Taxation: Lessons from the Indian Experience</w:t>
            </w:r>
          </w:p>
        </w:tc>
        <w:tc>
          <w:tcPr>
            <w:tcW w:w="1095" w:type="pct"/>
            <w:shd w:val="clear" w:color="auto" w:fill="auto"/>
            <w:hideMark/>
          </w:tcPr>
          <w:p w14:paraId="63AF1FF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Public Budgeting, Accounting &amp; Financial Management</w:t>
            </w:r>
          </w:p>
        </w:tc>
        <w:tc>
          <w:tcPr>
            <w:tcW w:w="578" w:type="pct"/>
            <w:shd w:val="clear" w:color="auto" w:fill="auto"/>
            <w:hideMark/>
          </w:tcPr>
          <w:p w14:paraId="506A2E4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India</w:t>
            </w:r>
          </w:p>
        </w:tc>
        <w:tc>
          <w:tcPr>
            <w:tcW w:w="1030" w:type="pct"/>
            <w:shd w:val="clear" w:color="auto" w:fill="auto"/>
            <w:hideMark/>
          </w:tcPr>
          <w:p w14:paraId="147E5B0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776EB53F" w14:textId="77777777" w:rsidTr="00DE3143">
        <w:trPr>
          <w:trHeight w:val="448"/>
        </w:trPr>
        <w:tc>
          <w:tcPr>
            <w:tcW w:w="657" w:type="pct"/>
            <w:shd w:val="clear" w:color="auto" w:fill="auto"/>
          </w:tcPr>
          <w:p w14:paraId="5D95438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AuthorYear="1"&gt;&lt;Author&gt;Ng-Kruelle&lt;/Author&gt;&lt;Year&gt;2006&lt;/Year&gt;&lt;RecNum&gt;1122&lt;/RecNum&gt;&lt;DisplayText&gt;Ng-Kruelle et al. (2006)&lt;/DisplayText&gt;&lt;record&gt;&lt;rec-number&gt;1122&lt;/rec-number&gt;&lt;foreign-keys&gt;&lt;key app="EN" db-id="dptp5pfxc5f2t6exvwlx0ve0fp5zwfx0ptw2" timestamp="1717919884"&gt;1122&lt;/key&gt;&lt;/foreign-keys&gt;&lt;ref-type name="Journal Article"&gt;17&lt;/ref-type&gt;&lt;contributors&gt;&lt;authors&gt;&lt;author&gt;Ng-Kruelle, Grace&lt;/author&gt;&lt;author&gt;Swatman, Paul A&lt;/author&gt;&lt;author&gt;Kruelle, Oliver&lt;/author&gt;&lt;/authors&gt;&lt;/contributors&gt;&lt;titles&gt;&lt;title&gt;E-ticketing strategy and implementation in an open access system: The case of deutsche bahn&lt;/title&gt;&lt;secondary-title&gt;Information Technology and Tourism&lt;/secondary-title&gt;&lt;/titles&gt;&lt;periodical&gt;&lt;full-title&gt;Information Technology and Tourism&lt;/full-title&gt;&lt;/periodical&gt;&lt;pages&gt;p.1-11&lt;/pages&gt;&lt;volume&gt;2&lt;/volume&gt;&lt;dates&gt;&lt;year&gt;2006&lt;/year&gt;&lt;/dates&gt;&lt;urls&gt;&lt;/urls&gt;&lt;/record&gt;&lt;/Cite&gt;&lt;/EndNote&gt;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Ng-Kruelle et al. (2006)</w:t>
            </w:r>
            <w:r w:rsidRPr="006B2F60">
              <w:rPr>
                <w:rFonts w:eastAsia="Times New Roman" w:cstheme="minorHAnsi"/>
                <w:color w:val="000000"/>
                <w:sz w:val="16"/>
                <w:szCs w:val="16"/>
                <w:lang w:eastAsia="en-GB"/>
              </w:rPr>
              <w:fldChar w:fldCharType="end"/>
            </w:r>
          </w:p>
        </w:tc>
        <w:tc>
          <w:tcPr>
            <w:tcW w:w="1640" w:type="pct"/>
            <w:shd w:val="clear" w:color="auto" w:fill="auto"/>
          </w:tcPr>
          <w:p w14:paraId="424D986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E-Ticketing Strategy and Implementation in an Open Access System: The Case of Deutsche Bahn</w:t>
            </w:r>
          </w:p>
        </w:tc>
        <w:tc>
          <w:tcPr>
            <w:tcW w:w="1095" w:type="pct"/>
            <w:shd w:val="clear" w:color="auto" w:fill="auto"/>
          </w:tcPr>
          <w:p w14:paraId="35DD280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Information Technology and Tourism</w:t>
            </w:r>
          </w:p>
        </w:tc>
        <w:tc>
          <w:tcPr>
            <w:tcW w:w="578" w:type="pct"/>
            <w:shd w:val="clear" w:color="auto" w:fill="auto"/>
          </w:tcPr>
          <w:p w14:paraId="005632C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Germany</w:t>
            </w:r>
          </w:p>
        </w:tc>
        <w:tc>
          <w:tcPr>
            <w:tcW w:w="1030" w:type="pct"/>
            <w:shd w:val="clear" w:color="auto" w:fill="auto"/>
          </w:tcPr>
          <w:p w14:paraId="05E6845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4720 - Rail Passenger Transport</w:t>
            </w:r>
          </w:p>
        </w:tc>
      </w:tr>
      <w:tr w:rsidR="00241ACB" w:rsidRPr="006B2F60" w14:paraId="0B684C17" w14:textId="77777777" w:rsidTr="00DE3143">
        <w:trPr>
          <w:trHeight w:val="420"/>
        </w:trPr>
        <w:tc>
          <w:tcPr>
            <w:tcW w:w="657" w:type="pct"/>
            <w:shd w:val="clear" w:color="auto" w:fill="auto"/>
            <w:hideMark/>
          </w:tcPr>
          <w:p w14:paraId="6D2C255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AuthorYear="1"&gt;&lt;Author&gt;Eccleston&lt;/Author&gt;&lt;Year&gt;2007&lt;/Year&gt;&lt;RecNum&gt;737&lt;/RecNum&gt;&lt;DisplayText&gt;Eccleston (2007)&lt;/DisplayText&gt;&lt;record&gt;&lt;rec-number&gt;737&lt;/rec-number&gt;&lt;foreign-keys&gt;&lt;key app="EN" db-id="dptp5pfxc5f2t6exvwlx0ve0fp5zwfx0ptw2" timestamp="1633819729"&gt;737&lt;/key&gt;&lt;/foreign-keys&gt;&lt;ref-type name="Journal Article"&gt;17&lt;/ref-type&gt;&lt;contributors&gt;&lt;authors&gt;&lt;author&gt;Eccleston, Richard&lt;/author&gt;&lt;/authors&gt;&lt;/contributors&gt;&lt;titles&gt;&lt;title&gt;The Howard government, capital taxation and the limits of redistribution?&lt;/title&gt;&lt;secondary-title&gt;Australian Journal of Political Science&lt;/secondary-title&gt;&lt;/titles&gt;&lt;periodical&gt;&lt;full-title&gt;Australian Journal of Political Science&lt;/full-title&gt;&lt;/periodical&gt;&lt;pages&gt;p.351-364&lt;/pages&gt;&lt;volume&gt;42&lt;/volume&gt;&lt;number&gt;2&lt;/number&gt;&lt;dates&gt;&lt;year&gt;2007&lt;/year&gt;&lt;/dates&gt;&lt;isbn&gt;1036-1146&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Eccleston (2007)</w:t>
            </w:r>
            <w:r w:rsidRPr="006B2F60">
              <w:rPr>
                <w:rFonts w:eastAsia="Times New Roman" w:cstheme="minorHAnsi"/>
                <w:color w:val="000000"/>
                <w:sz w:val="16"/>
                <w:szCs w:val="16"/>
                <w:lang w:eastAsia="en-GB"/>
              </w:rPr>
              <w:fldChar w:fldCharType="end"/>
            </w:r>
          </w:p>
        </w:tc>
        <w:tc>
          <w:tcPr>
            <w:tcW w:w="1640" w:type="pct"/>
            <w:shd w:val="clear" w:color="auto" w:fill="auto"/>
            <w:hideMark/>
          </w:tcPr>
          <w:p w14:paraId="51A13A1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Howard Government, Capital Taxation and The Limits of Redistribution?</w:t>
            </w:r>
          </w:p>
        </w:tc>
        <w:tc>
          <w:tcPr>
            <w:tcW w:w="1095" w:type="pct"/>
            <w:shd w:val="clear" w:color="auto" w:fill="auto"/>
            <w:hideMark/>
          </w:tcPr>
          <w:p w14:paraId="313D98A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Australian Journal of Political Science</w:t>
            </w:r>
          </w:p>
        </w:tc>
        <w:tc>
          <w:tcPr>
            <w:tcW w:w="578" w:type="pct"/>
            <w:shd w:val="clear" w:color="auto" w:fill="auto"/>
            <w:hideMark/>
          </w:tcPr>
          <w:p w14:paraId="23174AB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Australia</w:t>
            </w:r>
          </w:p>
        </w:tc>
        <w:tc>
          <w:tcPr>
            <w:tcW w:w="1030" w:type="pct"/>
            <w:shd w:val="clear" w:color="auto" w:fill="auto"/>
            <w:hideMark/>
          </w:tcPr>
          <w:p w14:paraId="4F9B145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482EF7CC" w14:textId="77777777" w:rsidTr="00DE3143">
        <w:trPr>
          <w:trHeight w:val="420"/>
        </w:trPr>
        <w:tc>
          <w:tcPr>
            <w:tcW w:w="657" w:type="pct"/>
            <w:shd w:val="clear" w:color="auto" w:fill="auto"/>
            <w:hideMark/>
          </w:tcPr>
          <w:p w14:paraId="3B3BB2D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AuthorYear="1"&gt;&lt;Author&gt;Goel&lt;/Author&gt;&lt;Year&gt;2007&lt;/Year&gt;&lt;RecNum&gt;739&lt;/RecNum&gt;&lt;DisplayText&gt;Goel and Nelson (2007)&lt;/DisplayText&gt;&lt;record&gt;&lt;rec-number&gt;739&lt;/rec-number&gt;&lt;foreign-keys&gt;&lt;key app="EN" db-id="dptp5pfxc5f2t6exvwlx0ve0fp5zwfx0ptw2" timestamp="1633819914"&gt;739&lt;/key&gt;&lt;/foreign-keys&gt;&lt;ref-type name="Journal Article"&gt;17&lt;/ref-type&gt;&lt;contributors&gt;&lt;authors&gt;&lt;author&gt;Goel, Rajeev K&lt;/author&gt;&lt;author&gt;Nelson, Michael A&lt;/author&gt;&lt;/authors&gt;&lt;/contributors&gt;&lt;titles&gt;&lt;title&gt;The Master Settlement Agreement and cigarette tax policy&lt;/title&gt;&lt;secondary-title&gt;Journal of Policy Modeling&lt;/secondary-title&gt;&lt;/titles&gt;&lt;periodical&gt;&lt;full-title&gt;Journal of Policy Modeling&lt;/full-title&gt;&lt;/periodical&gt;&lt;pages&gt;p.431-438&lt;/pages&gt;&lt;volume&gt;29&lt;/volume&gt;&lt;number&gt;3&lt;/number&gt;&lt;dates&gt;&lt;year&gt;2007&lt;/year&gt;&lt;/dates&gt;&lt;isbn&gt;0161-8938&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Goel and Nelson (2007)</w:t>
            </w:r>
            <w:r w:rsidRPr="006B2F60">
              <w:rPr>
                <w:rFonts w:eastAsia="Times New Roman" w:cstheme="minorHAnsi"/>
                <w:color w:val="000000"/>
                <w:sz w:val="16"/>
                <w:szCs w:val="16"/>
                <w:lang w:eastAsia="en-GB"/>
              </w:rPr>
              <w:fldChar w:fldCharType="end"/>
            </w:r>
          </w:p>
        </w:tc>
        <w:tc>
          <w:tcPr>
            <w:tcW w:w="1640" w:type="pct"/>
            <w:shd w:val="clear" w:color="auto" w:fill="auto"/>
            <w:hideMark/>
          </w:tcPr>
          <w:p w14:paraId="7C48F3E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Master Settlement Agreement and Cigarette Tax Policy</w:t>
            </w:r>
          </w:p>
        </w:tc>
        <w:tc>
          <w:tcPr>
            <w:tcW w:w="1095" w:type="pct"/>
            <w:shd w:val="clear" w:color="auto" w:fill="auto"/>
            <w:hideMark/>
          </w:tcPr>
          <w:p w14:paraId="15C243F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Policy Modelling</w:t>
            </w:r>
          </w:p>
        </w:tc>
        <w:tc>
          <w:tcPr>
            <w:tcW w:w="578" w:type="pct"/>
            <w:shd w:val="clear" w:color="auto" w:fill="auto"/>
            <w:hideMark/>
          </w:tcPr>
          <w:p w14:paraId="58B6C44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US</w:t>
            </w:r>
          </w:p>
        </w:tc>
        <w:tc>
          <w:tcPr>
            <w:tcW w:w="1030" w:type="pct"/>
            <w:shd w:val="clear" w:color="auto" w:fill="auto"/>
            <w:hideMark/>
          </w:tcPr>
          <w:p w14:paraId="7694DEA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r>
      <w:tr w:rsidR="00241ACB" w:rsidRPr="006B2F60" w14:paraId="3A26F763" w14:textId="77777777" w:rsidTr="00DE3143">
        <w:trPr>
          <w:trHeight w:val="420"/>
        </w:trPr>
        <w:tc>
          <w:tcPr>
            <w:tcW w:w="657" w:type="pct"/>
            <w:shd w:val="clear" w:color="auto" w:fill="auto"/>
            <w:hideMark/>
          </w:tcPr>
          <w:p w14:paraId="4CE5376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AuthorYear="1"&gt;&lt;Author&gt;Ibrahim&lt;/Author&gt;&lt;Year&gt;2007&lt;/Year&gt;&lt;RecNum&gt;732&lt;/RecNum&gt;&lt;DisplayText&gt;Ibrahim and Kennedy (2007)&lt;/DisplayText&gt;&lt;record&gt;&lt;rec-number&gt;732&lt;/rec-number&gt;&lt;foreign-keys&gt;&lt;key app="EN" db-id="dptp5pfxc5f2t6exvwlx0ve0fp5zwfx0ptw2" timestamp="1633819306"&gt;732&lt;/key&gt;&lt;/foreign-keys&gt;&lt;ref-type name="Journal Article"&gt;17&lt;/ref-type&gt;&lt;contributors&gt;&lt;authors&gt;&lt;author&gt;Ibrahim, R&lt;/author&gt;&lt;author&gt;Kennedy, Damian&lt;/author&gt;&lt;/authors&gt;&lt;/contributors&gt;&lt;titles&gt;&lt;title&gt;Supply chain management program first-and second-order effects model: a new strategic tool&lt;/title&gt;&lt;secondary-title&gt;The International Journal of Advanced Manufacturing Technology&lt;/secondary-title&gt;&lt;/titles&gt;&lt;periodical&gt;&lt;full-title&gt;The International Journal of Advanced Manufacturing Technology&lt;/full-title&gt;&lt;/periodical&gt;&lt;pages&gt;p.201-210&lt;/pages&gt;&lt;volume&gt;34&lt;/volume&gt;&lt;number&gt;1-2&lt;/number&gt;&lt;dates&gt;&lt;year&gt;2007&lt;/year&gt;&lt;/dates&gt;&lt;isbn&gt;0268-3768&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Ibrahim and Kennedy (2007)</w:t>
            </w:r>
            <w:r w:rsidRPr="006B2F60">
              <w:rPr>
                <w:rFonts w:eastAsia="Times New Roman" w:cstheme="minorHAnsi"/>
                <w:color w:val="000000"/>
                <w:sz w:val="16"/>
                <w:szCs w:val="16"/>
                <w:lang w:eastAsia="en-GB"/>
              </w:rPr>
              <w:fldChar w:fldCharType="end"/>
            </w:r>
          </w:p>
        </w:tc>
        <w:tc>
          <w:tcPr>
            <w:tcW w:w="1640" w:type="pct"/>
            <w:shd w:val="clear" w:color="auto" w:fill="auto"/>
            <w:hideMark/>
          </w:tcPr>
          <w:p w14:paraId="108C6D8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Supply Chain Management Program First- and Second-order Effects Model: A New Strategic Tool</w:t>
            </w:r>
          </w:p>
        </w:tc>
        <w:tc>
          <w:tcPr>
            <w:tcW w:w="1095" w:type="pct"/>
            <w:shd w:val="clear" w:color="auto" w:fill="auto"/>
            <w:hideMark/>
          </w:tcPr>
          <w:p w14:paraId="7651889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International Journal of Advanced Manufacturing Technology</w:t>
            </w:r>
          </w:p>
        </w:tc>
        <w:tc>
          <w:tcPr>
            <w:tcW w:w="578" w:type="pct"/>
            <w:shd w:val="clear" w:color="auto" w:fill="auto"/>
            <w:hideMark/>
          </w:tcPr>
          <w:p w14:paraId="30F2C2F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Australia</w:t>
            </w:r>
          </w:p>
        </w:tc>
        <w:tc>
          <w:tcPr>
            <w:tcW w:w="1030" w:type="pct"/>
            <w:shd w:val="clear" w:color="auto" w:fill="auto"/>
            <w:hideMark/>
          </w:tcPr>
          <w:p w14:paraId="6C2DF54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1351 - Clothing Manufacturing</w:t>
            </w:r>
          </w:p>
        </w:tc>
      </w:tr>
      <w:tr w:rsidR="00241ACB" w:rsidRPr="006B2F60" w14:paraId="1239B516" w14:textId="77777777" w:rsidTr="00DE3143">
        <w:trPr>
          <w:trHeight w:val="210"/>
        </w:trPr>
        <w:tc>
          <w:tcPr>
            <w:tcW w:w="657" w:type="pct"/>
            <w:shd w:val="clear" w:color="auto" w:fill="auto"/>
            <w:hideMark/>
          </w:tcPr>
          <w:p w14:paraId="03ED681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AuthorYear="1"&gt;&lt;Author&gt;Khan&lt;/Author&gt;&lt;Year&gt;2007&lt;/Year&gt;&lt;RecNum&gt;710&lt;/RecNum&gt;&lt;DisplayText&gt;Khan (2007)&lt;/DisplayText&gt;&lt;record&gt;&lt;rec-number&gt;710&lt;/rec-number&gt;&lt;foreign-keys&gt;&lt;key app="EN" db-id="dptp5pfxc5f2t6exvwlx0ve0fp5zwfx0ptw2" timestamp="1633814442"&gt;710&lt;/key&gt;&lt;/foreign-keys&gt;&lt;ref-type name="Journal Article"&gt;17&lt;/ref-type&gt;&lt;contributors&gt;&lt;authors&gt;&lt;author&gt;Khan, Feisal&lt;/author&gt;&lt;/authors&gt;&lt;/contributors&gt;&lt;titles&gt;&lt;title&gt;Corruption and the Decline of the State in Pakistan&lt;/title&gt;&lt;secondary-title&gt;Asian Journal of Political Science&lt;/secondary-title&gt;&lt;/titles&gt;&lt;periodical&gt;&lt;full-title&gt;Asian Journal of Political Science&lt;/full-title&gt;&lt;/periodical&gt;&lt;pages&gt;p.219-247&lt;/pages&gt;&lt;volume&gt;15&lt;/volume&gt;&lt;number&gt;2&lt;/number&gt;&lt;dates&gt;&lt;year&gt;2007&lt;/year&gt;&lt;/dates&gt;&lt;isbn&gt;0218-5377&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Khan (2007)</w:t>
            </w:r>
            <w:r w:rsidRPr="006B2F60">
              <w:rPr>
                <w:rFonts w:eastAsia="Times New Roman" w:cstheme="minorHAnsi"/>
                <w:color w:val="000000"/>
                <w:sz w:val="16"/>
                <w:szCs w:val="16"/>
                <w:lang w:eastAsia="en-GB"/>
              </w:rPr>
              <w:fldChar w:fldCharType="end"/>
            </w:r>
          </w:p>
        </w:tc>
        <w:tc>
          <w:tcPr>
            <w:tcW w:w="1640" w:type="pct"/>
            <w:shd w:val="clear" w:color="auto" w:fill="auto"/>
            <w:hideMark/>
          </w:tcPr>
          <w:p w14:paraId="45BFB72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Corruption and the Decline of the State in Pakistan</w:t>
            </w:r>
          </w:p>
        </w:tc>
        <w:tc>
          <w:tcPr>
            <w:tcW w:w="1095" w:type="pct"/>
            <w:shd w:val="clear" w:color="auto" w:fill="auto"/>
            <w:hideMark/>
          </w:tcPr>
          <w:p w14:paraId="66E29A8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Asian Journal of Political Science</w:t>
            </w:r>
          </w:p>
        </w:tc>
        <w:tc>
          <w:tcPr>
            <w:tcW w:w="578" w:type="pct"/>
            <w:shd w:val="clear" w:color="auto" w:fill="auto"/>
            <w:hideMark/>
          </w:tcPr>
          <w:p w14:paraId="1E4FFA5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Pakistan</w:t>
            </w:r>
          </w:p>
        </w:tc>
        <w:tc>
          <w:tcPr>
            <w:tcW w:w="1030" w:type="pct"/>
            <w:shd w:val="clear" w:color="auto" w:fill="auto"/>
            <w:hideMark/>
          </w:tcPr>
          <w:p w14:paraId="7D43199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bl>
    <w:p w14:paraId="4AE4D0F4" w14:textId="77777777" w:rsidR="00241ACB" w:rsidRPr="006B2F60" w:rsidRDefault="00241ACB" w:rsidP="00241ACB">
      <w:pPr>
        <w:rPr>
          <w:rFonts w:cstheme="minorHAnsi"/>
        </w:rPr>
      </w:pPr>
      <w:r w:rsidRPr="006B2F60">
        <w:rPr>
          <w:rFonts w:cstheme="minorHAnsi"/>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4253"/>
        <w:gridCol w:w="2836"/>
        <w:gridCol w:w="1497"/>
        <w:gridCol w:w="2663"/>
      </w:tblGrid>
      <w:tr w:rsidR="00241ACB" w:rsidRPr="006B2F60" w14:paraId="3CB875F2" w14:textId="77777777" w:rsidTr="00DE3143">
        <w:trPr>
          <w:trHeight w:val="210"/>
        </w:trPr>
        <w:tc>
          <w:tcPr>
            <w:tcW w:w="657" w:type="pct"/>
            <w:shd w:val="clear" w:color="auto" w:fill="BFBFBF" w:themeFill="background1" w:themeFillShade="BF"/>
          </w:tcPr>
          <w:p w14:paraId="4730F0D0"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lastRenderedPageBreak/>
              <w:t>Author (S)</w:t>
            </w:r>
          </w:p>
        </w:tc>
        <w:tc>
          <w:tcPr>
            <w:tcW w:w="1640" w:type="pct"/>
            <w:shd w:val="clear" w:color="auto" w:fill="BFBFBF" w:themeFill="background1" w:themeFillShade="BF"/>
          </w:tcPr>
          <w:p w14:paraId="3B93430A"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Title</w:t>
            </w:r>
          </w:p>
        </w:tc>
        <w:tc>
          <w:tcPr>
            <w:tcW w:w="1095" w:type="pct"/>
            <w:shd w:val="clear" w:color="auto" w:fill="BFBFBF" w:themeFill="background1" w:themeFillShade="BF"/>
          </w:tcPr>
          <w:p w14:paraId="1B7FAA8E"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Journal</w:t>
            </w:r>
          </w:p>
        </w:tc>
        <w:tc>
          <w:tcPr>
            <w:tcW w:w="578" w:type="pct"/>
            <w:shd w:val="clear" w:color="auto" w:fill="BFBFBF" w:themeFill="background1" w:themeFillShade="BF"/>
          </w:tcPr>
          <w:p w14:paraId="0BBECDD9"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Country</w:t>
            </w:r>
          </w:p>
        </w:tc>
        <w:tc>
          <w:tcPr>
            <w:tcW w:w="1030" w:type="pct"/>
            <w:shd w:val="clear" w:color="auto" w:fill="BFBFBF" w:themeFill="background1" w:themeFillShade="BF"/>
          </w:tcPr>
          <w:p w14:paraId="31EBC38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Industry Sector (ANZSIC)</w:t>
            </w:r>
          </w:p>
        </w:tc>
      </w:tr>
      <w:tr w:rsidR="00241ACB" w:rsidRPr="006B2F60" w14:paraId="18EB1222" w14:textId="77777777" w:rsidTr="00DE3143">
        <w:trPr>
          <w:trHeight w:val="420"/>
        </w:trPr>
        <w:tc>
          <w:tcPr>
            <w:tcW w:w="657" w:type="pct"/>
            <w:shd w:val="clear" w:color="auto" w:fill="auto"/>
            <w:hideMark/>
          </w:tcPr>
          <w:p w14:paraId="0B919A5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AuthorYear="1"&gt;&lt;Author&gt;Bella&lt;/Author&gt;&lt;Year&gt;2009&lt;/Year&gt;&lt;RecNum&gt;699&lt;/RecNum&gt;&lt;DisplayText&gt;Bella et al. (2009)&lt;/DisplayText&gt;&lt;record&gt;&lt;rec-number&gt;699&lt;/rec-number&gt;&lt;foreign-keys&gt;&lt;key app="EN" db-id="dptp5pfxc5f2t6exvwlx0ve0fp5zwfx0ptw2" timestamp="1633812488"&gt;699&lt;/key&gt;&lt;/foreign-keys&gt;&lt;ref-type name="Journal Article"&gt;17&lt;/ref-type&gt;&lt;contributors&gt;&lt;authors&gt;&lt;author&gt;Bella, MA Bihina&lt;/author&gt;&lt;author&gt;Eloff, Jan HP&lt;/author&gt;&lt;author&gt;Olivier, Martin S&lt;/author&gt;&lt;/authors&gt;&lt;/contributors&gt;&lt;titles&gt;&lt;title&gt;A fraud management system architecture for next-generation networks&lt;/title&gt;&lt;secondary-title&gt;Forensic science international&lt;/secondary-title&gt;&lt;/titles&gt;&lt;periodical&gt;&lt;full-title&gt;Forensic science international&lt;/full-title&gt;&lt;/periodical&gt;&lt;pages&gt;p.51-58&lt;/pages&gt;&lt;volume&gt;185&lt;/volume&gt;&lt;number&gt;3&lt;/number&gt;&lt;dates&gt;&lt;year&gt;2009&lt;/year&gt;&lt;/dates&gt;&lt;isbn&gt;0379-0738&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Bella et al. (2009)</w:t>
            </w:r>
            <w:r w:rsidRPr="006B2F60">
              <w:rPr>
                <w:rFonts w:eastAsia="Times New Roman" w:cstheme="minorHAnsi"/>
                <w:color w:val="000000"/>
                <w:sz w:val="16"/>
                <w:szCs w:val="16"/>
                <w:lang w:eastAsia="en-GB"/>
              </w:rPr>
              <w:fldChar w:fldCharType="end"/>
            </w:r>
          </w:p>
        </w:tc>
        <w:tc>
          <w:tcPr>
            <w:tcW w:w="1640" w:type="pct"/>
            <w:shd w:val="clear" w:color="auto" w:fill="auto"/>
            <w:hideMark/>
          </w:tcPr>
          <w:p w14:paraId="6BDA8B6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 Fraud Management System Architecture for Next-Generation Networks</w:t>
            </w:r>
          </w:p>
        </w:tc>
        <w:tc>
          <w:tcPr>
            <w:tcW w:w="1095" w:type="pct"/>
            <w:shd w:val="clear" w:color="auto" w:fill="auto"/>
            <w:hideMark/>
          </w:tcPr>
          <w:p w14:paraId="3A2347D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Forensic Science International</w:t>
            </w:r>
          </w:p>
        </w:tc>
        <w:tc>
          <w:tcPr>
            <w:tcW w:w="578" w:type="pct"/>
            <w:shd w:val="clear" w:color="auto" w:fill="auto"/>
            <w:hideMark/>
          </w:tcPr>
          <w:p w14:paraId="7688A18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South Africa</w:t>
            </w:r>
          </w:p>
        </w:tc>
        <w:tc>
          <w:tcPr>
            <w:tcW w:w="1030" w:type="pct"/>
            <w:shd w:val="clear" w:color="auto" w:fill="auto"/>
            <w:hideMark/>
          </w:tcPr>
          <w:p w14:paraId="72AAAE3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5802 - Other Telecommunications Network Operation</w:t>
            </w:r>
          </w:p>
        </w:tc>
      </w:tr>
      <w:tr w:rsidR="00241ACB" w:rsidRPr="006B2F60" w14:paraId="30CE1957" w14:textId="77777777" w:rsidTr="00DE3143">
        <w:trPr>
          <w:trHeight w:val="45"/>
        </w:trPr>
        <w:tc>
          <w:tcPr>
            <w:tcW w:w="657" w:type="pct"/>
            <w:shd w:val="clear" w:color="auto" w:fill="auto"/>
            <w:hideMark/>
          </w:tcPr>
          <w:p w14:paraId="0D23703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AuthorYear="1"&gt;&lt;Author&gt;Everhart&lt;/Author&gt;&lt;Year&gt;2009&lt;/Year&gt;&lt;RecNum&gt;711&lt;/RecNum&gt;&lt;DisplayText&gt;Everhart et al. (2009)&lt;/DisplayText&gt;&lt;record&gt;&lt;rec-number&gt;711&lt;/rec-number&gt;&lt;foreign-keys&gt;&lt;key app="EN" db-id="dptp5pfxc5f2t6exvwlx0ve0fp5zwfx0ptw2" timestamp="1633814491"&gt;711&lt;/key&gt;&lt;/foreign-keys&gt;&lt;ref-type name="Journal Article"&gt;17&lt;/ref-type&gt;&lt;contributors&gt;&lt;authors&gt;&lt;author&gt;Everhart, Stephen S&lt;/author&gt;&lt;author&gt;Vazquez, Jorge Martinez-&lt;/author&gt;&lt;author&gt;McNab, Robert M&lt;/author&gt;&lt;/authors&gt;&lt;/contributors&gt;&lt;titles&gt;&lt;title&gt;Corruption, governance, investment and growth in emerging markets&lt;/title&gt;&lt;secondary-title&gt;Applied Economics&lt;/secondary-title&gt;&lt;/titles&gt;&lt;periodical&gt;&lt;full-title&gt;Applied Economics&lt;/full-title&gt;&lt;/periodical&gt;&lt;pages&gt;p.1579-1594&lt;/pages&gt;&lt;volume&gt;41&lt;/volume&gt;&lt;number&gt;13&lt;/number&gt;&lt;dates&gt;&lt;year&gt;2009&lt;/year&gt;&lt;/dates&gt;&lt;isbn&gt;0003-6846&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Everhart et al. (2009)</w:t>
            </w:r>
            <w:r w:rsidRPr="006B2F60">
              <w:rPr>
                <w:rFonts w:eastAsia="Times New Roman" w:cstheme="minorHAnsi"/>
                <w:color w:val="000000"/>
                <w:sz w:val="16"/>
                <w:szCs w:val="16"/>
                <w:lang w:eastAsia="en-GB"/>
              </w:rPr>
              <w:fldChar w:fldCharType="end"/>
            </w:r>
          </w:p>
        </w:tc>
        <w:tc>
          <w:tcPr>
            <w:tcW w:w="1640" w:type="pct"/>
            <w:shd w:val="clear" w:color="auto" w:fill="auto"/>
            <w:hideMark/>
          </w:tcPr>
          <w:p w14:paraId="23944A2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Corruption, Governance, Investment, and Growth in Emerging Markets</w:t>
            </w:r>
          </w:p>
        </w:tc>
        <w:tc>
          <w:tcPr>
            <w:tcW w:w="1095" w:type="pct"/>
            <w:shd w:val="clear" w:color="auto" w:fill="auto"/>
            <w:hideMark/>
          </w:tcPr>
          <w:p w14:paraId="0AEE0DD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Applied Economics</w:t>
            </w:r>
          </w:p>
        </w:tc>
        <w:tc>
          <w:tcPr>
            <w:tcW w:w="578" w:type="pct"/>
            <w:shd w:val="clear" w:color="auto" w:fill="auto"/>
            <w:hideMark/>
          </w:tcPr>
          <w:p w14:paraId="6995D01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Cross-country</w:t>
            </w:r>
          </w:p>
        </w:tc>
        <w:tc>
          <w:tcPr>
            <w:tcW w:w="1030" w:type="pct"/>
            <w:shd w:val="clear" w:color="auto" w:fill="auto"/>
            <w:hideMark/>
          </w:tcPr>
          <w:p w14:paraId="335DCEA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25A786AC" w14:textId="77777777" w:rsidTr="00DE3143">
        <w:trPr>
          <w:trHeight w:val="420"/>
        </w:trPr>
        <w:tc>
          <w:tcPr>
            <w:tcW w:w="657" w:type="pct"/>
            <w:shd w:val="clear" w:color="auto" w:fill="auto"/>
            <w:hideMark/>
          </w:tcPr>
          <w:p w14:paraId="6DAEE05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AuthorYear="1"&gt;&lt;Author&gt;Haley&lt;/Author&gt;&lt;Year&gt;2010&lt;/Year&gt;&lt;RecNum&gt;744&lt;/RecNum&gt;&lt;DisplayText&gt;Haley (2010)&lt;/DisplayText&gt;&lt;record&gt;&lt;rec-number&gt;744&lt;/rec-number&gt;&lt;foreign-keys&gt;&lt;key app="EN" db-id="dptp5pfxc5f2t6exvwlx0ve0fp5zwfx0ptw2" timestamp="1633825826"&gt;744&lt;/key&gt;&lt;/foreign-keys&gt;&lt;ref-type name="Journal Article"&gt;17&lt;/ref-type&gt;&lt;contributors&gt;&lt;authors&gt;&lt;author&gt;Haley, M Ryan&lt;/author&gt;&lt;/authors&gt;&lt;/contributors&gt;&lt;titles&gt;&lt;title&gt;Bounding revenue leakages at scale-bid timber auctions: evidence from Wisconsin state forest auctions&lt;/title&gt;&lt;secondary-title&gt;Empirical Economics&lt;/secondary-title&gt;&lt;/titles&gt;&lt;periodical&gt;&lt;full-title&gt;Empirical Economics&lt;/full-title&gt;&lt;/periodical&gt;&lt;pages&gt;p.427-437&lt;/pages&gt;&lt;volume&gt;39&lt;/volume&gt;&lt;number&gt;2&lt;/number&gt;&lt;dates&gt;&lt;year&gt;2010&lt;/year&gt;&lt;/dates&gt;&lt;isbn&gt;1435-8921&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Haley (2010)</w:t>
            </w:r>
            <w:r w:rsidRPr="006B2F60">
              <w:rPr>
                <w:rFonts w:eastAsia="Times New Roman" w:cstheme="minorHAnsi"/>
                <w:color w:val="000000"/>
                <w:sz w:val="16"/>
                <w:szCs w:val="16"/>
                <w:lang w:eastAsia="en-GB"/>
              </w:rPr>
              <w:fldChar w:fldCharType="end"/>
            </w:r>
          </w:p>
        </w:tc>
        <w:tc>
          <w:tcPr>
            <w:tcW w:w="1640" w:type="pct"/>
            <w:shd w:val="clear" w:color="auto" w:fill="auto"/>
            <w:hideMark/>
          </w:tcPr>
          <w:p w14:paraId="68E068B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Bounding Revenue Leakages at Scale-Bid Timber Auctions: Evidence from Wisconsin State Forest Auctions</w:t>
            </w:r>
          </w:p>
        </w:tc>
        <w:tc>
          <w:tcPr>
            <w:tcW w:w="1095" w:type="pct"/>
            <w:shd w:val="clear" w:color="auto" w:fill="auto"/>
            <w:hideMark/>
          </w:tcPr>
          <w:p w14:paraId="041E979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Empirical Economics</w:t>
            </w:r>
          </w:p>
        </w:tc>
        <w:tc>
          <w:tcPr>
            <w:tcW w:w="578" w:type="pct"/>
            <w:shd w:val="clear" w:color="auto" w:fill="auto"/>
            <w:hideMark/>
          </w:tcPr>
          <w:p w14:paraId="24AA448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US</w:t>
            </w:r>
          </w:p>
        </w:tc>
        <w:tc>
          <w:tcPr>
            <w:tcW w:w="1030" w:type="pct"/>
            <w:shd w:val="clear" w:color="auto" w:fill="auto"/>
            <w:hideMark/>
          </w:tcPr>
          <w:p w14:paraId="33141CF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r>
      <w:tr w:rsidR="00241ACB" w:rsidRPr="006B2F60" w14:paraId="434149AB" w14:textId="77777777" w:rsidTr="00DE3143">
        <w:trPr>
          <w:trHeight w:val="420"/>
        </w:trPr>
        <w:tc>
          <w:tcPr>
            <w:tcW w:w="657" w:type="pct"/>
            <w:shd w:val="clear" w:color="auto" w:fill="auto"/>
            <w:hideMark/>
          </w:tcPr>
          <w:p w14:paraId="26E639A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AuthorYear="1"&gt;&lt;Author&gt;Slemrod&lt;/Author&gt;&lt;Year&gt;2010&lt;/Year&gt;&lt;RecNum&gt;719&lt;/RecNum&gt;&lt;DisplayText&gt;Slemrod (2010)&lt;/DisplayText&gt;&lt;record&gt;&lt;rec-number&gt;719&lt;/rec-number&gt;&lt;foreign-keys&gt;&lt;key app="EN" db-id="dptp5pfxc5f2t6exvwlx0ve0fp5zwfx0ptw2" timestamp="1633815531"&gt;719&lt;/key&gt;&lt;/foreign-keys&gt;&lt;ref-type name="Journal Article"&gt;17&lt;/ref-type&gt;&lt;contributors&gt;&lt;authors&gt;&lt;author&gt;Slemrod, Joel&lt;/author&gt;&lt;/authors&gt;&lt;/contributors&gt;&lt;titles&gt;&lt;title&gt;Location,(Real) location,(Tax) location: An essay on mobility&amp;apos;s place in optimal taxation&lt;/title&gt;&lt;secondary-title&gt;National Tax Journal&lt;/secondary-title&gt;&lt;/titles&gt;&lt;periodical&gt;&lt;full-title&gt;National Tax Journal&lt;/full-title&gt;&lt;/periodical&gt;&lt;pages&gt;p.843-864&lt;/pages&gt;&lt;volume&gt;63&lt;/volume&gt;&lt;number&gt;4&lt;/number&gt;&lt;dates&gt;&lt;year&gt;2010&lt;/year&gt;&lt;/dates&gt;&lt;isbn&gt;0028-0283&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noProof/>
                <w:color w:val="000000"/>
                <w:sz w:val="16"/>
                <w:szCs w:val="16"/>
                <w:lang w:eastAsia="en-GB"/>
              </w:rPr>
              <w:t>Slemrod (2010)</w:t>
            </w:r>
            <w:r w:rsidRPr="006B2F60">
              <w:rPr>
                <w:rFonts w:eastAsia="Times New Roman" w:cstheme="minorHAnsi"/>
                <w:color w:val="000000"/>
                <w:sz w:val="16"/>
                <w:szCs w:val="16"/>
                <w:lang w:eastAsia="en-GB"/>
              </w:rPr>
              <w:fldChar w:fldCharType="end"/>
            </w:r>
          </w:p>
        </w:tc>
        <w:tc>
          <w:tcPr>
            <w:tcW w:w="1640" w:type="pct"/>
            <w:shd w:val="clear" w:color="auto" w:fill="auto"/>
            <w:hideMark/>
          </w:tcPr>
          <w:p w14:paraId="693E3B8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Location, (REAL) Location, (TAX) Location: An Essay on Mobility's Place in Optimal Taxation</w:t>
            </w:r>
          </w:p>
        </w:tc>
        <w:tc>
          <w:tcPr>
            <w:tcW w:w="1095" w:type="pct"/>
            <w:shd w:val="clear" w:color="auto" w:fill="auto"/>
            <w:hideMark/>
          </w:tcPr>
          <w:p w14:paraId="137E293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National Tax Journal</w:t>
            </w:r>
          </w:p>
        </w:tc>
        <w:tc>
          <w:tcPr>
            <w:tcW w:w="578" w:type="pct"/>
            <w:shd w:val="clear" w:color="auto" w:fill="auto"/>
            <w:hideMark/>
          </w:tcPr>
          <w:p w14:paraId="6A00234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US</w:t>
            </w:r>
          </w:p>
        </w:tc>
        <w:tc>
          <w:tcPr>
            <w:tcW w:w="1030" w:type="pct"/>
            <w:shd w:val="clear" w:color="auto" w:fill="auto"/>
            <w:hideMark/>
          </w:tcPr>
          <w:p w14:paraId="2255739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3A8472C8" w14:textId="77777777" w:rsidTr="00DE3143">
        <w:trPr>
          <w:trHeight w:val="354"/>
        </w:trPr>
        <w:tc>
          <w:tcPr>
            <w:tcW w:w="657" w:type="pct"/>
            <w:shd w:val="clear" w:color="auto" w:fill="auto"/>
            <w:hideMark/>
          </w:tcPr>
          <w:p w14:paraId="3AB3F3B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AuthorYear="1"&gt;&lt;Author&gt;Berry&lt;/Author&gt;&lt;Year&gt;2011&lt;/Year&gt;&lt;RecNum&gt;717&lt;/RecNum&gt;&lt;DisplayText&gt;Berry (2011)&lt;/DisplayText&gt;&lt;record&gt;&lt;rec-number&gt;717&lt;/rec-number&gt;&lt;foreign-keys&gt;&lt;key app="EN" db-id="dptp5pfxc5f2t6exvwlx0ve0fp5zwfx0ptw2" timestamp="1633815333"&gt;717&lt;/key&gt;&lt;/foreign-keys&gt;&lt;ref-type name="Journal Article"&gt;17&lt;/ref-type&gt;&lt;contributors&gt;&lt;authors&gt;&lt;author&gt;Berry, Christopher&lt;/author&gt;&lt;/authors&gt;&lt;/contributors&gt;&lt;titles&gt;&lt;title&gt;Horizontal fiscal equalisation and regional development: A view from Western Australia&lt;/title&gt;&lt;secondary-title&gt;Journal of Economic &amp;amp; Social Policy&lt;/secondary-title&gt;&lt;/titles&gt;&lt;periodical&gt;&lt;full-title&gt;Journal of Economic &amp;amp; Social Policy&lt;/full-title&gt;&lt;/periodical&gt;&lt;pages&gt;p.100-119&lt;/pages&gt;&lt;volume&gt;14&lt;/volume&gt;&lt;number&gt;3&lt;/number&gt;&lt;dates&gt;&lt;year&gt;2011&lt;/year&gt;&lt;/dates&gt;&lt;isbn&gt;1325-2224&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Berry (2011)</w:t>
            </w:r>
            <w:r w:rsidRPr="006B2F60">
              <w:rPr>
                <w:rFonts w:eastAsia="Times New Roman" w:cstheme="minorHAnsi"/>
                <w:color w:val="000000"/>
                <w:sz w:val="16"/>
                <w:szCs w:val="16"/>
                <w:lang w:eastAsia="en-GB"/>
              </w:rPr>
              <w:fldChar w:fldCharType="end"/>
            </w:r>
          </w:p>
        </w:tc>
        <w:tc>
          <w:tcPr>
            <w:tcW w:w="1640" w:type="pct"/>
            <w:shd w:val="clear" w:color="auto" w:fill="auto"/>
            <w:hideMark/>
          </w:tcPr>
          <w:p w14:paraId="2499C87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Horizontal Fiscal Equalisation and Regional Development: A View from Western Australia</w:t>
            </w:r>
          </w:p>
        </w:tc>
        <w:tc>
          <w:tcPr>
            <w:tcW w:w="1095" w:type="pct"/>
            <w:shd w:val="clear" w:color="auto" w:fill="auto"/>
            <w:hideMark/>
          </w:tcPr>
          <w:p w14:paraId="3AAB4E6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Economic &amp; Social Policy</w:t>
            </w:r>
          </w:p>
        </w:tc>
        <w:tc>
          <w:tcPr>
            <w:tcW w:w="578" w:type="pct"/>
            <w:shd w:val="clear" w:color="auto" w:fill="auto"/>
            <w:hideMark/>
          </w:tcPr>
          <w:p w14:paraId="58EC67F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Australia</w:t>
            </w:r>
          </w:p>
        </w:tc>
        <w:tc>
          <w:tcPr>
            <w:tcW w:w="1030" w:type="pct"/>
            <w:shd w:val="clear" w:color="auto" w:fill="auto"/>
            <w:hideMark/>
          </w:tcPr>
          <w:p w14:paraId="005E3E3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r>
      <w:tr w:rsidR="00241ACB" w:rsidRPr="006B2F60" w14:paraId="7155F029" w14:textId="77777777" w:rsidTr="00DE3143">
        <w:trPr>
          <w:trHeight w:val="420"/>
        </w:trPr>
        <w:tc>
          <w:tcPr>
            <w:tcW w:w="657" w:type="pct"/>
            <w:shd w:val="clear" w:color="auto" w:fill="auto"/>
            <w:hideMark/>
          </w:tcPr>
          <w:p w14:paraId="0634371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AuthorYear="1"&gt;&lt;Author&gt;Jadhav&lt;/Author&gt;&lt;Year&gt;2011&lt;/Year&gt;&lt;RecNum&gt;740&lt;/RecNum&gt;&lt;DisplayText&gt;Jadhav and Pawar (2011)&lt;/DisplayText&gt;&lt;record&gt;&lt;rec-number&gt;740&lt;/rec-number&gt;&lt;foreign-keys&gt;&lt;key app="EN" db-id="dptp5pfxc5f2t6exvwlx0ve0fp5zwfx0ptw2" timestamp="1633823050"&gt;740&lt;/key&gt;&lt;/foreign-keys&gt;&lt;ref-type name="Journal Article"&gt;17&lt;/ref-type&gt;&lt;contributors&gt;&lt;authors&gt;&lt;author&gt;Jadhav, Rahul J&lt;/author&gt;&lt;author&gt;Pawar, Usharani T&lt;/author&gt;&lt;/authors&gt;&lt;/contributors&gt;&lt;titles&gt;&lt;title&gt;Churn prediction in telecommunication using data mining technology&lt;/title&gt;&lt;secondary-title&gt;International Journal of Advanced Computer Science and Applications&lt;/secondary-title&gt;&lt;/titles&gt;&lt;periodical&gt;&lt;full-title&gt;International Journal of Advanced Computer Science and Applications&lt;/full-title&gt;&lt;/periodical&gt;&lt;pages&gt;p.17-19&lt;/pages&gt;&lt;volume&gt;2&lt;/volume&gt;&lt;number&gt;2&lt;/number&gt;&lt;dates&gt;&lt;year&gt;2011&lt;/year&gt;&lt;/dates&gt;&lt;urls&gt;&lt;/urls&gt;&lt;/record&gt;&lt;/Cite&gt;&lt;/EndNote&gt;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Jadhav and Pawar (2011)</w:t>
            </w:r>
            <w:r w:rsidRPr="006B2F60">
              <w:rPr>
                <w:rFonts w:eastAsia="Times New Roman" w:cstheme="minorHAnsi"/>
                <w:color w:val="000000"/>
                <w:sz w:val="16"/>
                <w:szCs w:val="16"/>
                <w:lang w:eastAsia="en-GB"/>
              </w:rPr>
              <w:fldChar w:fldCharType="end"/>
            </w:r>
          </w:p>
        </w:tc>
        <w:tc>
          <w:tcPr>
            <w:tcW w:w="1640" w:type="pct"/>
            <w:shd w:val="clear" w:color="auto" w:fill="auto"/>
            <w:hideMark/>
          </w:tcPr>
          <w:p w14:paraId="1C32BD8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Churn Prediction in Telecommunication Using Data Mining Technology</w:t>
            </w:r>
          </w:p>
        </w:tc>
        <w:tc>
          <w:tcPr>
            <w:tcW w:w="1095" w:type="pct"/>
            <w:shd w:val="clear" w:color="auto" w:fill="auto"/>
            <w:hideMark/>
          </w:tcPr>
          <w:p w14:paraId="619CEEA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Journal of Advanced Computer Science and Applications</w:t>
            </w:r>
          </w:p>
        </w:tc>
        <w:tc>
          <w:tcPr>
            <w:tcW w:w="578" w:type="pct"/>
            <w:shd w:val="clear" w:color="auto" w:fill="auto"/>
            <w:hideMark/>
          </w:tcPr>
          <w:p w14:paraId="5C7B7E7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India</w:t>
            </w:r>
          </w:p>
        </w:tc>
        <w:tc>
          <w:tcPr>
            <w:tcW w:w="1030" w:type="pct"/>
            <w:shd w:val="clear" w:color="auto" w:fill="auto"/>
            <w:hideMark/>
          </w:tcPr>
          <w:p w14:paraId="08B05FC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5802 - Other Telecommunications Network Operation</w:t>
            </w:r>
          </w:p>
        </w:tc>
      </w:tr>
      <w:tr w:rsidR="00241ACB" w:rsidRPr="006B2F60" w14:paraId="7ADDC868"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0"/>
        </w:trPr>
        <w:tc>
          <w:tcPr>
            <w:tcW w:w="655" w:type="pct"/>
            <w:tcBorders>
              <w:top w:val="single" w:sz="4" w:space="0" w:color="auto"/>
              <w:left w:val="single" w:sz="4" w:space="0" w:color="auto"/>
              <w:bottom w:val="single" w:sz="4" w:space="0" w:color="auto"/>
              <w:right w:val="single" w:sz="4" w:space="0" w:color="auto"/>
            </w:tcBorders>
            <w:shd w:val="clear" w:color="auto" w:fill="auto"/>
            <w:hideMark/>
          </w:tcPr>
          <w:p w14:paraId="08EB439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AuthorYear="1"&gt;&lt;Author&gt;Pan&lt;/Author&gt;&lt;Year&gt;2011&lt;/Year&gt;&lt;RecNum&gt;725&lt;/RecNum&gt;&lt;DisplayText&gt;Pan and Chou (2011)&lt;/DisplayText&gt;&lt;record&gt;&lt;rec-number&gt;725&lt;/rec-number&gt;&lt;foreign-keys&gt;&lt;key app="EN" db-id="dptp5pfxc5f2t6exvwlx0ve0fp5zwfx0ptw2" timestamp="1633818010"&gt;725&lt;/key&gt;&lt;/foreign-keys&gt;&lt;ref-type name="Journal Article"&gt;17&lt;/ref-type&gt;&lt;contributors&gt;&lt;authors&gt;&lt;author&gt;Pan, FC&lt;/author&gt;&lt;author&gt;Chou, Shu-Jyuan&lt;/author&gt;&lt;/authors&gt;&lt;/contributors&gt;&lt;titles&gt;&lt;title&gt;Reducing the charging errors in an hospital emergency department: A PDCA approach&lt;/title&gt;&lt;secondary-title&gt;Scientific Research and Essays&lt;/secondary-title&gt;&lt;/titles&gt;&lt;periodical&gt;&lt;full-title&gt;Scientific Research and Essays&lt;/full-title&gt;&lt;/periodical&gt;&lt;pages&gt;p.463-468&lt;/pages&gt;&lt;volume&gt;6&lt;/volume&gt;&lt;number&gt;2&lt;/number&gt;&lt;dates&gt;&lt;year&gt;2011&lt;/year&gt;&lt;/dates&gt;&lt;isbn&gt;1992-2248&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Pan and Chou (2011)</w:t>
            </w:r>
            <w:r w:rsidRPr="006B2F60">
              <w:rPr>
                <w:rFonts w:eastAsia="Times New Roman" w:cstheme="minorHAnsi"/>
                <w:color w:val="000000"/>
                <w:sz w:val="16"/>
                <w:szCs w:val="16"/>
                <w:lang w:eastAsia="en-GB"/>
              </w:rPr>
              <w:fldChar w:fldCharType="end"/>
            </w:r>
          </w:p>
        </w:tc>
        <w:tc>
          <w:tcPr>
            <w:tcW w:w="1642" w:type="pct"/>
            <w:tcBorders>
              <w:top w:val="single" w:sz="4" w:space="0" w:color="auto"/>
              <w:left w:val="single" w:sz="4" w:space="0" w:color="auto"/>
              <w:bottom w:val="single" w:sz="4" w:space="0" w:color="auto"/>
              <w:right w:val="single" w:sz="4" w:space="0" w:color="auto"/>
            </w:tcBorders>
            <w:shd w:val="clear" w:color="auto" w:fill="auto"/>
            <w:hideMark/>
          </w:tcPr>
          <w:p w14:paraId="448BD01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Reducing The Charging Errors in an Hospital Emergency</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42BAE7F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Scientific Research and Essays</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1761878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Taiwan</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13994AF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8401 - Hospitals (Except Psychiatric Hospitals)</w:t>
            </w:r>
          </w:p>
        </w:tc>
      </w:tr>
      <w:tr w:rsidR="00241ACB" w:rsidRPr="006B2F60" w14:paraId="718BEFBA"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0"/>
        </w:trPr>
        <w:tc>
          <w:tcPr>
            <w:tcW w:w="655" w:type="pct"/>
            <w:tcBorders>
              <w:top w:val="single" w:sz="4" w:space="0" w:color="auto"/>
              <w:left w:val="single" w:sz="4" w:space="0" w:color="auto"/>
              <w:bottom w:val="single" w:sz="4" w:space="0" w:color="auto"/>
              <w:right w:val="single" w:sz="4" w:space="0" w:color="auto"/>
            </w:tcBorders>
            <w:shd w:val="clear" w:color="auto" w:fill="auto"/>
            <w:hideMark/>
          </w:tcPr>
          <w:p w14:paraId="295E467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AuthorYear="1"&gt;&lt;Author&gt;Sri Vanamalla&lt;/Author&gt;&lt;Year&gt;2011&lt;/Year&gt;&lt;RecNum&gt;718&lt;/RecNum&gt;&lt;DisplayText&gt;Sri Vanamalla and Parthasarathy (2011)&lt;/DisplayText&gt;&lt;record&gt;&lt;rec-number&gt;718&lt;/rec-number&gt;&lt;foreign-keys&gt;&lt;key app="EN" db-id="dptp5pfxc5f2t6exvwlx0ve0fp5zwfx0ptw2" timestamp="1633815382"&gt;718&lt;/key&gt;&lt;/foreign-keys&gt;&lt;ref-type name="Journal Article"&gt;17&lt;/ref-type&gt;&lt;contributors&gt;&lt;authors&gt;&lt;author&gt;Sri Vanamalla, V&lt;/author&gt;&lt;author&gt;Parthasarathy, R&lt;/author&gt;&lt;/authors&gt;&lt;/contributors&gt;&lt;titles&gt;&lt;title&gt;Incentive mechanism to control customer buy-down behaviour&lt;/title&gt;&lt;secondary-title&gt;Journal of the Operational Research Society&lt;/secondary-title&gt;&lt;/titles&gt;&lt;periodical&gt;&lt;full-title&gt;Journal of the Operational Research Society&lt;/full-title&gt;&lt;/periodical&gt;&lt;pages&gt;p.1566-1573&lt;/pages&gt;&lt;volume&gt;62&lt;/volume&gt;&lt;number&gt;8&lt;/number&gt;&lt;dates&gt;&lt;year&gt;2011&lt;/year&gt;&lt;/dates&gt;&lt;isbn&gt;0160-5682&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Sri Vanamalla and Parthasarathy (2011)</w:t>
            </w:r>
            <w:r w:rsidRPr="006B2F60">
              <w:rPr>
                <w:rFonts w:eastAsia="Times New Roman" w:cstheme="minorHAnsi"/>
                <w:color w:val="000000"/>
                <w:sz w:val="16"/>
                <w:szCs w:val="16"/>
                <w:lang w:eastAsia="en-GB"/>
              </w:rPr>
              <w:fldChar w:fldCharType="end"/>
            </w:r>
          </w:p>
        </w:tc>
        <w:tc>
          <w:tcPr>
            <w:tcW w:w="1642" w:type="pct"/>
            <w:tcBorders>
              <w:top w:val="single" w:sz="4" w:space="0" w:color="auto"/>
              <w:left w:val="single" w:sz="4" w:space="0" w:color="auto"/>
              <w:bottom w:val="single" w:sz="4" w:space="0" w:color="auto"/>
              <w:right w:val="single" w:sz="4" w:space="0" w:color="auto"/>
            </w:tcBorders>
            <w:shd w:val="clear" w:color="auto" w:fill="auto"/>
            <w:hideMark/>
          </w:tcPr>
          <w:p w14:paraId="20C18F9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Incentive Mechanism to Control Customer Buy-down Behaviour</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3CAF016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the Operational Research Society</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20D4B87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India</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1BB45E2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4900 - Air passenger transport service</w:t>
            </w:r>
          </w:p>
        </w:tc>
      </w:tr>
      <w:tr w:rsidR="00241ACB" w:rsidRPr="006B2F60" w14:paraId="211A905D"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0"/>
        </w:trPr>
        <w:tc>
          <w:tcPr>
            <w:tcW w:w="655" w:type="pct"/>
            <w:tcBorders>
              <w:top w:val="single" w:sz="4" w:space="0" w:color="auto"/>
              <w:left w:val="single" w:sz="4" w:space="0" w:color="auto"/>
              <w:bottom w:val="single" w:sz="4" w:space="0" w:color="auto"/>
              <w:right w:val="single" w:sz="4" w:space="0" w:color="auto"/>
            </w:tcBorders>
            <w:shd w:val="clear" w:color="auto" w:fill="auto"/>
          </w:tcPr>
          <w:p w14:paraId="2078A75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AuthorYear="1"&gt;&lt;Author&gt;Lobato&lt;/Author&gt;&lt;Year&gt;2012&lt;/Year&gt;&lt;RecNum&gt;734&lt;/RecNum&gt;&lt;DisplayText&gt;Lobato and Thomas (2012)&lt;/DisplayText&gt;&lt;record&gt;&lt;rec-number&gt;734&lt;/rec-number&gt;&lt;foreign-keys&gt;&lt;key app="EN" db-id="dptp5pfxc5f2t6exvwlx0ve0fp5zwfx0ptw2" timestamp="1633819414"&gt;734&lt;/key&gt;&lt;/foreign-keys&gt;&lt;ref-type name="Journal Article"&gt;17&lt;/ref-type&gt;&lt;contributors&gt;&lt;authors&gt;&lt;author&gt;Lobato, Ramon&lt;/author&gt;&lt;author&gt;Thomas, Julian&lt;/author&gt;&lt;/authors&gt;&lt;/contributors&gt;&lt;titles&gt;&lt;title&gt;The Business of Anti-Priacy: New Zones of Enterprise in the Copyright Wars&lt;/title&gt;&lt;secondary-title&gt;International Journal of Communication&lt;/secondary-title&gt;&lt;/titles&gt;&lt;periodical&gt;&lt;full-title&gt;International Journal of Communication&lt;/full-title&gt;&lt;/periodical&gt;&lt;pages&gt;p.606–625&lt;/pages&gt;&lt;volume&gt;6&lt;/volume&gt;&lt;dates&gt;&lt;year&gt;2012&lt;/year&gt;&lt;/dates&gt;&lt;isbn&gt;1479732273&lt;/isbn&gt;&lt;urls&gt;&lt;/urls&gt;&lt;/record&gt;&lt;/Cite&gt;&lt;/EndNote&gt;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Lobato and Thomas (2012)</w:t>
            </w:r>
            <w:r w:rsidRPr="006B2F60">
              <w:rPr>
                <w:rFonts w:eastAsia="Times New Roman" w:cstheme="minorHAnsi"/>
                <w:color w:val="000000"/>
                <w:sz w:val="16"/>
                <w:szCs w:val="16"/>
                <w:lang w:eastAsia="en-GB"/>
              </w:rPr>
              <w:fldChar w:fldCharType="end"/>
            </w:r>
          </w:p>
        </w:tc>
        <w:tc>
          <w:tcPr>
            <w:tcW w:w="1642" w:type="pct"/>
            <w:tcBorders>
              <w:top w:val="single" w:sz="4" w:space="0" w:color="auto"/>
              <w:left w:val="single" w:sz="4" w:space="0" w:color="auto"/>
              <w:bottom w:val="single" w:sz="4" w:space="0" w:color="auto"/>
              <w:right w:val="single" w:sz="4" w:space="0" w:color="auto"/>
            </w:tcBorders>
            <w:shd w:val="clear" w:color="auto" w:fill="auto"/>
          </w:tcPr>
          <w:p w14:paraId="4FB75B8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Business of Anti-Piracy: New Zones of Enterprise in the Copyright Wars</w:t>
            </w:r>
          </w:p>
        </w:tc>
        <w:tc>
          <w:tcPr>
            <w:tcW w:w="1095" w:type="pct"/>
            <w:tcBorders>
              <w:top w:val="single" w:sz="4" w:space="0" w:color="auto"/>
              <w:left w:val="single" w:sz="4" w:space="0" w:color="auto"/>
              <w:bottom w:val="single" w:sz="4" w:space="0" w:color="auto"/>
              <w:right w:val="single" w:sz="4" w:space="0" w:color="auto"/>
            </w:tcBorders>
            <w:shd w:val="clear" w:color="auto" w:fill="auto"/>
          </w:tcPr>
          <w:p w14:paraId="483F8EC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Journal of Communication</w:t>
            </w:r>
          </w:p>
        </w:tc>
        <w:tc>
          <w:tcPr>
            <w:tcW w:w="578" w:type="pct"/>
            <w:tcBorders>
              <w:top w:val="single" w:sz="4" w:space="0" w:color="auto"/>
              <w:left w:val="single" w:sz="4" w:space="0" w:color="auto"/>
              <w:bottom w:val="single" w:sz="4" w:space="0" w:color="auto"/>
              <w:right w:val="single" w:sz="4" w:space="0" w:color="auto"/>
            </w:tcBorders>
            <w:shd w:val="clear" w:color="auto" w:fill="auto"/>
          </w:tcPr>
          <w:p w14:paraId="49564E3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Cross-country</w:t>
            </w:r>
          </w:p>
        </w:tc>
        <w:tc>
          <w:tcPr>
            <w:tcW w:w="1030" w:type="pct"/>
            <w:tcBorders>
              <w:top w:val="single" w:sz="4" w:space="0" w:color="auto"/>
              <w:left w:val="single" w:sz="4" w:space="0" w:color="auto"/>
              <w:bottom w:val="single" w:sz="4" w:space="0" w:color="auto"/>
              <w:right w:val="single" w:sz="4" w:space="0" w:color="auto"/>
            </w:tcBorders>
            <w:shd w:val="clear" w:color="auto" w:fill="auto"/>
          </w:tcPr>
          <w:p w14:paraId="0F03D54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5802 - Other Telecommunications Network Operation</w:t>
            </w:r>
          </w:p>
        </w:tc>
      </w:tr>
      <w:tr w:rsidR="00241ACB" w:rsidRPr="006B2F60" w14:paraId="1AABD471"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0"/>
        </w:trPr>
        <w:tc>
          <w:tcPr>
            <w:tcW w:w="655" w:type="pct"/>
            <w:tcBorders>
              <w:top w:val="single" w:sz="4" w:space="0" w:color="auto"/>
              <w:left w:val="single" w:sz="4" w:space="0" w:color="auto"/>
              <w:bottom w:val="single" w:sz="4" w:space="0" w:color="auto"/>
              <w:right w:val="single" w:sz="4" w:space="0" w:color="auto"/>
            </w:tcBorders>
            <w:shd w:val="clear" w:color="auto" w:fill="auto"/>
          </w:tcPr>
          <w:p w14:paraId="13210BC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AuthorYear="1"&gt;&lt;Author&gt;Choudhury&lt;/Author&gt;&lt;Year&gt;2013&lt;/Year&gt;&lt;RecNum&gt;746&lt;/RecNum&gt;&lt;DisplayText&gt;Choudhury and Goswami (2013)&lt;/DisplayText&gt;&lt;record&gt;&lt;rec-number&gt;746&lt;/rec-number&gt;&lt;foreign-keys&gt;&lt;key app="EN" db-id="dptp5pfxc5f2t6exvwlx0ve0fp5zwfx0ptw2" timestamp="1633825965"&gt;746&lt;/key&gt;&lt;/foreign-keys&gt;&lt;ref-type name="Journal Article"&gt;17&lt;/ref-type&gt;&lt;contributors&gt;&lt;authors&gt;&lt;author&gt;Choudhury, Birinchi&lt;/author&gt;&lt;author&gt;Goswami, Chandan&lt;/author&gt;&lt;/authors&gt;&lt;/contributors&gt;&lt;titles&gt;&lt;title&gt;Tourism Revenue Leakage Check&lt;/title&gt;&lt;secondary-title&gt;SCMS Journal of Indian Management&lt;/secondary-title&gt;&lt;/titles&gt;&lt;periodical&gt;&lt;full-title&gt;SCMS Journal of Indian Management&lt;/full-title&gt;&lt;/periodical&gt;&lt;pages&gt;p.55-65&lt;/pages&gt;&lt;volume&gt;10&lt;/volume&gt;&lt;number&gt;1&lt;/number&gt;&lt;dates&gt;&lt;year&gt;2013&lt;/year&gt;&lt;/dates&gt;&lt;isbn&gt;0973-3167&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Choudhury and Goswami (2013)</w:t>
            </w:r>
            <w:r w:rsidRPr="006B2F60">
              <w:rPr>
                <w:rFonts w:eastAsia="Times New Roman" w:cstheme="minorHAnsi"/>
                <w:color w:val="000000"/>
                <w:sz w:val="16"/>
                <w:szCs w:val="16"/>
                <w:lang w:eastAsia="en-GB"/>
              </w:rPr>
              <w:fldChar w:fldCharType="end"/>
            </w:r>
          </w:p>
        </w:tc>
        <w:tc>
          <w:tcPr>
            <w:tcW w:w="1642" w:type="pct"/>
            <w:tcBorders>
              <w:top w:val="single" w:sz="4" w:space="0" w:color="auto"/>
              <w:left w:val="single" w:sz="4" w:space="0" w:color="auto"/>
              <w:bottom w:val="single" w:sz="4" w:space="0" w:color="auto"/>
              <w:right w:val="single" w:sz="4" w:space="0" w:color="auto"/>
            </w:tcBorders>
            <w:shd w:val="clear" w:color="auto" w:fill="auto"/>
          </w:tcPr>
          <w:p w14:paraId="75CD18B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Tourism Revenue Leakage Check</w:t>
            </w:r>
          </w:p>
        </w:tc>
        <w:tc>
          <w:tcPr>
            <w:tcW w:w="1095" w:type="pct"/>
            <w:tcBorders>
              <w:top w:val="single" w:sz="4" w:space="0" w:color="auto"/>
              <w:left w:val="single" w:sz="4" w:space="0" w:color="auto"/>
              <w:bottom w:val="single" w:sz="4" w:space="0" w:color="auto"/>
              <w:right w:val="single" w:sz="4" w:space="0" w:color="auto"/>
            </w:tcBorders>
            <w:shd w:val="clear" w:color="auto" w:fill="auto"/>
          </w:tcPr>
          <w:p w14:paraId="583A45B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SCMS Journal of Indian Management</w:t>
            </w:r>
          </w:p>
        </w:tc>
        <w:tc>
          <w:tcPr>
            <w:tcW w:w="578" w:type="pct"/>
            <w:tcBorders>
              <w:top w:val="single" w:sz="4" w:space="0" w:color="auto"/>
              <w:left w:val="single" w:sz="4" w:space="0" w:color="auto"/>
              <w:bottom w:val="single" w:sz="4" w:space="0" w:color="auto"/>
              <w:right w:val="single" w:sz="4" w:space="0" w:color="auto"/>
            </w:tcBorders>
            <w:shd w:val="clear" w:color="auto" w:fill="auto"/>
          </w:tcPr>
          <w:p w14:paraId="4E91C63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India</w:t>
            </w:r>
          </w:p>
        </w:tc>
        <w:tc>
          <w:tcPr>
            <w:tcW w:w="1030" w:type="pct"/>
            <w:tcBorders>
              <w:top w:val="single" w:sz="4" w:space="0" w:color="auto"/>
              <w:left w:val="single" w:sz="4" w:space="0" w:color="auto"/>
              <w:bottom w:val="single" w:sz="4" w:space="0" w:color="auto"/>
              <w:right w:val="single" w:sz="4" w:space="0" w:color="auto"/>
            </w:tcBorders>
            <w:shd w:val="clear" w:color="auto" w:fill="auto"/>
          </w:tcPr>
          <w:p w14:paraId="496DF70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7220 - Travel Agency and Tour Arrangement Services</w:t>
            </w:r>
          </w:p>
        </w:tc>
      </w:tr>
      <w:tr w:rsidR="00241ACB" w:rsidRPr="006B2F60" w14:paraId="1BB263C9"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0"/>
        </w:trPr>
        <w:tc>
          <w:tcPr>
            <w:tcW w:w="655" w:type="pct"/>
            <w:tcBorders>
              <w:top w:val="single" w:sz="4" w:space="0" w:color="auto"/>
              <w:left w:val="single" w:sz="4" w:space="0" w:color="auto"/>
              <w:bottom w:val="single" w:sz="4" w:space="0" w:color="auto"/>
              <w:right w:val="single" w:sz="4" w:space="0" w:color="auto"/>
            </w:tcBorders>
            <w:shd w:val="clear" w:color="auto" w:fill="auto"/>
            <w:hideMark/>
          </w:tcPr>
          <w:p w14:paraId="4D01AC4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AuthorYear="1"&gt;&lt;Author&gt;Devos&lt;/Author&gt;&lt;Year&gt;2013&lt;/Year&gt;&lt;RecNum&gt;944&lt;/RecNum&gt;&lt;DisplayText&gt;Devos (2013)&lt;/DisplayText&gt;&lt;record&gt;&lt;rec-number&gt;944&lt;/rec-number&gt;&lt;foreign-keys&gt;&lt;key app="EN" db-id="dptp5pfxc5f2t6exvwlx0ve0fp5zwfx0ptw2" timestamp="1706095241"&gt;944&lt;/key&gt;&lt;/foreign-keys&gt;&lt;ref-type name="Journal Article"&gt;17&lt;/ref-type&gt;&lt;contributors&gt;&lt;authors&gt;&lt;author&gt;Devos, Ken&lt;/author&gt;&lt;/authors&gt;&lt;/contributors&gt;&lt;titles&gt;&lt;title&gt;The role of sanctions and other factors in tackling international tax fraud&lt;/title&gt;&lt;secondary-title&gt;Common Law World Review&lt;/secondary-title&gt;&lt;/titles&gt;&lt;periodical&gt;&lt;full-title&gt;Common Law World Review&lt;/full-title&gt;&lt;/periodical&gt;&lt;pages&gt;p.1-22&lt;/pages&gt;&lt;volume&gt;42&lt;/volume&gt;&lt;number&gt;1&lt;/number&gt;&lt;dates&gt;&lt;year&gt;2013&lt;/year&gt;&lt;/dates&gt;&lt;isbn&gt;1473-7795&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Devos (2013)</w:t>
            </w:r>
            <w:r w:rsidRPr="006B2F60">
              <w:rPr>
                <w:rFonts w:eastAsia="Times New Roman" w:cstheme="minorHAnsi"/>
                <w:color w:val="000000"/>
                <w:sz w:val="16"/>
                <w:szCs w:val="16"/>
                <w:lang w:eastAsia="en-GB"/>
              </w:rPr>
              <w:fldChar w:fldCharType="end"/>
            </w:r>
          </w:p>
        </w:tc>
        <w:tc>
          <w:tcPr>
            <w:tcW w:w="1642" w:type="pct"/>
            <w:tcBorders>
              <w:top w:val="single" w:sz="4" w:space="0" w:color="auto"/>
              <w:left w:val="single" w:sz="4" w:space="0" w:color="auto"/>
              <w:bottom w:val="single" w:sz="4" w:space="0" w:color="auto"/>
              <w:right w:val="single" w:sz="4" w:space="0" w:color="auto"/>
            </w:tcBorders>
            <w:shd w:val="clear" w:color="auto" w:fill="auto"/>
            <w:hideMark/>
          </w:tcPr>
          <w:p w14:paraId="543BB0C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Role of Sanctions and Other Factors in Tackling International Tax Fraud</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10F8D17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Common Law World Review</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348813D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Australia</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636E5B5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282E2F4B"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0"/>
        </w:trPr>
        <w:tc>
          <w:tcPr>
            <w:tcW w:w="655" w:type="pct"/>
            <w:tcBorders>
              <w:top w:val="single" w:sz="4" w:space="0" w:color="auto"/>
              <w:left w:val="single" w:sz="4" w:space="0" w:color="auto"/>
              <w:bottom w:val="single" w:sz="4" w:space="0" w:color="auto"/>
              <w:right w:val="single" w:sz="4" w:space="0" w:color="auto"/>
            </w:tcBorders>
            <w:shd w:val="clear" w:color="auto" w:fill="auto"/>
            <w:hideMark/>
          </w:tcPr>
          <w:p w14:paraId="25AAC75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AuthorYear="1"&gt;&lt;Author&gt;Dimakou&lt;/Author&gt;&lt;Year&gt;2013&lt;/Year&gt;&lt;RecNum&gt;721&lt;/RecNum&gt;&lt;DisplayText&gt;Dimakou (2013)&lt;/DisplayText&gt;&lt;record&gt;&lt;rec-number&gt;721&lt;/rec-number&gt;&lt;foreign-keys&gt;&lt;key app="EN" db-id="dptp5pfxc5f2t6exvwlx0ve0fp5zwfx0ptw2" timestamp="1633817679"&gt;721&lt;/key&gt;&lt;/foreign-keys&gt;&lt;ref-type name="Journal Article"&gt;17&lt;/ref-type&gt;&lt;contributors&gt;&lt;authors&gt;&lt;author&gt;Dimakou, Ourania&lt;/author&gt;&lt;/authors&gt;&lt;/contributors&gt;&lt;titles&gt;&lt;title&gt;Monetary and fiscal institutional designs&lt;/title&gt;&lt;secondary-title&gt;Journal of Comparative Economics&lt;/secondary-title&gt;&lt;/titles&gt;&lt;periodical&gt;&lt;full-title&gt;Journal of Comparative Economics&lt;/full-title&gt;&lt;/periodical&gt;&lt;pages&gt;p.1141-1166&lt;/pages&gt;&lt;volume&gt;41&lt;/volume&gt;&lt;number&gt;4&lt;/number&gt;&lt;dates&gt;&lt;year&gt;2013&lt;/year&gt;&lt;/dates&gt;&lt;isbn&gt;0147-5967&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Dimakou (2013)</w:t>
            </w:r>
            <w:r w:rsidRPr="006B2F60">
              <w:rPr>
                <w:rFonts w:eastAsia="Times New Roman" w:cstheme="minorHAnsi"/>
                <w:color w:val="000000"/>
                <w:sz w:val="16"/>
                <w:szCs w:val="16"/>
                <w:lang w:eastAsia="en-GB"/>
              </w:rPr>
              <w:fldChar w:fldCharType="end"/>
            </w:r>
          </w:p>
        </w:tc>
        <w:tc>
          <w:tcPr>
            <w:tcW w:w="1642" w:type="pct"/>
            <w:tcBorders>
              <w:top w:val="single" w:sz="4" w:space="0" w:color="auto"/>
              <w:left w:val="single" w:sz="4" w:space="0" w:color="auto"/>
              <w:bottom w:val="single" w:sz="4" w:space="0" w:color="auto"/>
              <w:right w:val="single" w:sz="4" w:space="0" w:color="auto"/>
            </w:tcBorders>
            <w:shd w:val="clear" w:color="auto" w:fill="auto"/>
            <w:hideMark/>
          </w:tcPr>
          <w:p w14:paraId="23AD829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Monetary and Fiscal Institutional Designs</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527685C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Comparative Economics</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27F64D3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Cross-country</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2EFC82A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20BAF982"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9"/>
        </w:trPr>
        <w:tc>
          <w:tcPr>
            <w:tcW w:w="655" w:type="pct"/>
            <w:tcBorders>
              <w:top w:val="single" w:sz="4" w:space="0" w:color="auto"/>
              <w:left w:val="single" w:sz="4" w:space="0" w:color="auto"/>
              <w:bottom w:val="single" w:sz="4" w:space="0" w:color="auto"/>
              <w:right w:val="single" w:sz="4" w:space="0" w:color="auto"/>
            </w:tcBorders>
            <w:shd w:val="clear" w:color="auto" w:fill="auto"/>
            <w:hideMark/>
          </w:tcPr>
          <w:p w14:paraId="0ED9212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AuthorYear="1"&gt;&lt;Author&gt;Schlenther&lt;/Author&gt;&lt;Year&gt;2013&lt;/Year&gt;&lt;RecNum&gt;743&lt;/RecNum&gt;&lt;DisplayText&gt;Schlenther (2013)&lt;/DisplayText&gt;&lt;record&gt;&lt;rec-number&gt;743&lt;/rec-number&gt;&lt;foreign-keys&gt;&lt;key app="EN" db-id="dptp5pfxc5f2t6exvwlx0ve0fp5zwfx0ptw2" timestamp="1633823419"&gt;743&lt;/key&gt;&lt;/foreign-keys&gt;&lt;ref-type name="Journal Article"&gt;17&lt;/ref-type&gt;&lt;contributors&gt;&lt;authors&gt;&lt;author&gt;Schlenther, Bernd&lt;/author&gt;&lt;/authors&gt;&lt;/contributors&gt;&lt;titles&gt;&lt;title&gt;The taxing business of money laundering: South Africa&lt;/title&gt;&lt;secondary-title&gt;Journal of Money Laundering Control&lt;/secondary-title&gt;&lt;/titles&gt;&lt;periodical&gt;&lt;full-title&gt;Journal of Money Laundering Control&lt;/full-title&gt;&lt;/periodical&gt;&lt;pages&gt;p.126-141&lt;/pages&gt;&lt;volume&gt;16&lt;/volume&gt;&lt;number&gt;2&lt;/number&gt;&lt;dates&gt;&lt;year&gt;2013&lt;/year&gt;&lt;/dates&gt;&lt;isbn&gt;1368-5201&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Schlenther (2013)</w:t>
            </w:r>
            <w:r w:rsidRPr="006B2F60">
              <w:rPr>
                <w:rFonts w:eastAsia="Times New Roman" w:cstheme="minorHAnsi"/>
                <w:color w:val="000000"/>
                <w:sz w:val="16"/>
                <w:szCs w:val="16"/>
                <w:lang w:eastAsia="en-GB"/>
              </w:rPr>
              <w:fldChar w:fldCharType="end"/>
            </w:r>
          </w:p>
        </w:tc>
        <w:tc>
          <w:tcPr>
            <w:tcW w:w="1642" w:type="pct"/>
            <w:tcBorders>
              <w:top w:val="single" w:sz="4" w:space="0" w:color="auto"/>
              <w:left w:val="single" w:sz="4" w:space="0" w:color="auto"/>
              <w:bottom w:val="single" w:sz="4" w:space="0" w:color="auto"/>
              <w:right w:val="single" w:sz="4" w:space="0" w:color="auto"/>
            </w:tcBorders>
            <w:shd w:val="clear" w:color="auto" w:fill="auto"/>
            <w:hideMark/>
          </w:tcPr>
          <w:p w14:paraId="3ADA4F0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Taxing Business of Money Laundering: South Africa</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64179D2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Money Laundering Control</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78F4F5E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South Africa</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688A67B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0CAC7DB9"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3"/>
        </w:trPr>
        <w:tc>
          <w:tcPr>
            <w:tcW w:w="655" w:type="pct"/>
            <w:tcBorders>
              <w:top w:val="single" w:sz="4" w:space="0" w:color="auto"/>
              <w:left w:val="single" w:sz="4" w:space="0" w:color="auto"/>
              <w:bottom w:val="single" w:sz="4" w:space="0" w:color="auto"/>
              <w:right w:val="single" w:sz="4" w:space="0" w:color="auto"/>
            </w:tcBorders>
            <w:shd w:val="clear" w:color="auto" w:fill="auto"/>
            <w:hideMark/>
          </w:tcPr>
          <w:p w14:paraId="4002B20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AuthorYear="1"&gt;&lt;Author&gt;Mohammed&lt;/Author&gt;&lt;Year&gt;2013&lt;/Year&gt;&lt;RecNum&gt;700&lt;/RecNum&gt;&lt;DisplayText&gt;Mohammed and Radcliffe (2013)&lt;/DisplayText&gt;&lt;record&gt;&lt;rec-number&gt;700&lt;/rec-number&gt;&lt;foreign-keys&gt;&lt;key app="EN" db-id="dptp5pfxc5f2t6exvwlx0ve0fp5zwfx0ptw2" timestamp="1633812699"&gt;700&lt;/key&gt;&lt;/foreign-keys&gt;&lt;ref-type name="Journal Article"&gt;17&lt;/ref-type&gt;&lt;contributors&gt;&lt;authors&gt;&lt;author&gt;Mohammed, Hussain&lt;/author&gt;&lt;author&gt;Radcliffe, Peter J&lt;/author&gt;&lt;/authors&gt;&lt;/contributors&gt;&lt;titles&gt;&lt;title&gt;A packet scheduling scheme for 4G wireless access systems aiming to maximize revenue for the telecom carriers&lt;/title&gt;&lt;secondary-title&gt;Telecommunication Systems&lt;/secondary-title&gt;&lt;/titles&gt;&lt;periodical&gt;&lt;full-title&gt;Telecommunication Systems&lt;/full-title&gt;&lt;/periodical&gt;&lt;pages&gt;p.347-366&lt;/pages&gt;&lt;volume&gt;57&lt;/volume&gt;&lt;number&gt;4&lt;/number&gt;&lt;dates&gt;&lt;year&gt;2013&lt;/year&gt;&lt;/dates&gt;&lt;isbn&gt;1572-9451&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Mohammed and Radcliffe (2013)</w:t>
            </w:r>
            <w:r w:rsidRPr="006B2F60">
              <w:rPr>
                <w:rFonts w:eastAsia="Times New Roman" w:cstheme="minorHAnsi"/>
                <w:color w:val="000000"/>
                <w:sz w:val="16"/>
                <w:szCs w:val="16"/>
                <w:lang w:eastAsia="en-GB"/>
              </w:rPr>
              <w:fldChar w:fldCharType="end"/>
            </w:r>
          </w:p>
        </w:tc>
        <w:tc>
          <w:tcPr>
            <w:tcW w:w="1642" w:type="pct"/>
            <w:tcBorders>
              <w:top w:val="single" w:sz="4" w:space="0" w:color="auto"/>
              <w:left w:val="single" w:sz="4" w:space="0" w:color="auto"/>
              <w:bottom w:val="single" w:sz="4" w:space="0" w:color="auto"/>
              <w:right w:val="single" w:sz="4" w:space="0" w:color="auto"/>
            </w:tcBorders>
            <w:shd w:val="clear" w:color="auto" w:fill="auto"/>
            <w:hideMark/>
          </w:tcPr>
          <w:p w14:paraId="4274095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 Packet Scheduling Scheme for 4G Wireless Access Systems Aiming to Maximise Revenue for the Telecom Carriers</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7897FA5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Telecommunication Systems</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796AE4D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Cross-country</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14DA103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5802 - Other Telecommunications Network Operation</w:t>
            </w:r>
          </w:p>
        </w:tc>
      </w:tr>
      <w:tr w:rsidR="00241ACB" w:rsidRPr="006B2F60" w14:paraId="62637131"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0"/>
        </w:trPr>
        <w:tc>
          <w:tcPr>
            <w:tcW w:w="655" w:type="pct"/>
            <w:tcBorders>
              <w:top w:val="single" w:sz="4" w:space="0" w:color="auto"/>
              <w:left w:val="single" w:sz="4" w:space="0" w:color="auto"/>
              <w:bottom w:val="single" w:sz="4" w:space="0" w:color="auto"/>
              <w:right w:val="single" w:sz="4" w:space="0" w:color="auto"/>
            </w:tcBorders>
            <w:shd w:val="clear" w:color="auto" w:fill="auto"/>
            <w:hideMark/>
          </w:tcPr>
          <w:p w14:paraId="505FEC1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AuthorYear="1"&gt;&lt;Author&gt;Mushtaq&lt;/Author&gt;&lt;Year&gt;2014&lt;/Year&gt;&lt;RecNum&gt;728&lt;/RecNum&gt;&lt;DisplayText&gt;Mushtaq and Shahid (2014)&lt;/DisplayText&gt;&lt;record&gt;&lt;rec-number&gt;728&lt;/rec-number&gt;&lt;foreign-keys&gt;&lt;key app="EN" db-id="dptp5pfxc5f2t6exvwlx0ve0fp5zwfx0ptw2" timestamp="1633818947"&gt;728&lt;/key&gt;&lt;/foreign-keys&gt;&lt;ref-type name="Journal Article"&gt;17&lt;/ref-type&gt;&lt;contributors&gt;&lt;authors&gt;&lt;author&gt;Mushtaq, Umar&lt;/author&gt;&lt;author&gt;Shahid, Muhammad Khalil&lt;/author&gt;&lt;/authors&gt;&lt;/contributors&gt;&lt;titles&gt;&lt;title&gt;Optimization of Revenue Assurance and Fraud Management System by designing new KPIs: case PTCL&lt;/title&gt;&lt;secondary-title&gt;International Journal of Computer Applications&lt;/secondary-title&gt;&lt;/titles&gt;&lt;periodical&gt;&lt;full-title&gt;International Journal of Computer Applications&lt;/full-title&gt;&lt;/periodical&gt;&lt;pages&gt;p.8-11&lt;/pages&gt;&lt;volume&gt;89&lt;/volume&gt;&lt;number&gt;8&lt;/number&gt;&lt;dates&gt;&lt;year&gt;2014&lt;/year&gt;&lt;/dates&gt;&lt;urls&gt;&lt;/urls&gt;&lt;/record&gt;&lt;/Cite&gt;&lt;/EndNote&gt;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Mushtaq and Shahid (2014)</w:t>
            </w:r>
            <w:r w:rsidRPr="006B2F60">
              <w:rPr>
                <w:rFonts w:eastAsia="Times New Roman" w:cstheme="minorHAnsi"/>
                <w:color w:val="000000"/>
                <w:sz w:val="16"/>
                <w:szCs w:val="16"/>
                <w:lang w:eastAsia="en-GB"/>
              </w:rPr>
              <w:fldChar w:fldCharType="end"/>
            </w:r>
          </w:p>
        </w:tc>
        <w:tc>
          <w:tcPr>
            <w:tcW w:w="1642" w:type="pct"/>
            <w:tcBorders>
              <w:top w:val="single" w:sz="4" w:space="0" w:color="auto"/>
              <w:left w:val="single" w:sz="4" w:space="0" w:color="auto"/>
              <w:bottom w:val="single" w:sz="4" w:space="0" w:color="auto"/>
              <w:right w:val="single" w:sz="4" w:space="0" w:color="auto"/>
            </w:tcBorders>
            <w:shd w:val="clear" w:color="auto" w:fill="auto"/>
            <w:hideMark/>
          </w:tcPr>
          <w:p w14:paraId="0AF0E59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Optimisation of Revenue Assurance and Fraud Management System by Designing New KPIs: Case PTCL</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56A4339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Journal of Computer Applications</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745BCCA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Pakistan</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00C6B6E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5802 - Other Telecommunications Network Operation</w:t>
            </w:r>
          </w:p>
        </w:tc>
      </w:tr>
      <w:tr w:rsidR="00241ACB" w:rsidRPr="006B2F60" w14:paraId="5BDD1E29"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11"/>
        </w:trPr>
        <w:tc>
          <w:tcPr>
            <w:tcW w:w="655" w:type="pct"/>
            <w:tcBorders>
              <w:top w:val="single" w:sz="4" w:space="0" w:color="auto"/>
              <w:left w:val="single" w:sz="4" w:space="0" w:color="auto"/>
              <w:bottom w:val="single" w:sz="4" w:space="0" w:color="auto"/>
              <w:right w:val="single" w:sz="4" w:space="0" w:color="auto"/>
            </w:tcBorders>
            <w:shd w:val="clear" w:color="auto" w:fill="auto"/>
            <w:hideMark/>
          </w:tcPr>
          <w:p w14:paraId="1BFA444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AuthorYear="1"&gt;&lt;Author&gt;Sargent&lt;/Author&gt;&lt;Year&gt;2014&lt;/Year&gt;&lt;RecNum&gt;733&lt;/RecNum&gt;&lt;DisplayText&gt;Sargent and Holmes (2014)&lt;/DisplayText&gt;&lt;record&gt;&lt;rec-number&gt;733&lt;/rec-number&gt;&lt;foreign-keys&gt;&lt;key app="EN" db-id="dptp5pfxc5f2t6exvwlx0ve0fp5zwfx0ptw2" timestamp="1633819351"&gt;733&lt;/key&gt;&lt;/foreign-keys&gt;&lt;ref-type name="Journal Article"&gt;17&lt;/ref-type&gt;&lt;contributors&gt;&lt;authors&gt;&lt;author&gt;Sargent, Mark&lt;/author&gt;&lt;author&gt;Holmes, Kathryn&lt;/author&gt;&lt;/authors&gt;&lt;/contributors&gt;&lt;titles&gt;&lt;title&gt;The application of a concentration measure in assessing expenditure and tax yield implications of the distribution of Electronic Gaming Machines&lt;/title&gt;&lt;secondary-title&gt;International Gambling Studies&lt;/secondary-title&gt;&lt;/titles&gt;&lt;periodical&gt;&lt;full-title&gt;International Gambling Studies&lt;/full-title&gt;&lt;/periodical&gt;&lt;pages&gt;p.1-14&lt;/pages&gt;&lt;volume&gt;14&lt;/volume&gt;&lt;number&gt;1&lt;/number&gt;&lt;dates&gt;&lt;year&gt;2014&lt;/year&gt;&lt;/dates&gt;&lt;isbn&gt;1445-9795&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Sargent and Holmes (2014)</w:t>
            </w:r>
            <w:r w:rsidRPr="006B2F60">
              <w:rPr>
                <w:rFonts w:eastAsia="Times New Roman" w:cstheme="minorHAnsi"/>
                <w:color w:val="000000"/>
                <w:sz w:val="16"/>
                <w:szCs w:val="16"/>
                <w:lang w:eastAsia="en-GB"/>
              </w:rPr>
              <w:fldChar w:fldCharType="end"/>
            </w:r>
          </w:p>
        </w:tc>
        <w:tc>
          <w:tcPr>
            <w:tcW w:w="1642" w:type="pct"/>
            <w:tcBorders>
              <w:top w:val="single" w:sz="4" w:space="0" w:color="auto"/>
              <w:left w:val="single" w:sz="4" w:space="0" w:color="auto"/>
              <w:bottom w:val="single" w:sz="4" w:space="0" w:color="auto"/>
              <w:right w:val="single" w:sz="4" w:space="0" w:color="auto"/>
            </w:tcBorders>
            <w:shd w:val="clear" w:color="auto" w:fill="auto"/>
            <w:hideMark/>
          </w:tcPr>
          <w:p w14:paraId="6B198D0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Application of a Concentration Measure in Assessing Expenditure and Tax Yield Implications of the Distribution of Electronic Gaming Machines</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4E43A1A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Gambling Studies</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139D5D5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Australia</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1713562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r>
      <w:tr w:rsidR="00241ACB" w:rsidRPr="006B2F60" w14:paraId="1A607797"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0"/>
        </w:trPr>
        <w:tc>
          <w:tcPr>
            <w:tcW w:w="655" w:type="pct"/>
            <w:tcBorders>
              <w:top w:val="single" w:sz="4" w:space="0" w:color="auto"/>
              <w:left w:val="single" w:sz="4" w:space="0" w:color="auto"/>
              <w:bottom w:val="single" w:sz="4" w:space="0" w:color="auto"/>
              <w:right w:val="single" w:sz="4" w:space="0" w:color="auto"/>
            </w:tcBorders>
            <w:shd w:val="clear" w:color="auto" w:fill="auto"/>
            <w:hideMark/>
          </w:tcPr>
          <w:p w14:paraId="4CDAFEB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AuthorYear="1"&gt;&lt;Author&gt;Aslam&lt;/Author&gt;&lt;Year&gt;2015&lt;/Year&gt;&lt;RecNum&gt;730&lt;/RecNum&gt;&lt;DisplayText&gt;Aslam et al. (2015)&lt;/DisplayText&gt;&lt;record&gt;&lt;rec-number&gt;730&lt;/rec-number&gt;&lt;foreign-keys&gt;&lt;key app="EN" db-id="dptp5pfxc5f2t6exvwlx0ve0fp5zwfx0ptw2" timestamp="1633819107"&gt;730&lt;/key&gt;&lt;/foreign-keys&gt;&lt;ref-type name="Journal Article"&gt;17&lt;/ref-type&gt;&lt;contributors&gt;&lt;authors&gt;&lt;author&gt;Aslam, Waleed&lt;/author&gt;&lt;author&gt;Soban, Muhammad&lt;/author&gt;&lt;author&gt;Akhtar, Farwa&lt;/author&gt;&lt;author&gt;Zaffar, Nauman A&lt;/author&gt;&lt;/authors&gt;&lt;/contributors&gt;&lt;titles&gt;&lt;title&gt;Smart meters for industrial energy conservation and efficiency optimization in Pakistan: Scope, technology and applications&lt;/title&gt;&lt;secondary-title&gt;Renewable and Sustainable Energy Reviews&lt;/secondary-title&gt;&lt;/titles&gt;&lt;periodical&gt;&lt;full-title&gt;Renewable and Sustainable Energy Reviews&lt;/full-title&gt;&lt;/periodical&gt;&lt;pages&gt;p.933-943&lt;/pages&gt;&lt;volume&gt;44&lt;/volume&gt;&lt;dates&gt;&lt;year&gt;2015&lt;/year&gt;&lt;/dates&gt;&lt;isbn&gt;1364-0321&lt;/isbn&gt;&lt;urls&gt;&lt;/urls&gt;&lt;/record&gt;&lt;/Cite&gt;&lt;/EndNote&gt;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Aslam et al. (2015)</w:t>
            </w:r>
            <w:r w:rsidRPr="006B2F60">
              <w:rPr>
                <w:rFonts w:eastAsia="Times New Roman" w:cstheme="minorHAnsi"/>
                <w:color w:val="000000"/>
                <w:sz w:val="16"/>
                <w:szCs w:val="16"/>
                <w:lang w:eastAsia="en-GB"/>
              </w:rPr>
              <w:fldChar w:fldCharType="end"/>
            </w:r>
          </w:p>
        </w:tc>
        <w:tc>
          <w:tcPr>
            <w:tcW w:w="1642" w:type="pct"/>
            <w:tcBorders>
              <w:top w:val="single" w:sz="4" w:space="0" w:color="auto"/>
              <w:left w:val="single" w:sz="4" w:space="0" w:color="auto"/>
              <w:bottom w:val="single" w:sz="4" w:space="0" w:color="auto"/>
              <w:right w:val="single" w:sz="4" w:space="0" w:color="auto"/>
            </w:tcBorders>
            <w:shd w:val="clear" w:color="auto" w:fill="auto"/>
            <w:hideMark/>
          </w:tcPr>
          <w:p w14:paraId="086B451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Smart Meters for Industrial Energy Conservation and Efficiency Optimisation in Pakistan: Scope, Technology, and Applications</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1646788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Renewable and Sustainable Energy Reviews</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288B49A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Pakistan</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02949D3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3610 - Electricity Supply</w:t>
            </w:r>
          </w:p>
        </w:tc>
      </w:tr>
    </w:tbl>
    <w:p w14:paraId="01D89435" w14:textId="77777777" w:rsidR="00241ACB" w:rsidRPr="006B2F60" w:rsidRDefault="00241ACB" w:rsidP="00241ACB">
      <w:pPr>
        <w:rPr>
          <w:rFonts w:cstheme="minorHAnsi"/>
        </w:rPr>
      </w:pPr>
      <w:r w:rsidRPr="006B2F60">
        <w:rPr>
          <w:rFonts w:cstheme="minorHAnsi"/>
        </w:rPr>
        <w:br w:type="page"/>
      </w:r>
    </w:p>
    <w:tbl>
      <w:tblPr>
        <w:tblW w:w="5000" w:type="pct"/>
        <w:tblLayout w:type="fixed"/>
        <w:tblLook w:val="04A0" w:firstRow="1" w:lastRow="0" w:firstColumn="1" w:lastColumn="0" w:noHBand="0" w:noVBand="1"/>
      </w:tblPr>
      <w:tblGrid>
        <w:gridCol w:w="1696"/>
        <w:gridCol w:w="39"/>
        <w:gridCol w:w="4214"/>
        <w:gridCol w:w="2836"/>
        <w:gridCol w:w="1497"/>
        <w:gridCol w:w="2668"/>
      </w:tblGrid>
      <w:tr w:rsidR="00241ACB" w:rsidRPr="006B2F60" w14:paraId="09024C31" w14:textId="77777777" w:rsidTr="00DE3143">
        <w:trPr>
          <w:trHeight w:val="280"/>
        </w:trPr>
        <w:tc>
          <w:tcPr>
            <w:tcW w:w="655"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CBA7025"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lastRenderedPageBreak/>
              <w:t>Author (S)</w:t>
            </w:r>
          </w:p>
        </w:tc>
        <w:tc>
          <w:tcPr>
            <w:tcW w:w="1642" w:type="pct"/>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76D32CE"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Title</w:t>
            </w:r>
          </w:p>
        </w:tc>
        <w:tc>
          <w:tcPr>
            <w:tcW w:w="1095"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342E0E0"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Journal</w:t>
            </w:r>
          </w:p>
        </w:tc>
        <w:tc>
          <w:tcPr>
            <w:tcW w:w="578"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7B9DB9F"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Country</w:t>
            </w:r>
          </w:p>
        </w:tc>
        <w:tc>
          <w:tcPr>
            <w:tcW w:w="1030"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02B5255"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Industry Sector (ANZSIC)</w:t>
            </w:r>
          </w:p>
        </w:tc>
      </w:tr>
      <w:tr w:rsidR="00241ACB" w:rsidRPr="006B2F60" w14:paraId="1F064FE5" w14:textId="77777777" w:rsidTr="00DE3143">
        <w:trPr>
          <w:trHeight w:val="420"/>
        </w:trPr>
        <w:tc>
          <w:tcPr>
            <w:tcW w:w="655" w:type="pct"/>
            <w:tcBorders>
              <w:top w:val="single" w:sz="4" w:space="0" w:color="auto"/>
              <w:left w:val="single" w:sz="4" w:space="0" w:color="auto"/>
              <w:bottom w:val="single" w:sz="4" w:space="0" w:color="auto"/>
              <w:right w:val="single" w:sz="4" w:space="0" w:color="auto"/>
            </w:tcBorders>
            <w:shd w:val="clear" w:color="auto" w:fill="auto"/>
            <w:hideMark/>
          </w:tcPr>
          <w:p w14:paraId="3831A7F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AuthorYear="1"&gt;&lt;Author&gt;Mindel&lt;/Author&gt;&lt;Year&gt;2015&lt;/Year&gt;&lt;RecNum&gt;708&lt;/RecNum&gt;&lt;DisplayText&gt;Mindel and Mathiassen (2015)&lt;/DisplayText&gt;&lt;record&gt;&lt;rec-number&gt;708&lt;/rec-number&gt;&lt;foreign-keys&gt;&lt;key app="EN" db-id="dptp5pfxc5f2t6exvwlx0ve0fp5zwfx0ptw2" timestamp="1633814276"&gt;708&lt;/key&gt;&lt;/foreign-keys&gt;&lt;ref-type name="Journal Article"&gt;17&lt;/ref-type&gt;&lt;contributors&gt;&lt;authors&gt;&lt;author&gt;Mindel, Vitali&lt;/author&gt;&lt;author&gt;Mathiassen, Lars&lt;/author&gt;&lt;/authors&gt;&lt;/contributors&gt;&lt;titles&gt;&lt;title&gt;Contextualist inquiry into IT-enabled hospital revenue cycle management: Bridging research and practice&lt;/title&gt;&lt;secondary-title&gt;Journal of the Association for Information Systems&lt;/secondary-title&gt;&lt;/titles&gt;&lt;periodical&gt;&lt;full-title&gt;Journal of the Association for Information Systems&lt;/full-title&gt;&lt;/periodical&gt;&lt;pages&gt;p.1016-1057&lt;/pages&gt;&lt;volume&gt;16&lt;/volume&gt;&lt;number&gt;12&lt;/number&gt;&lt;dates&gt;&lt;year&gt;2015&lt;/year&gt;&lt;/dates&gt;&lt;isbn&gt;1536-9323&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Mindel and Mathiassen (2015)</w:t>
            </w:r>
            <w:r w:rsidRPr="006B2F60">
              <w:rPr>
                <w:rFonts w:eastAsia="Times New Roman" w:cstheme="minorHAnsi"/>
                <w:color w:val="000000"/>
                <w:sz w:val="16"/>
                <w:szCs w:val="16"/>
                <w:lang w:eastAsia="en-GB"/>
              </w:rPr>
              <w:fldChar w:fldCharType="end"/>
            </w:r>
          </w:p>
        </w:tc>
        <w:tc>
          <w:tcPr>
            <w:tcW w:w="1642" w:type="pct"/>
            <w:gridSpan w:val="2"/>
            <w:tcBorders>
              <w:top w:val="single" w:sz="4" w:space="0" w:color="auto"/>
              <w:left w:val="single" w:sz="4" w:space="0" w:color="auto"/>
              <w:bottom w:val="single" w:sz="4" w:space="0" w:color="auto"/>
              <w:right w:val="single" w:sz="4" w:space="0" w:color="auto"/>
            </w:tcBorders>
            <w:shd w:val="clear" w:color="auto" w:fill="auto"/>
            <w:hideMark/>
          </w:tcPr>
          <w:p w14:paraId="6404FF4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Contextualist Inquiry into IT-Enabled Hospital Revenue Cycle Management: Bridging Research and Practice</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2EC307A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the Association for Information Systems</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0B08C9D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US</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6B3302F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8401 - Hospitals (Except Psychiatric Hospitals)</w:t>
            </w:r>
          </w:p>
        </w:tc>
      </w:tr>
      <w:tr w:rsidR="00241ACB" w:rsidRPr="006B2F60" w14:paraId="47729E44" w14:textId="77777777" w:rsidTr="00DE3143">
        <w:trPr>
          <w:trHeight w:val="420"/>
        </w:trPr>
        <w:tc>
          <w:tcPr>
            <w:tcW w:w="655" w:type="pct"/>
            <w:tcBorders>
              <w:top w:val="single" w:sz="4" w:space="0" w:color="auto"/>
              <w:left w:val="single" w:sz="4" w:space="0" w:color="auto"/>
              <w:bottom w:val="single" w:sz="4" w:space="0" w:color="auto"/>
              <w:right w:val="single" w:sz="4" w:space="0" w:color="auto"/>
            </w:tcBorders>
            <w:shd w:val="clear" w:color="auto" w:fill="auto"/>
            <w:hideMark/>
          </w:tcPr>
          <w:p w14:paraId="5033CFA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AuthorYear="1"&gt;&lt;Author&gt;Skålén&lt;/Author&gt;&lt;Year&gt;2015&lt;/Year&gt;&lt;RecNum&gt;715&lt;/RecNum&gt;&lt;DisplayText&gt;Skålén et al. (2015)&lt;/DisplayText&gt;&lt;record&gt;&lt;rec-number&gt;715&lt;/rec-number&gt;&lt;foreign-keys&gt;&lt;key app="EN" db-id="dptp5pfxc5f2t6exvwlx0ve0fp5zwfx0ptw2" timestamp="1633815217"&gt;715&lt;/key&gt;&lt;/foreign-keys&gt;&lt;ref-type name="Journal Article"&gt;17&lt;/ref-type&gt;&lt;contributors&gt;&lt;authors&gt;&lt;author&gt;Skålén, Per&lt;/author&gt;&lt;author&gt;Gummerus, Johanna&lt;/author&gt;&lt;author&gt;Von Koskull, Catharina&lt;/author&gt;&lt;author&gt;Magnusson, Peter R&lt;/author&gt;&lt;/authors&gt;&lt;/contributors&gt;&lt;titles&gt;&lt;title&gt;Exploring value propositions and service innovation: a service-dominant logic study&lt;/title&gt;&lt;secondary-title&gt;Journal of the Academy of Marketing Science&lt;/secondary-title&gt;&lt;/titles&gt;&lt;periodical&gt;&lt;full-title&gt;Journal of the Academy of Marketing Science&lt;/full-title&gt;&lt;/periodical&gt;&lt;pages&gt;p.137-158&lt;/pages&gt;&lt;volume&gt;43&lt;/volume&gt;&lt;number&gt;2&lt;/number&gt;&lt;dates&gt;&lt;year&gt;2015&lt;/year&gt;&lt;/dates&gt;&lt;isbn&gt;0092-0703&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Skålén et al. (2015)</w:t>
            </w:r>
            <w:r w:rsidRPr="006B2F60">
              <w:rPr>
                <w:rFonts w:eastAsia="Times New Roman" w:cstheme="minorHAnsi"/>
                <w:color w:val="000000"/>
                <w:sz w:val="16"/>
                <w:szCs w:val="16"/>
                <w:lang w:eastAsia="en-GB"/>
              </w:rPr>
              <w:fldChar w:fldCharType="end"/>
            </w:r>
          </w:p>
        </w:tc>
        <w:tc>
          <w:tcPr>
            <w:tcW w:w="1642" w:type="pct"/>
            <w:gridSpan w:val="2"/>
            <w:tcBorders>
              <w:top w:val="single" w:sz="4" w:space="0" w:color="auto"/>
              <w:left w:val="single" w:sz="4" w:space="0" w:color="auto"/>
              <w:bottom w:val="single" w:sz="4" w:space="0" w:color="auto"/>
              <w:right w:val="single" w:sz="4" w:space="0" w:color="auto"/>
            </w:tcBorders>
            <w:shd w:val="clear" w:color="auto" w:fill="auto"/>
            <w:hideMark/>
          </w:tcPr>
          <w:p w14:paraId="6EB1C36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Exploring Value Propositions and Service Innovation: A Service-Dominant Logic Study</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34A25E2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the Academy of Marketing Science</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5402AAE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Cross-country</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0563244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6020 - Other Information Services</w:t>
            </w:r>
          </w:p>
        </w:tc>
      </w:tr>
      <w:tr w:rsidR="00241ACB" w:rsidRPr="006B2F60" w14:paraId="3653EB64"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0"/>
        </w:trPr>
        <w:tc>
          <w:tcPr>
            <w:tcW w:w="655" w:type="pct"/>
            <w:shd w:val="clear" w:color="auto" w:fill="auto"/>
            <w:hideMark/>
          </w:tcPr>
          <w:p w14:paraId="132E699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AuthorYear="1"&gt;&lt;Author&gt;Musungwini&lt;/Author&gt;&lt;Year&gt;2016&lt;/Year&gt;&lt;RecNum&gt;723&lt;/RecNum&gt;&lt;DisplayText&gt;Musungwini (2016)&lt;/DisplayText&gt;&lt;record&gt;&lt;rec-number&gt;723&lt;/rec-number&gt;&lt;foreign-keys&gt;&lt;key app="EN" db-id="dptp5pfxc5f2t6exvwlx0ve0fp5zwfx0ptw2" timestamp="1633817878"&gt;723&lt;/key&gt;&lt;/foreign-keys&gt;&lt;ref-type name="Journal Article"&gt;17&lt;/ref-type&gt;&lt;contributors&gt;&lt;authors&gt;&lt;author&gt;Musungwini, Samuel&lt;/author&gt;&lt;/authors&gt;&lt;/contributors&gt;&lt;titles&gt;&lt;title&gt;A framework for monitoring electricity theft in Zimbabwe using mobile technologies&lt;/title&gt;&lt;secondary-title&gt;Journal of Systems Integration&lt;/secondary-title&gt;&lt;/titles&gt;&lt;periodical&gt;&lt;full-title&gt;Journal of Systems Integration&lt;/full-title&gt;&lt;/periodical&gt;&lt;pages&gt;p.54-65&lt;/pages&gt;&lt;volume&gt;7&lt;/volume&gt;&lt;number&gt;3&lt;/number&gt;&lt;dates&gt;&lt;year&gt;2016&lt;/year&gt;&lt;/dates&gt;&lt;isbn&gt;1804-2724&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Musungwini (2016)</w:t>
            </w:r>
            <w:r w:rsidRPr="006B2F60">
              <w:rPr>
                <w:rFonts w:eastAsia="Times New Roman" w:cstheme="minorHAnsi"/>
                <w:color w:val="000000"/>
                <w:sz w:val="16"/>
                <w:szCs w:val="16"/>
                <w:lang w:eastAsia="en-GB"/>
              </w:rPr>
              <w:fldChar w:fldCharType="end"/>
            </w:r>
          </w:p>
        </w:tc>
        <w:tc>
          <w:tcPr>
            <w:tcW w:w="1642" w:type="pct"/>
            <w:gridSpan w:val="2"/>
            <w:shd w:val="clear" w:color="auto" w:fill="auto"/>
            <w:hideMark/>
          </w:tcPr>
          <w:p w14:paraId="7695023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 Framework for Monitoring Electricity Theft in Zimbabwe Using Mobile Technologies</w:t>
            </w:r>
          </w:p>
        </w:tc>
        <w:tc>
          <w:tcPr>
            <w:tcW w:w="1095" w:type="pct"/>
            <w:shd w:val="clear" w:color="auto" w:fill="auto"/>
            <w:hideMark/>
          </w:tcPr>
          <w:p w14:paraId="4D82112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Systems Integration</w:t>
            </w:r>
          </w:p>
        </w:tc>
        <w:tc>
          <w:tcPr>
            <w:tcW w:w="578" w:type="pct"/>
            <w:shd w:val="clear" w:color="auto" w:fill="auto"/>
            <w:hideMark/>
          </w:tcPr>
          <w:p w14:paraId="11D9E37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Zimbabwe</w:t>
            </w:r>
          </w:p>
        </w:tc>
        <w:tc>
          <w:tcPr>
            <w:tcW w:w="1030" w:type="pct"/>
            <w:shd w:val="clear" w:color="auto" w:fill="auto"/>
            <w:hideMark/>
          </w:tcPr>
          <w:p w14:paraId="6EF7DFD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3610 - Electricity Supply</w:t>
            </w:r>
          </w:p>
        </w:tc>
      </w:tr>
      <w:tr w:rsidR="00241ACB" w:rsidRPr="006B2F60" w14:paraId="7F1130D6"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1"/>
        </w:trPr>
        <w:tc>
          <w:tcPr>
            <w:tcW w:w="655" w:type="pct"/>
            <w:shd w:val="clear" w:color="auto" w:fill="auto"/>
            <w:hideMark/>
          </w:tcPr>
          <w:p w14:paraId="4C7A278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AuthorYear="1"&gt;&lt;Author&gt;Nicholson&lt;/Author&gt;&lt;Year&gt;2016&lt;/Year&gt;&lt;RecNum&gt;707&lt;/RecNum&gt;&lt;DisplayText&gt;Nicholson et al. (2016)&lt;/DisplayText&gt;&lt;record&gt;&lt;rec-number&gt;707&lt;/rec-number&gt;&lt;foreign-keys&gt;&lt;key app="EN" db-id="dptp5pfxc5f2t6exvwlx0ve0fp5zwfx0ptw2" timestamp="1633814149"&gt;707&lt;/key&gt;&lt;/foreign-keys&gt;&lt;ref-type name="Journal Article"&gt;17&lt;/ref-type&gt;&lt;contributors&gt;&lt;authors&gt;&lt;author&gt;Nicholson, Andrew&lt;/author&gt;&lt;author&gt;Turner, Tracy M&lt;/author&gt;&lt;author&gt;Alvarado, Eduardo&lt;/author&gt;&lt;/authors&gt;&lt;/contributors&gt;&lt;titles&gt;&lt;title&gt;Cigarette taxes and cross-border revenue effects: Evidence using retail data&lt;/title&gt;&lt;secondary-title&gt;Public Finance Review&lt;/secondary-title&gt;&lt;/titles&gt;&lt;periodical&gt;&lt;full-title&gt;Public Finance Review&lt;/full-title&gt;&lt;/periodical&gt;&lt;pages&gt;p.311-343&lt;/pages&gt;&lt;volume&gt;44&lt;/volume&gt;&lt;number&gt;3&lt;/number&gt;&lt;dates&gt;&lt;year&gt;2016&lt;/year&gt;&lt;/dates&gt;&lt;isbn&gt;1091-1421&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Nicholson et al. (2016)</w:t>
            </w:r>
            <w:r w:rsidRPr="006B2F60">
              <w:rPr>
                <w:rFonts w:eastAsia="Times New Roman" w:cstheme="minorHAnsi"/>
                <w:color w:val="000000"/>
                <w:sz w:val="16"/>
                <w:szCs w:val="16"/>
                <w:lang w:eastAsia="en-GB"/>
              </w:rPr>
              <w:fldChar w:fldCharType="end"/>
            </w:r>
          </w:p>
        </w:tc>
        <w:tc>
          <w:tcPr>
            <w:tcW w:w="1642" w:type="pct"/>
            <w:gridSpan w:val="2"/>
            <w:shd w:val="clear" w:color="auto" w:fill="auto"/>
            <w:hideMark/>
          </w:tcPr>
          <w:p w14:paraId="054B5BD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Cigarette Taxes and Cross-Border Revenue Effects: Evidence Using Retail Data</w:t>
            </w:r>
          </w:p>
        </w:tc>
        <w:tc>
          <w:tcPr>
            <w:tcW w:w="1095" w:type="pct"/>
            <w:shd w:val="clear" w:color="auto" w:fill="auto"/>
            <w:hideMark/>
          </w:tcPr>
          <w:p w14:paraId="370EC28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Public Finance Review</w:t>
            </w:r>
          </w:p>
        </w:tc>
        <w:tc>
          <w:tcPr>
            <w:tcW w:w="578" w:type="pct"/>
            <w:shd w:val="clear" w:color="auto" w:fill="auto"/>
            <w:hideMark/>
          </w:tcPr>
          <w:p w14:paraId="4C49D88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US</w:t>
            </w:r>
          </w:p>
        </w:tc>
        <w:tc>
          <w:tcPr>
            <w:tcW w:w="1030" w:type="pct"/>
            <w:shd w:val="clear" w:color="auto" w:fill="auto"/>
            <w:hideMark/>
          </w:tcPr>
          <w:p w14:paraId="4804E6A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r>
      <w:tr w:rsidR="00241ACB" w:rsidRPr="006B2F60" w14:paraId="735275F9"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0"/>
        </w:trPr>
        <w:tc>
          <w:tcPr>
            <w:tcW w:w="655" w:type="pct"/>
            <w:shd w:val="clear" w:color="auto" w:fill="auto"/>
            <w:hideMark/>
          </w:tcPr>
          <w:p w14:paraId="518B8D5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AuthorYear="1"&gt;&lt;Author&gt;Piracha&lt;/Author&gt;&lt;Year&gt;2016&lt;/Year&gt;&lt;RecNum&gt;729&lt;/RecNum&gt;&lt;DisplayText&gt;Piracha and Moore (2016)&lt;/DisplayText&gt;&lt;record&gt;&lt;rec-number&gt;729&lt;/rec-number&gt;&lt;foreign-keys&gt;&lt;key app="EN" db-id="dptp5pfxc5f2t6exvwlx0ve0fp5zwfx0ptw2" timestamp="1633819042"&gt;729&lt;/key&gt;&lt;/foreign-keys&gt;&lt;ref-type name="Journal Article"&gt;17&lt;/ref-type&gt;&lt;contributors&gt;&lt;authors&gt;&lt;author&gt;Piracha, Mujtaba&lt;/author&gt;&lt;author&gt;Moore, Mick&lt;/author&gt;&lt;/authors&gt;&lt;/contributors&gt;&lt;titles&gt;&lt;title&gt;Revenue-maximising or revenue-sacrificing government? Property tax in Pakistan&lt;/title&gt;&lt;secondary-title&gt;The Journal of Development Studies&lt;/secondary-title&gt;&lt;/titles&gt;&lt;periodical&gt;&lt;full-title&gt;The Journal of Development Studies&lt;/full-title&gt;&lt;/periodical&gt;&lt;pages&gt;p.1776-1790&lt;/pages&gt;&lt;volume&gt;52&lt;/volume&gt;&lt;number&gt;12&lt;/number&gt;&lt;dates&gt;&lt;year&gt;2016&lt;/year&gt;&lt;/dates&gt;&lt;isbn&gt;0022-0388&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Piracha and Moore (2016)</w:t>
            </w:r>
            <w:r w:rsidRPr="006B2F60">
              <w:rPr>
                <w:rFonts w:eastAsia="Times New Roman" w:cstheme="minorHAnsi"/>
                <w:color w:val="000000"/>
                <w:sz w:val="16"/>
                <w:szCs w:val="16"/>
                <w:lang w:eastAsia="en-GB"/>
              </w:rPr>
              <w:fldChar w:fldCharType="end"/>
            </w:r>
          </w:p>
        </w:tc>
        <w:tc>
          <w:tcPr>
            <w:tcW w:w="1642" w:type="pct"/>
            <w:gridSpan w:val="2"/>
            <w:shd w:val="clear" w:color="auto" w:fill="auto"/>
            <w:hideMark/>
          </w:tcPr>
          <w:p w14:paraId="71B9DF0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Revenue-Maximising or Revenue-Sacrificing Government? Property Tax in Pakistan</w:t>
            </w:r>
          </w:p>
        </w:tc>
        <w:tc>
          <w:tcPr>
            <w:tcW w:w="1095" w:type="pct"/>
            <w:shd w:val="clear" w:color="auto" w:fill="auto"/>
            <w:hideMark/>
          </w:tcPr>
          <w:p w14:paraId="02ACFD2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Journal of Development Studies</w:t>
            </w:r>
          </w:p>
        </w:tc>
        <w:tc>
          <w:tcPr>
            <w:tcW w:w="578" w:type="pct"/>
            <w:shd w:val="clear" w:color="auto" w:fill="auto"/>
            <w:hideMark/>
          </w:tcPr>
          <w:p w14:paraId="4177DE3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Pakistan</w:t>
            </w:r>
          </w:p>
        </w:tc>
        <w:tc>
          <w:tcPr>
            <w:tcW w:w="1030" w:type="pct"/>
            <w:shd w:val="clear" w:color="auto" w:fill="auto"/>
            <w:hideMark/>
          </w:tcPr>
          <w:p w14:paraId="2E93B34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r>
      <w:tr w:rsidR="00241ACB" w:rsidRPr="006B2F60" w14:paraId="4D6D24F1"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30"/>
        </w:trPr>
        <w:tc>
          <w:tcPr>
            <w:tcW w:w="655" w:type="pct"/>
            <w:shd w:val="clear" w:color="auto" w:fill="auto"/>
            <w:hideMark/>
          </w:tcPr>
          <w:p w14:paraId="3D84CBF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AuthorYear="1"&gt;&lt;Author&gt;Yeboah</w:instrText>
            </w:r>
            <w:r w:rsidRPr="006B2F60">
              <w:rPr>
                <w:rFonts w:ascii="Cambria Math" w:eastAsia="Times New Roman" w:hAnsi="Cambria Math" w:cs="Cambria Math"/>
                <w:color w:val="000000"/>
                <w:sz w:val="16"/>
                <w:szCs w:val="16"/>
                <w:lang w:eastAsia="en-GB"/>
              </w:rPr>
              <w:instrText>‐</w:instrText>
            </w:r>
            <w:r w:rsidRPr="006B2F60">
              <w:rPr>
                <w:rFonts w:eastAsia="Times New Roman" w:cstheme="minorHAnsi"/>
                <w:color w:val="000000"/>
                <w:sz w:val="16"/>
                <w:szCs w:val="16"/>
                <w:lang w:eastAsia="en-GB"/>
              </w:rPr>
              <w:instrText>Assiamah&lt;/Author&gt;&lt;Year&gt;2016&lt;/Year&gt;&lt;RecNum&gt;735&lt;/RecNum&gt;&lt;DisplayText&gt;Yeboah</w:instrText>
            </w:r>
            <w:r w:rsidRPr="006B2F60">
              <w:rPr>
                <w:rFonts w:ascii="Cambria Math" w:eastAsia="Times New Roman" w:hAnsi="Cambria Math" w:cs="Cambria Math"/>
                <w:color w:val="000000"/>
                <w:sz w:val="16"/>
                <w:szCs w:val="16"/>
                <w:lang w:eastAsia="en-GB"/>
              </w:rPr>
              <w:instrText>‐</w:instrText>
            </w:r>
            <w:r w:rsidRPr="006B2F60">
              <w:rPr>
                <w:rFonts w:eastAsia="Times New Roman" w:cstheme="minorHAnsi"/>
                <w:color w:val="000000"/>
                <w:sz w:val="16"/>
                <w:szCs w:val="16"/>
                <w:lang w:eastAsia="en-GB"/>
              </w:rPr>
              <w:instrText>Assiamah and Alesu</w:instrText>
            </w:r>
            <w:r w:rsidRPr="006B2F60">
              <w:rPr>
                <w:rFonts w:ascii="Cambria Math" w:eastAsia="Times New Roman" w:hAnsi="Cambria Math" w:cs="Cambria Math"/>
                <w:color w:val="000000"/>
                <w:sz w:val="16"/>
                <w:szCs w:val="16"/>
                <w:lang w:eastAsia="en-GB"/>
              </w:rPr>
              <w:instrText>‐</w:instrText>
            </w:r>
            <w:r w:rsidRPr="006B2F60">
              <w:rPr>
                <w:rFonts w:eastAsia="Times New Roman" w:cstheme="minorHAnsi"/>
                <w:color w:val="000000"/>
                <w:sz w:val="16"/>
                <w:szCs w:val="16"/>
                <w:lang w:eastAsia="en-GB"/>
              </w:rPr>
              <w:instrText>Dordzi (2016)&lt;/DisplayText&gt;&lt;record&gt;&lt;rec-number&gt;735&lt;/rec-number&gt;&lt;foreign-keys&gt;&lt;key app="EN" db-id="dptp5pfxc5f2t6exvwlx0ve0fp5zwfx0ptw2" timestamp="1633819481"&gt;735&lt;/key&gt;&lt;/foreign-keys&gt;&lt;ref-type name="Journal Article"&gt;17&lt;/ref-type&gt;&lt;contributors&gt;&lt;authors&gt;&lt;author&gt;Yeboah</w:instrText>
            </w:r>
            <w:r w:rsidRPr="006B2F60">
              <w:rPr>
                <w:rFonts w:ascii="Cambria Math" w:eastAsia="Times New Roman" w:hAnsi="Cambria Math" w:cs="Cambria Math"/>
                <w:color w:val="000000"/>
                <w:sz w:val="16"/>
                <w:szCs w:val="16"/>
                <w:lang w:eastAsia="en-GB"/>
              </w:rPr>
              <w:instrText>‐</w:instrText>
            </w:r>
            <w:r w:rsidRPr="006B2F60">
              <w:rPr>
                <w:rFonts w:eastAsia="Times New Roman" w:cstheme="minorHAnsi"/>
                <w:color w:val="000000"/>
                <w:sz w:val="16"/>
                <w:szCs w:val="16"/>
                <w:lang w:eastAsia="en-GB"/>
              </w:rPr>
              <w:instrText>Assiamah, Emmanuel&lt;/author&gt;&lt;author&gt;Alesu</w:instrText>
            </w:r>
            <w:r w:rsidRPr="006B2F60">
              <w:rPr>
                <w:rFonts w:ascii="Cambria Math" w:eastAsia="Times New Roman" w:hAnsi="Cambria Math" w:cs="Cambria Math"/>
                <w:color w:val="000000"/>
                <w:sz w:val="16"/>
                <w:szCs w:val="16"/>
                <w:lang w:eastAsia="en-GB"/>
              </w:rPr>
              <w:instrText>‐</w:instrText>
            </w:r>
            <w:r w:rsidRPr="006B2F60">
              <w:rPr>
                <w:rFonts w:eastAsia="Times New Roman" w:cstheme="minorHAnsi"/>
                <w:color w:val="000000"/>
                <w:sz w:val="16"/>
                <w:szCs w:val="16"/>
                <w:lang w:eastAsia="en-GB"/>
              </w:rPr>
              <w:instrText>Dordzi, Samuel&lt;/author&gt;&lt;/authors&gt;&lt;/contributors&gt;&lt;titles&gt;&lt;title&gt;The calculus of corruption: a paradox of ‘strong’corruption amidst ‘strong’systems and institutions in developing administrative systems&lt;/title&gt;&lt;secondary-title&gt;Journal of Public Affairs&lt;/secondary-title&gt;&lt;/titles&gt;&lt;periodical&gt;&lt;full-title&gt;Journal of Public Affairs&lt;/full-title&gt;&lt;/periodical&gt;&lt;pages&gt;p.203-216&lt;/pages&gt;&lt;volume&gt;16&lt;/volume&gt;&lt;number&gt;2&lt;/number&gt;&lt;dates&gt;&lt;year&gt;2016&lt;/year&gt;&lt;/dates&gt;&lt;isbn&gt;1472-3891&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Yeboah</w:t>
            </w:r>
            <w:r w:rsidRPr="006B2F60">
              <w:rPr>
                <w:rFonts w:ascii="Cambria Math" w:eastAsia="Times New Roman" w:hAnsi="Cambria Math" w:cs="Cambria Math"/>
                <w:color w:val="000000"/>
                <w:sz w:val="16"/>
                <w:szCs w:val="16"/>
                <w:lang w:eastAsia="en-GB"/>
              </w:rPr>
              <w:t>‐</w:t>
            </w:r>
            <w:r w:rsidRPr="006B2F60">
              <w:rPr>
                <w:rFonts w:eastAsia="Times New Roman" w:cstheme="minorHAnsi"/>
                <w:color w:val="000000"/>
                <w:sz w:val="16"/>
                <w:szCs w:val="16"/>
                <w:lang w:eastAsia="en-GB"/>
              </w:rPr>
              <w:t>Assiamah and Alesu</w:t>
            </w:r>
            <w:r w:rsidRPr="006B2F60">
              <w:rPr>
                <w:rFonts w:ascii="Cambria Math" w:eastAsia="Times New Roman" w:hAnsi="Cambria Math" w:cs="Cambria Math"/>
                <w:color w:val="000000"/>
                <w:sz w:val="16"/>
                <w:szCs w:val="16"/>
                <w:lang w:eastAsia="en-GB"/>
              </w:rPr>
              <w:t>‐</w:t>
            </w:r>
            <w:r w:rsidRPr="006B2F60">
              <w:rPr>
                <w:rFonts w:eastAsia="Times New Roman" w:cstheme="minorHAnsi"/>
                <w:color w:val="000000"/>
                <w:sz w:val="16"/>
                <w:szCs w:val="16"/>
                <w:lang w:eastAsia="en-GB"/>
              </w:rPr>
              <w:t>Dordzi (2016)</w:t>
            </w:r>
            <w:r w:rsidRPr="006B2F60">
              <w:rPr>
                <w:rFonts w:eastAsia="Times New Roman" w:cstheme="minorHAnsi"/>
                <w:color w:val="000000"/>
                <w:sz w:val="16"/>
                <w:szCs w:val="16"/>
                <w:lang w:eastAsia="en-GB"/>
              </w:rPr>
              <w:fldChar w:fldCharType="end"/>
            </w:r>
          </w:p>
        </w:tc>
        <w:tc>
          <w:tcPr>
            <w:tcW w:w="1642" w:type="pct"/>
            <w:gridSpan w:val="2"/>
            <w:shd w:val="clear" w:color="auto" w:fill="auto"/>
            <w:hideMark/>
          </w:tcPr>
          <w:p w14:paraId="2A919BF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Calculus of Corruption: A Paradox of ‘Strong’ Corruption Amidst ‘Strong’ Systems and Institutions in Developing Administrative Systems</w:t>
            </w:r>
          </w:p>
        </w:tc>
        <w:tc>
          <w:tcPr>
            <w:tcW w:w="1095" w:type="pct"/>
            <w:shd w:val="clear" w:color="auto" w:fill="auto"/>
            <w:hideMark/>
          </w:tcPr>
          <w:p w14:paraId="2F195FB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Public Affairs</w:t>
            </w:r>
          </w:p>
        </w:tc>
        <w:tc>
          <w:tcPr>
            <w:tcW w:w="578" w:type="pct"/>
            <w:shd w:val="clear" w:color="auto" w:fill="auto"/>
            <w:hideMark/>
          </w:tcPr>
          <w:p w14:paraId="7B7AF66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Ghana</w:t>
            </w:r>
          </w:p>
        </w:tc>
        <w:tc>
          <w:tcPr>
            <w:tcW w:w="1030" w:type="pct"/>
            <w:shd w:val="clear" w:color="auto" w:fill="auto"/>
            <w:hideMark/>
          </w:tcPr>
          <w:p w14:paraId="374AD8D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16A30AC4"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0"/>
        </w:trPr>
        <w:tc>
          <w:tcPr>
            <w:tcW w:w="655" w:type="pct"/>
            <w:shd w:val="clear" w:color="auto" w:fill="auto"/>
            <w:hideMark/>
          </w:tcPr>
          <w:p w14:paraId="6F2F08E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AuthorYear="1"&gt;&lt;Author&gt;Yauri&lt;/Author&gt;&lt;Year&gt;2016&lt;/Year&gt;&lt;RecNum&gt;959&lt;/RecNum&gt;&lt;DisplayText&gt;Yauri and Yauri (2016)&lt;/DisplayText&gt;&lt;record&gt;&lt;rec-number&gt;959&lt;/rec-number&gt;&lt;foreign-keys&gt;&lt;key app="EN" db-id="dptp5pfxc5f2t6exvwlx0ve0fp5zwfx0ptw2" timestamp="1706145340"&gt;959&lt;/key&gt;&lt;/foreign-keys&gt;&lt;ref-type name="Journal Article"&gt;17&lt;/ref-type&gt;&lt;contributors&gt;&lt;authors&gt;&lt;author&gt;Yauri, Bashir A&lt;/author&gt;&lt;author&gt;Yauri, Aliyu R&lt;/author&gt;&lt;/authors&gt;&lt;/contributors&gt;&lt;titles&gt;&lt;title&gt;E-Service and the Nigerian Banking Sector: A Review of ATM Architecture and Operations&lt;/title&gt;&lt;secondary-title&gt;International Journal of Business, Human and Social Sciences&lt;/secondary-title&gt;&lt;/titles&gt;&lt;periodical&gt;&lt;full-title&gt;International Journal of Business, Human and Social Sciences&lt;/full-title&gt;&lt;/periodical&gt;&lt;pages&gt;p.10-12&lt;/pages&gt;&lt;volume&gt;10&lt;/volume&gt;&lt;number&gt;1&lt;/number&gt;&lt;dates&gt;&lt;year&gt;2016&lt;/year&gt;&lt;/dates&gt;&lt;urls&gt;&lt;/urls&gt;&lt;/record&gt;&lt;/Cite&gt;&lt;/EndNote&gt;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Yauri and Yauri (2016)</w:t>
            </w:r>
            <w:r w:rsidRPr="006B2F60">
              <w:rPr>
                <w:rFonts w:eastAsia="Times New Roman" w:cstheme="minorHAnsi"/>
                <w:color w:val="000000"/>
                <w:sz w:val="16"/>
                <w:szCs w:val="16"/>
                <w:lang w:eastAsia="en-GB"/>
              </w:rPr>
              <w:fldChar w:fldCharType="end"/>
            </w:r>
            <w:r w:rsidRPr="006B2F60">
              <w:rPr>
                <w:rFonts w:eastAsia="Times New Roman" w:cstheme="minorHAnsi"/>
                <w:color w:val="000000"/>
                <w:sz w:val="16"/>
                <w:szCs w:val="16"/>
                <w:lang w:eastAsia="en-GB"/>
              </w:rPr>
              <w:t xml:space="preserve"> </w:t>
            </w:r>
          </w:p>
        </w:tc>
        <w:tc>
          <w:tcPr>
            <w:tcW w:w="1642" w:type="pct"/>
            <w:gridSpan w:val="2"/>
            <w:shd w:val="clear" w:color="auto" w:fill="auto"/>
            <w:hideMark/>
          </w:tcPr>
          <w:p w14:paraId="7A75F14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E-Service and the Nigerian Banking Sector: A Review of ATM Architecture and Operations</w:t>
            </w:r>
          </w:p>
        </w:tc>
        <w:tc>
          <w:tcPr>
            <w:tcW w:w="1095" w:type="pct"/>
            <w:shd w:val="clear" w:color="auto" w:fill="auto"/>
            <w:hideMark/>
          </w:tcPr>
          <w:p w14:paraId="19B5AC1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International Scholarly and Scientific Research &amp; Innovation </w:t>
            </w:r>
          </w:p>
        </w:tc>
        <w:tc>
          <w:tcPr>
            <w:tcW w:w="578" w:type="pct"/>
            <w:shd w:val="clear" w:color="auto" w:fill="auto"/>
            <w:hideMark/>
          </w:tcPr>
          <w:p w14:paraId="69971DC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Nigeria</w:t>
            </w:r>
          </w:p>
        </w:tc>
        <w:tc>
          <w:tcPr>
            <w:tcW w:w="1030" w:type="pct"/>
            <w:shd w:val="clear" w:color="auto" w:fill="auto"/>
            <w:hideMark/>
          </w:tcPr>
          <w:p w14:paraId="655F5DE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6221 - Banking</w:t>
            </w:r>
          </w:p>
        </w:tc>
      </w:tr>
      <w:tr w:rsidR="00241ACB" w:rsidRPr="006B2F60" w14:paraId="259A9B9C"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0"/>
        </w:trPr>
        <w:tc>
          <w:tcPr>
            <w:tcW w:w="655" w:type="pct"/>
            <w:shd w:val="clear" w:color="auto" w:fill="auto"/>
            <w:hideMark/>
          </w:tcPr>
          <w:p w14:paraId="07E0C77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AuthorYear="1"&gt;&lt;Author&gt;Devos&lt;/Author&gt;&lt;Year&gt;2017&lt;/Year&gt;&lt;RecNum&gt;702&lt;/RecNum&gt;&lt;DisplayText&gt;Devos and Kenny (2017)&lt;/DisplayText&gt;&lt;record&gt;&lt;rec-number&gt;702&lt;/rec-number&gt;&lt;foreign-keys&gt;&lt;key app="EN" db-id="dptp5pfxc5f2t6exvwlx0ve0fp5zwfx0ptw2" timestamp="1633813384"&gt;702&lt;/key&gt;&lt;/foreign-keys&gt;&lt;ref-type name="Journal Article"&gt;17&lt;/ref-type&gt;&lt;contributors&gt;&lt;authors&gt;&lt;author&gt;Devos, Ken&lt;/author&gt;&lt;author&gt;Kenny, Paul&lt;/author&gt;&lt;/authors&gt;&lt;/contributors&gt;&lt;titles&gt;&lt;title&gt;An assessment of the Code of Professional Conduct under the TASA 2009-six years on&lt;/title&gt;&lt;secondary-title&gt;Australian Tax Forum&lt;/secondary-title&gt;&lt;/titles&gt;&lt;pages&gt;p.629-676&lt;/pages&gt;&lt;volume&gt;32&lt;/volume&gt;&lt;number&gt;3&lt;/number&gt;&lt;dates&gt;&lt;year&gt;2017&lt;/year&gt;&lt;/dates&gt;&lt;isbn&gt;0812-695X&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Devos and Kenny (2017)</w:t>
            </w:r>
            <w:r w:rsidRPr="006B2F60">
              <w:rPr>
                <w:rFonts w:eastAsia="Times New Roman" w:cstheme="minorHAnsi"/>
                <w:color w:val="000000"/>
                <w:sz w:val="16"/>
                <w:szCs w:val="16"/>
                <w:lang w:eastAsia="en-GB"/>
              </w:rPr>
              <w:fldChar w:fldCharType="end"/>
            </w:r>
          </w:p>
        </w:tc>
        <w:tc>
          <w:tcPr>
            <w:tcW w:w="1642" w:type="pct"/>
            <w:gridSpan w:val="2"/>
            <w:shd w:val="clear" w:color="auto" w:fill="auto"/>
            <w:hideMark/>
          </w:tcPr>
          <w:p w14:paraId="5551C86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An Assessment of the Code of Professional Conduct Under the TASA 2009 - Six Years on</w:t>
            </w:r>
          </w:p>
        </w:tc>
        <w:tc>
          <w:tcPr>
            <w:tcW w:w="1095" w:type="pct"/>
            <w:shd w:val="clear" w:color="auto" w:fill="auto"/>
            <w:hideMark/>
          </w:tcPr>
          <w:p w14:paraId="3D82B20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Australian Tax Forum</w:t>
            </w:r>
          </w:p>
        </w:tc>
        <w:tc>
          <w:tcPr>
            <w:tcW w:w="578" w:type="pct"/>
            <w:shd w:val="clear" w:color="auto" w:fill="auto"/>
            <w:hideMark/>
          </w:tcPr>
          <w:p w14:paraId="59F555E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Australia</w:t>
            </w:r>
          </w:p>
        </w:tc>
        <w:tc>
          <w:tcPr>
            <w:tcW w:w="1030" w:type="pct"/>
            <w:shd w:val="clear" w:color="auto" w:fill="auto"/>
            <w:hideMark/>
          </w:tcPr>
          <w:p w14:paraId="33ECFC5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474C7522"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30"/>
        </w:trPr>
        <w:tc>
          <w:tcPr>
            <w:tcW w:w="655" w:type="pct"/>
            <w:shd w:val="clear" w:color="auto" w:fill="auto"/>
            <w:hideMark/>
          </w:tcPr>
          <w:p w14:paraId="3750740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AuthorYear="1"&gt;&lt;Author&gt;Idamakanti&lt;/Author&gt;&lt;Year&gt;2017&lt;/Year&gt;&lt;RecNum&gt;546&lt;/RecNum&gt;&lt;DisplayText&gt;Idamakanti and Bhardwaj (2017)&lt;/DisplayText&gt;&lt;record&gt;&lt;rec-number&gt;546&lt;/rec-number&gt;&lt;foreign-keys&gt;&lt;key app="EN" db-id="dptp5pfxc5f2t6exvwlx0ve0fp5zwfx0ptw2" timestamp="1525601848"&gt;546&lt;/key&gt;&lt;/foreign-keys&gt;&lt;ref-type name="Journal Article"&gt;17&lt;/ref-type&gt;&lt;contributors&gt;&lt;authors&gt;&lt;author&gt;Idamakanti, Charishma&lt;/author&gt;&lt;author&gt;Bhardwaj, Kislay&lt;/author&gt;&lt;/authors&gt;&lt;/contributors&gt;&lt;titles&gt;&lt;title&gt;Catering the Telecom Conundrum of Revenue Leakage: Blockchain-A Business Paradigm&lt;/title&gt;&lt;secondary-title&gt;International Journal of Engineering Technology Science and Research&lt;/secondary-title&gt;&lt;/titles&gt;&lt;periodical&gt;&lt;full-title&gt;International Journal of Engineering Technology Science and Research&lt;/full-title&gt;&lt;/periodical&gt;&lt;pages&gt;p.319-332&lt;/pages&gt;&lt;volume&gt;4&lt;/volume&gt;&lt;number&gt;10&lt;/number&gt;&lt;dates&gt;&lt;year&gt;2017&lt;/year&gt;&lt;/dates&gt;&lt;urls&gt;&lt;/urls&gt;&lt;/record&gt;&lt;/Cite&gt;&lt;/EndNote&gt;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Idamakanti and Bhardwaj (2017)</w:t>
            </w:r>
            <w:r w:rsidRPr="006B2F60">
              <w:rPr>
                <w:rFonts w:eastAsia="Times New Roman" w:cstheme="minorHAnsi"/>
                <w:color w:val="000000"/>
                <w:sz w:val="16"/>
                <w:szCs w:val="16"/>
                <w:lang w:eastAsia="en-GB"/>
              </w:rPr>
              <w:fldChar w:fldCharType="end"/>
            </w:r>
          </w:p>
        </w:tc>
        <w:tc>
          <w:tcPr>
            <w:tcW w:w="1642" w:type="pct"/>
            <w:gridSpan w:val="2"/>
            <w:shd w:val="clear" w:color="auto" w:fill="auto"/>
            <w:hideMark/>
          </w:tcPr>
          <w:p w14:paraId="247F3D6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Catering the Telecom Conundrum of Revenue Leakage: Blockchain - A Business Paradigm</w:t>
            </w:r>
          </w:p>
        </w:tc>
        <w:tc>
          <w:tcPr>
            <w:tcW w:w="1095" w:type="pct"/>
            <w:shd w:val="clear" w:color="auto" w:fill="auto"/>
            <w:hideMark/>
          </w:tcPr>
          <w:p w14:paraId="4062851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Journal of Engineering Technology Science and Research</w:t>
            </w:r>
          </w:p>
        </w:tc>
        <w:tc>
          <w:tcPr>
            <w:tcW w:w="578" w:type="pct"/>
            <w:shd w:val="clear" w:color="auto" w:fill="auto"/>
            <w:hideMark/>
          </w:tcPr>
          <w:p w14:paraId="1E9958F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Cross-country</w:t>
            </w:r>
          </w:p>
        </w:tc>
        <w:tc>
          <w:tcPr>
            <w:tcW w:w="1030" w:type="pct"/>
            <w:shd w:val="clear" w:color="auto" w:fill="auto"/>
            <w:hideMark/>
          </w:tcPr>
          <w:p w14:paraId="7BF6D4B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5802 - Other Telecommunications Network Operation</w:t>
            </w:r>
          </w:p>
        </w:tc>
      </w:tr>
      <w:tr w:rsidR="00241ACB" w:rsidRPr="006B2F60" w14:paraId="6AD19522"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30"/>
        </w:trPr>
        <w:tc>
          <w:tcPr>
            <w:tcW w:w="655" w:type="pct"/>
            <w:shd w:val="clear" w:color="auto" w:fill="auto"/>
            <w:hideMark/>
          </w:tcPr>
          <w:p w14:paraId="5B3679C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AuthorYear="1"&gt;&lt;Author&gt;Mensah&lt;/Author&gt;&lt;Year&gt;2017&lt;/Year&gt;&lt;RecNum&gt;705&lt;/RecNum&gt;&lt;DisplayText&gt;Mensah (2017)&lt;/DisplayText&gt;&lt;record&gt;&lt;rec-number&gt;705&lt;/rec-number&gt;&lt;foreign-keys&gt;&lt;key app="EN" db-id="dptp5pfxc5f2t6exvwlx0ve0fp5zwfx0ptw2" timestamp="1633813951"&gt;705&lt;/key&gt;&lt;/foreign-keys&gt;&lt;ref-type name="Journal Article"&gt;17&lt;/ref-type&gt;&lt;contributors&gt;&lt;authors&gt;&lt;author&gt;Mensah, Ishmael&lt;/author&gt;&lt;/authors&gt;&lt;/contributors&gt;&lt;titles&gt;&lt;title&gt;Benefits and challenges of community-based ecotourism in park-fringe communities: the case of mesomagor of kakum national park, ghana&lt;/title&gt;&lt;secondary-title&gt;Tourism Review International&lt;/secondary-title&gt;&lt;/titles&gt;&lt;periodical&gt;&lt;full-title&gt;Tourism Review International&lt;/full-title&gt;&lt;/periodical&gt;&lt;pages&gt;p.81-98&lt;/pages&gt;&lt;volume&gt;21&lt;/volume&gt;&lt;number&gt;1&lt;/number&gt;&lt;dates&gt;&lt;year&gt;2017&lt;/year&gt;&lt;/dates&gt;&lt;isbn&gt;1544-2721&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Mensah (2017)</w:t>
            </w:r>
            <w:r w:rsidRPr="006B2F60">
              <w:rPr>
                <w:rFonts w:eastAsia="Times New Roman" w:cstheme="minorHAnsi"/>
                <w:color w:val="000000"/>
                <w:sz w:val="16"/>
                <w:szCs w:val="16"/>
                <w:lang w:eastAsia="en-GB"/>
              </w:rPr>
              <w:fldChar w:fldCharType="end"/>
            </w:r>
          </w:p>
        </w:tc>
        <w:tc>
          <w:tcPr>
            <w:tcW w:w="1642" w:type="pct"/>
            <w:gridSpan w:val="2"/>
            <w:shd w:val="clear" w:color="auto" w:fill="auto"/>
            <w:hideMark/>
          </w:tcPr>
          <w:p w14:paraId="53EAE51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Benefits and Challenges of Community-based Ecotourism in Park-Fringe Communities: The Case of Mesomagor of Kakum National Park, Ghana</w:t>
            </w:r>
          </w:p>
        </w:tc>
        <w:tc>
          <w:tcPr>
            <w:tcW w:w="1095" w:type="pct"/>
            <w:shd w:val="clear" w:color="auto" w:fill="auto"/>
            <w:hideMark/>
          </w:tcPr>
          <w:p w14:paraId="756391B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Tourism Review International</w:t>
            </w:r>
          </w:p>
        </w:tc>
        <w:tc>
          <w:tcPr>
            <w:tcW w:w="578" w:type="pct"/>
            <w:shd w:val="clear" w:color="auto" w:fill="auto"/>
            <w:hideMark/>
          </w:tcPr>
          <w:p w14:paraId="07DA556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Ghana</w:t>
            </w:r>
          </w:p>
        </w:tc>
        <w:tc>
          <w:tcPr>
            <w:tcW w:w="1030" w:type="pct"/>
            <w:shd w:val="clear" w:color="auto" w:fill="auto"/>
            <w:hideMark/>
          </w:tcPr>
          <w:p w14:paraId="5E0B192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7220 - Travel Agency and Tour Arrangement Services</w:t>
            </w:r>
          </w:p>
        </w:tc>
      </w:tr>
      <w:tr w:rsidR="00241ACB" w:rsidRPr="006B2F60" w14:paraId="628FD7B8"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0"/>
        </w:trPr>
        <w:tc>
          <w:tcPr>
            <w:tcW w:w="670" w:type="pct"/>
            <w:gridSpan w:val="2"/>
            <w:shd w:val="clear" w:color="auto" w:fill="auto"/>
            <w:hideMark/>
          </w:tcPr>
          <w:p w14:paraId="055325A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AuthorYear="1"&gt;&lt;Author&gt;Radon&lt;/Author&gt;&lt;Year&gt;2017&lt;/Year&gt;&lt;RecNum&gt;704&lt;/RecNum&gt;&lt;DisplayText&gt;Radon and Achuthan (2017)&lt;/DisplayText&gt;&lt;record&gt;&lt;rec-number&gt;704&lt;/rec-number&gt;&lt;foreign-keys&gt;&lt;key app="EN" db-id="dptp5pfxc5f2t6exvwlx0ve0fp5zwfx0ptw2" timestamp="1633813856"&gt;704&lt;/key&gt;&lt;/foreign-keys&gt;&lt;ref-type name="Journal Article"&gt;17&lt;/ref-type&gt;&lt;contributors&gt;&lt;authors&gt;&lt;author&gt;Radon, Jenik&lt;/author&gt;&lt;author&gt;Achuthan, Mahima&lt;/author&gt;&lt;/authors&gt;&lt;/contributors&gt;&lt;titles&gt;&lt;title&gt;Beneficial ownership disclosure: the cure for the Panama Papers ills&lt;/title&gt;&lt;secondary-title&gt;Journal of International Affairs&lt;/secondary-title&gt;&lt;/titles&gt;&lt;periodical&gt;&lt;full-title&gt;Journal of International Affairs&lt;/full-title&gt;&lt;/periodical&gt;&lt;pages&gt;p.85-108&lt;/pages&gt;&lt;volume&gt;70&lt;/volume&gt;&lt;number&gt;2&lt;/number&gt;&lt;dates&gt;&lt;year&gt;2017&lt;/year&gt;&lt;/dates&gt;&lt;isbn&gt;0022-197X&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Radon and Achuthan (2017)</w:t>
            </w:r>
            <w:r w:rsidRPr="006B2F60">
              <w:rPr>
                <w:rFonts w:eastAsia="Times New Roman" w:cstheme="minorHAnsi"/>
                <w:color w:val="000000"/>
                <w:sz w:val="16"/>
                <w:szCs w:val="16"/>
                <w:lang w:eastAsia="en-GB"/>
              </w:rPr>
              <w:fldChar w:fldCharType="end"/>
            </w:r>
          </w:p>
        </w:tc>
        <w:tc>
          <w:tcPr>
            <w:tcW w:w="1627" w:type="pct"/>
            <w:shd w:val="clear" w:color="auto" w:fill="auto"/>
            <w:hideMark/>
          </w:tcPr>
          <w:p w14:paraId="61D730B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Beneficial Ownership Disclosure: The Cure for the Panama Papers Ills</w:t>
            </w:r>
          </w:p>
        </w:tc>
        <w:tc>
          <w:tcPr>
            <w:tcW w:w="1095" w:type="pct"/>
            <w:shd w:val="clear" w:color="auto" w:fill="auto"/>
            <w:hideMark/>
          </w:tcPr>
          <w:p w14:paraId="17756C5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International Affairs</w:t>
            </w:r>
          </w:p>
        </w:tc>
        <w:tc>
          <w:tcPr>
            <w:tcW w:w="578" w:type="pct"/>
            <w:shd w:val="clear" w:color="auto" w:fill="auto"/>
            <w:hideMark/>
          </w:tcPr>
          <w:p w14:paraId="0EC95F5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Cross-country</w:t>
            </w:r>
          </w:p>
        </w:tc>
        <w:tc>
          <w:tcPr>
            <w:tcW w:w="1030" w:type="pct"/>
            <w:shd w:val="clear" w:color="auto" w:fill="auto"/>
            <w:hideMark/>
          </w:tcPr>
          <w:p w14:paraId="5E5AF5A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5C71FD44"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0"/>
        </w:trPr>
        <w:tc>
          <w:tcPr>
            <w:tcW w:w="670" w:type="pct"/>
            <w:gridSpan w:val="2"/>
            <w:shd w:val="clear" w:color="auto" w:fill="auto"/>
            <w:hideMark/>
          </w:tcPr>
          <w:p w14:paraId="4353A0E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AuthorYear="1"&gt;&lt;Author&gt;Solanke&lt;/Author&gt;&lt;Year&gt;2018&lt;/Year&gt;&lt;RecNum&gt;745&lt;/RecNum&gt;&lt;DisplayText&gt;Solanke (2018)&lt;/DisplayText&gt;&lt;record&gt;&lt;rec-number&gt;745&lt;/rec-number&gt;&lt;foreign-keys&gt;&lt;key app="EN" db-id="dptp5pfxc5f2t6exvwlx0ve0fp5zwfx0ptw2" timestamp="1633825877"&gt;745&lt;/key&gt;&lt;/foreign-keys&gt;&lt;ref-type name="Journal Article"&gt;17&lt;/ref-type&gt;&lt;contributors&gt;&lt;authors&gt;&lt;author&gt;Solanke, Abiola Abosede&lt;/author&gt;&lt;/authors&gt;&lt;/contributors&gt;&lt;titles&gt;&lt;title&gt;Opinion and perception of Treasury Single Account implementation: Implications for revenue generation and utilization in Nigeria&lt;/title&gt;&lt;secondary-title&gt;European Scientific Journal&lt;/secondary-title&gt;&lt;/titles&gt;&lt;periodical&gt;&lt;full-title&gt;European Scientific Journal&lt;/full-title&gt;&lt;/periodical&gt;&lt;pages&gt;p.164-175&lt;/pages&gt;&lt;volume&gt;14&lt;/volume&gt;&lt;number&gt;1&lt;/number&gt;&lt;dates&gt;&lt;year&gt;2018&lt;/year&gt;&lt;/dates&gt;&lt;urls&gt;&lt;/urls&gt;&lt;/record&gt;&lt;/Cite&gt;&lt;/EndNote&gt;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Solanke (2018)</w:t>
            </w:r>
            <w:r w:rsidRPr="006B2F60">
              <w:rPr>
                <w:rFonts w:eastAsia="Times New Roman" w:cstheme="minorHAnsi"/>
                <w:color w:val="000000"/>
                <w:sz w:val="16"/>
                <w:szCs w:val="16"/>
                <w:lang w:eastAsia="en-GB"/>
              </w:rPr>
              <w:fldChar w:fldCharType="end"/>
            </w:r>
          </w:p>
        </w:tc>
        <w:tc>
          <w:tcPr>
            <w:tcW w:w="1627" w:type="pct"/>
            <w:shd w:val="clear" w:color="auto" w:fill="auto"/>
            <w:hideMark/>
          </w:tcPr>
          <w:p w14:paraId="7A51CAA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Opinion and Perception of Treasury Single Account Implementation: Implications for Revenue Generation and Utilisation in Nigeria</w:t>
            </w:r>
          </w:p>
        </w:tc>
        <w:tc>
          <w:tcPr>
            <w:tcW w:w="1095" w:type="pct"/>
            <w:shd w:val="clear" w:color="auto" w:fill="auto"/>
            <w:hideMark/>
          </w:tcPr>
          <w:p w14:paraId="2ED8AD6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European Scientific Journal</w:t>
            </w:r>
          </w:p>
        </w:tc>
        <w:tc>
          <w:tcPr>
            <w:tcW w:w="578" w:type="pct"/>
            <w:shd w:val="clear" w:color="auto" w:fill="auto"/>
            <w:hideMark/>
          </w:tcPr>
          <w:p w14:paraId="49822E8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Nigeria</w:t>
            </w:r>
          </w:p>
        </w:tc>
        <w:tc>
          <w:tcPr>
            <w:tcW w:w="1030" w:type="pct"/>
            <w:shd w:val="clear" w:color="auto" w:fill="auto"/>
            <w:hideMark/>
          </w:tcPr>
          <w:p w14:paraId="223EC0A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37389429"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30"/>
        </w:trPr>
        <w:tc>
          <w:tcPr>
            <w:tcW w:w="670" w:type="pct"/>
            <w:gridSpan w:val="2"/>
            <w:shd w:val="clear" w:color="auto" w:fill="auto"/>
            <w:hideMark/>
          </w:tcPr>
          <w:p w14:paraId="1C0E0CC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AuthorYear="1"&gt;&lt;Author&gt;Benson-Iyare&lt;/Author&gt;&lt;Year&gt;2018&lt;/Year&gt;&lt;RecNum&gt;1116&lt;/RecNum&gt;&lt;DisplayText&gt;Benson-Iyare and Soriyan (2018)&lt;/DisplayText&gt;&lt;record&gt;&lt;rec-number&gt;1116&lt;/rec-number&gt;&lt;foreign-keys&gt;&lt;key app="EN" db-id="dptp5pfxc5f2t6exvwlx0ve0fp5zwfx0ptw2" timestamp="1717482512"&gt;1116&lt;/key&gt;&lt;/foreign-keys&gt;&lt;ref-type name="Journal Article"&gt;17&lt;/ref-type&gt;&lt;contributors&gt;&lt;authors&gt;&lt;author&gt;Benson-Iyare, Jessica Chinezie&lt;/author&gt;&lt;author&gt;Soriyan, HA&lt;/author&gt;&lt;/authors&gt;&lt;/contributors&gt;&lt;titles&gt;&lt;title&gt;A Mathematical Model for Monitoring Laboratory Revenue Accrued from Tests&lt;/title&gt;&lt;secondary-title&gt;International Journal of Applied Information Systems&lt;/secondary-title&gt;&lt;/titles&gt;&lt;periodical&gt;&lt;full-title&gt;International Journal of Applied Information Systems&lt;/full-title&gt;&lt;/periodical&gt;&lt;pages&gt;p.37-49&lt;/pages&gt;&lt;volume&gt;12&lt;/volume&gt;&lt;number&gt;13&lt;/number&gt;&lt;dates&gt;&lt;year&gt;2018&lt;/year&gt;&lt;/dates&gt;&lt;urls&gt;&lt;/urls&gt;&lt;/record&gt;&lt;/Cite&gt;&lt;/EndNote&gt;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Benson-Iyare and Soriyan (2018)</w:t>
            </w:r>
            <w:r w:rsidRPr="006B2F60">
              <w:rPr>
                <w:rFonts w:eastAsia="Times New Roman" w:cstheme="minorHAnsi"/>
                <w:color w:val="000000"/>
                <w:sz w:val="16"/>
                <w:szCs w:val="16"/>
                <w:lang w:eastAsia="en-GB"/>
              </w:rPr>
              <w:fldChar w:fldCharType="end"/>
            </w:r>
          </w:p>
        </w:tc>
        <w:tc>
          <w:tcPr>
            <w:tcW w:w="1627" w:type="pct"/>
            <w:shd w:val="clear" w:color="auto" w:fill="auto"/>
            <w:hideMark/>
          </w:tcPr>
          <w:p w14:paraId="620DA19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 Mathematical Model for Monitoring Laboratory Revenue Accrued from Tests</w:t>
            </w:r>
          </w:p>
        </w:tc>
        <w:tc>
          <w:tcPr>
            <w:tcW w:w="1095" w:type="pct"/>
            <w:shd w:val="clear" w:color="auto" w:fill="auto"/>
            <w:hideMark/>
          </w:tcPr>
          <w:p w14:paraId="3FFCC92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Journal of Applied Information Systems</w:t>
            </w:r>
          </w:p>
        </w:tc>
        <w:tc>
          <w:tcPr>
            <w:tcW w:w="578" w:type="pct"/>
            <w:shd w:val="clear" w:color="auto" w:fill="auto"/>
            <w:hideMark/>
          </w:tcPr>
          <w:p w14:paraId="5FBE29A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Nigeria</w:t>
            </w:r>
          </w:p>
        </w:tc>
        <w:tc>
          <w:tcPr>
            <w:tcW w:w="1030" w:type="pct"/>
            <w:shd w:val="clear" w:color="auto" w:fill="auto"/>
            <w:hideMark/>
          </w:tcPr>
          <w:p w14:paraId="1D50938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8401 - Hospitals (Except Psychiatric Hospitals)</w:t>
            </w:r>
          </w:p>
        </w:tc>
      </w:tr>
      <w:tr w:rsidR="00241ACB" w:rsidRPr="006B2F60" w14:paraId="2FAED34F"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1"/>
        </w:trPr>
        <w:tc>
          <w:tcPr>
            <w:tcW w:w="670" w:type="pct"/>
            <w:gridSpan w:val="2"/>
            <w:shd w:val="clear" w:color="auto" w:fill="auto"/>
            <w:hideMark/>
          </w:tcPr>
          <w:p w14:paraId="1098B4E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AuthorYear="1"&gt;&lt;Author&gt;Olaniyi&lt;/Author&gt;&lt;Year&gt;2019&lt;/Year&gt;&lt;RecNum&gt;955&lt;/RecNum&gt;&lt;DisplayText&gt;Olaniyi et al. (2019)&lt;/DisplayText&gt;&lt;record&gt;&lt;rec-number&gt;955&lt;/rec-number&gt;&lt;foreign-keys&gt;&lt;key app="EN" db-id="dptp5pfxc5f2t6exvwlx0ve0fp5zwfx0ptw2" timestamp="1706122678"&gt;955&lt;/key&gt;&lt;/foreign-keys&gt;&lt;ref-type name="Journal Article"&gt;17&lt;/ref-type&gt;&lt;contributors&gt;&lt;authors&gt;&lt;author&gt;Olaniyi, Azeez Taiwo&lt;/author&gt;&lt;author&gt;Mustapha, Nusirat Abiodun&lt;/author&gt;&lt;author&gt;Oyedokun, Emmanuel Godwin&lt;/author&gt;&lt;/authors&gt;&lt;/contributors&gt;&lt;titles&gt;&lt;title&gt;Impact of taxation on government capital expenditure in Nigeria&lt;/title&gt;&lt;secondary-title&gt;Journal of Management and Social Sciences&lt;/secondary-title&gt;&lt;/titles&gt;&lt;periodical&gt;&lt;full-title&gt;Journal of Management and Social Sciences&lt;/full-title&gt;&lt;/periodical&gt;&lt;pages&gt;p.674-687&lt;/pages&gt;&lt;volume&gt;8&lt;/volume&gt;&lt;number&gt;2&lt;/number&gt;&lt;dates&gt;&lt;year&gt;2019&lt;/year&gt;&lt;/dates&gt;&lt;isbn&gt;2408-6959&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Olaniyi et al. (2019)</w:t>
            </w:r>
            <w:r w:rsidRPr="006B2F60">
              <w:rPr>
                <w:rFonts w:eastAsia="Times New Roman" w:cstheme="minorHAnsi"/>
                <w:color w:val="000000"/>
                <w:sz w:val="16"/>
                <w:szCs w:val="16"/>
                <w:lang w:eastAsia="en-GB"/>
              </w:rPr>
              <w:fldChar w:fldCharType="end"/>
            </w:r>
          </w:p>
        </w:tc>
        <w:tc>
          <w:tcPr>
            <w:tcW w:w="1627" w:type="pct"/>
            <w:shd w:val="clear" w:color="auto" w:fill="auto"/>
            <w:hideMark/>
          </w:tcPr>
          <w:p w14:paraId="4D5FAFE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Impact of Taxation on Government Capital Expenditure in Nigeria</w:t>
            </w:r>
          </w:p>
        </w:tc>
        <w:tc>
          <w:tcPr>
            <w:tcW w:w="1095" w:type="pct"/>
            <w:shd w:val="clear" w:color="auto" w:fill="auto"/>
            <w:hideMark/>
          </w:tcPr>
          <w:p w14:paraId="6AEBB8B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Management and Social Sciences</w:t>
            </w:r>
          </w:p>
        </w:tc>
        <w:tc>
          <w:tcPr>
            <w:tcW w:w="578" w:type="pct"/>
            <w:shd w:val="clear" w:color="auto" w:fill="auto"/>
            <w:hideMark/>
          </w:tcPr>
          <w:p w14:paraId="7019F3C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Nigeria</w:t>
            </w:r>
          </w:p>
        </w:tc>
        <w:tc>
          <w:tcPr>
            <w:tcW w:w="1030" w:type="pct"/>
            <w:shd w:val="clear" w:color="auto" w:fill="auto"/>
            <w:hideMark/>
          </w:tcPr>
          <w:p w14:paraId="2EA94AF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289595E8"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0"/>
        </w:trPr>
        <w:tc>
          <w:tcPr>
            <w:tcW w:w="670" w:type="pct"/>
            <w:gridSpan w:val="2"/>
            <w:shd w:val="clear" w:color="auto" w:fill="auto"/>
            <w:hideMark/>
          </w:tcPr>
          <w:p w14:paraId="60ED39C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AuthorYear="1"&gt;&lt;Author&gt;Goel&lt;/Author&gt;&lt;Year&gt;2019&lt;/Year&gt;&lt;RecNum&gt;706&lt;/RecNum&gt;&lt;DisplayText&gt;Goel and Saunoris (2019)&lt;/DisplayText&gt;&lt;record&gt;&lt;rec-number&gt;706&lt;/rec-number&gt;&lt;foreign-keys&gt;&lt;key app="EN" db-id="dptp5pfxc5f2t6exvwlx0ve0fp5zwfx0ptw2" timestamp="1633814078"&gt;706&lt;/key&gt;&lt;/foreign-keys&gt;&lt;ref-type name="Journal Article"&gt;17&lt;/ref-type&gt;&lt;contributors&gt;&lt;authors&gt;&lt;author&gt;Goel, Rajeev K&lt;/author&gt;&lt;author&gt;Saunoris, James W&lt;/author&gt;&lt;/authors&gt;&lt;/contributors&gt;&lt;titles&gt;&lt;title&gt;Cigarette smuggling: using the shadow economy or creating its own?&lt;/title&gt;&lt;secondary-title&gt;Journal of Economics and Finance&lt;/secondary-title&gt;&lt;/titles&gt;&lt;periodical&gt;&lt;full-title&gt;Journal of Economics and Finance&lt;/full-title&gt;&lt;/periodical&gt;&lt;pages&gt;p.582-593&lt;/pages&gt;&lt;volume&gt;43&lt;/volume&gt;&lt;number&gt;3&lt;/number&gt;&lt;dates&gt;&lt;year&gt;2019&lt;/year&gt;&lt;/dates&gt;&lt;isbn&gt;1938-9744&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Goel and Saunoris (2019)</w:t>
            </w:r>
            <w:r w:rsidRPr="006B2F60">
              <w:rPr>
                <w:rFonts w:eastAsia="Times New Roman" w:cstheme="minorHAnsi"/>
                <w:color w:val="000000"/>
                <w:sz w:val="16"/>
                <w:szCs w:val="16"/>
                <w:lang w:eastAsia="en-GB"/>
              </w:rPr>
              <w:fldChar w:fldCharType="end"/>
            </w:r>
          </w:p>
        </w:tc>
        <w:tc>
          <w:tcPr>
            <w:tcW w:w="1627" w:type="pct"/>
            <w:shd w:val="clear" w:color="auto" w:fill="auto"/>
            <w:hideMark/>
          </w:tcPr>
          <w:p w14:paraId="07CEEE2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Cigarette Smuggling: Using the Shadow Economy or Creating its Own?</w:t>
            </w:r>
          </w:p>
        </w:tc>
        <w:tc>
          <w:tcPr>
            <w:tcW w:w="1095" w:type="pct"/>
            <w:shd w:val="clear" w:color="auto" w:fill="auto"/>
            <w:hideMark/>
          </w:tcPr>
          <w:p w14:paraId="2892F3A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Economics and Finance</w:t>
            </w:r>
          </w:p>
        </w:tc>
        <w:tc>
          <w:tcPr>
            <w:tcW w:w="578" w:type="pct"/>
            <w:shd w:val="clear" w:color="auto" w:fill="auto"/>
            <w:hideMark/>
          </w:tcPr>
          <w:p w14:paraId="289960C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US</w:t>
            </w:r>
          </w:p>
        </w:tc>
        <w:tc>
          <w:tcPr>
            <w:tcW w:w="1030" w:type="pct"/>
            <w:shd w:val="clear" w:color="auto" w:fill="auto"/>
            <w:hideMark/>
          </w:tcPr>
          <w:p w14:paraId="1F234ED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bl>
    <w:p w14:paraId="0DA4B768" w14:textId="77777777" w:rsidR="00241ACB" w:rsidRPr="006B2F60" w:rsidRDefault="00241ACB" w:rsidP="00241ACB">
      <w:pPr>
        <w:rPr>
          <w:rFonts w:cstheme="minorHAnsi"/>
        </w:rPr>
      </w:pPr>
      <w:r w:rsidRPr="006B2F60">
        <w:rPr>
          <w:rFonts w:cstheme="minorHAnsi"/>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8"/>
        <w:gridCol w:w="4214"/>
        <w:gridCol w:w="2836"/>
        <w:gridCol w:w="1502"/>
        <w:gridCol w:w="2660"/>
      </w:tblGrid>
      <w:tr w:rsidR="00241ACB" w:rsidRPr="006B2F60" w14:paraId="0D837E14" w14:textId="77777777" w:rsidTr="00DE3143">
        <w:trPr>
          <w:trHeight w:val="280"/>
        </w:trPr>
        <w:tc>
          <w:tcPr>
            <w:tcW w:w="670" w:type="pct"/>
            <w:shd w:val="clear" w:color="auto" w:fill="BFBFBF" w:themeFill="background1" w:themeFillShade="BF"/>
          </w:tcPr>
          <w:p w14:paraId="031CC74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lastRenderedPageBreak/>
              <w:t>Author (S)</w:t>
            </w:r>
          </w:p>
        </w:tc>
        <w:tc>
          <w:tcPr>
            <w:tcW w:w="1627" w:type="pct"/>
            <w:shd w:val="clear" w:color="auto" w:fill="BFBFBF" w:themeFill="background1" w:themeFillShade="BF"/>
          </w:tcPr>
          <w:p w14:paraId="0214E47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Title</w:t>
            </w:r>
          </w:p>
        </w:tc>
        <w:tc>
          <w:tcPr>
            <w:tcW w:w="1095" w:type="pct"/>
            <w:shd w:val="clear" w:color="auto" w:fill="BFBFBF" w:themeFill="background1" w:themeFillShade="BF"/>
          </w:tcPr>
          <w:p w14:paraId="768DEA5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Journal</w:t>
            </w:r>
          </w:p>
        </w:tc>
        <w:tc>
          <w:tcPr>
            <w:tcW w:w="578" w:type="pct"/>
            <w:shd w:val="clear" w:color="auto" w:fill="BFBFBF" w:themeFill="background1" w:themeFillShade="BF"/>
          </w:tcPr>
          <w:p w14:paraId="3D63400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Country</w:t>
            </w:r>
          </w:p>
        </w:tc>
        <w:tc>
          <w:tcPr>
            <w:tcW w:w="1030" w:type="pct"/>
            <w:shd w:val="clear" w:color="auto" w:fill="BFBFBF" w:themeFill="background1" w:themeFillShade="BF"/>
          </w:tcPr>
          <w:p w14:paraId="239B07B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Industry Sector (ANZSIC)</w:t>
            </w:r>
          </w:p>
        </w:tc>
      </w:tr>
      <w:tr w:rsidR="00241ACB" w:rsidRPr="006B2F60" w14:paraId="7697978A" w14:textId="77777777" w:rsidTr="00DE3143">
        <w:trPr>
          <w:trHeight w:val="408"/>
        </w:trPr>
        <w:tc>
          <w:tcPr>
            <w:tcW w:w="670" w:type="pct"/>
            <w:shd w:val="clear" w:color="auto" w:fill="auto"/>
            <w:hideMark/>
          </w:tcPr>
          <w:p w14:paraId="0888782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AuthorYear="1"&gt;&lt;Author&gt;Tang&lt;/Author&gt;&lt;Year&gt;2020&lt;/Year&gt;&lt;RecNum&gt;957&lt;/RecNum&gt;&lt;DisplayText&gt;Tang et al. (2020)&lt;/DisplayText&gt;&lt;record&gt;&lt;rec-number&gt;957&lt;/rec-number&gt;&lt;foreign-keys&gt;&lt;key app="EN" db-id="dptp5pfxc5f2t6exvwlx0ve0fp5zwfx0ptw2" timestamp="1706138404"&gt;957&lt;/key&gt;&lt;/foreign-keys&gt;&lt;ref-type name="Journal Article"&gt;17&lt;/ref-type&gt;&lt;contributors&gt;&lt;authors&gt;&lt;author&gt;Tang, Lifei&lt;/author&gt;&lt;author&gt;Törngren, Martin&lt;/author&gt;&lt;author&gt;Wang, Lihui&lt;/author&gt;&lt;/authors&gt;&lt;/contributors&gt;&lt;titles&gt;&lt;title&gt;A permissioned blockchain based feature management system for assembly devices&lt;/title&gt;&lt;secondary-title&gt;IEEE Access&lt;/secondary-title&gt;&lt;/titles&gt;&lt;periodical&gt;&lt;full-title&gt;IEEE Access&lt;/full-title&gt;&lt;/periodical&gt;&lt;pages&gt;p.183378-183390&lt;/pages&gt;&lt;volume&gt;8&lt;/volume&gt;&lt;dates&gt;&lt;year&gt;2020&lt;/year&gt;&lt;/dates&gt;&lt;isbn&gt;2169-3536&lt;/isbn&gt;&lt;urls&gt;&lt;/urls&gt;&lt;/record&gt;&lt;/Cite&gt;&lt;/EndNote&gt;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Tang et al. (2020)</w:t>
            </w:r>
            <w:r w:rsidRPr="006B2F60">
              <w:rPr>
                <w:rFonts w:eastAsia="Times New Roman" w:cstheme="minorHAnsi"/>
                <w:color w:val="000000"/>
                <w:sz w:val="16"/>
                <w:szCs w:val="16"/>
                <w:lang w:eastAsia="en-GB"/>
              </w:rPr>
              <w:fldChar w:fldCharType="end"/>
            </w:r>
          </w:p>
        </w:tc>
        <w:tc>
          <w:tcPr>
            <w:tcW w:w="1627" w:type="pct"/>
            <w:shd w:val="clear" w:color="auto" w:fill="auto"/>
            <w:hideMark/>
          </w:tcPr>
          <w:p w14:paraId="7675E3B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 Permissioned Blockchain Based Feature Management System for Assembly Devices</w:t>
            </w:r>
          </w:p>
        </w:tc>
        <w:tc>
          <w:tcPr>
            <w:tcW w:w="1095" w:type="pct"/>
            <w:shd w:val="clear" w:color="auto" w:fill="auto"/>
            <w:hideMark/>
          </w:tcPr>
          <w:p w14:paraId="23AE50E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IEEE Access</w:t>
            </w:r>
          </w:p>
        </w:tc>
        <w:tc>
          <w:tcPr>
            <w:tcW w:w="578" w:type="pct"/>
            <w:shd w:val="clear" w:color="auto" w:fill="auto"/>
            <w:hideMark/>
          </w:tcPr>
          <w:p w14:paraId="716385C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Sweden</w:t>
            </w:r>
          </w:p>
        </w:tc>
        <w:tc>
          <w:tcPr>
            <w:tcW w:w="1030" w:type="pct"/>
            <w:shd w:val="clear" w:color="auto" w:fill="auto"/>
            <w:hideMark/>
          </w:tcPr>
          <w:p w14:paraId="120F78B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5802 - Other Telecommunications Network Operation</w:t>
            </w:r>
          </w:p>
        </w:tc>
      </w:tr>
      <w:tr w:rsidR="00241ACB" w:rsidRPr="006B2F60" w14:paraId="3B6F6AAE" w14:textId="77777777" w:rsidTr="00DE3143">
        <w:trPr>
          <w:trHeight w:val="555"/>
        </w:trPr>
        <w:tc>
          <w:tcPr>
            <w:tcW w:w="670" w:type="pct"/>
            <w:shd w:val="clear" w:color="auto" w:fill="auto"/>
            <w:hideMark/>
          </w:tcPr>
          <w:p w14:paraId="309D81C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AuthorYear="1"&gt;&lt;Author&gt;Julius&lt;/Author&gt;&lt;Year&gt;2020&lt;/Year&gt;&lt;RecNum&gt;947&lt;/RecNum&gt;&lt;DisplayText&gt;Julius and Christabel (2020)&lt;/DisplayText&gt;&lt;record&gt;&lt;rec-number&gt;947&lt;/rec-number&gt;&lt;foreign-keys&gt;&lt;key app="EN" db-id="dptp5pfxc5f2t6exvwlx0ve0fp5zwfx0ptw2" timestamp="1706119399"&gt;947&lt;/key&gt;&lt;/foreign-keys&gt;&lt;ref-type name="Journal Article"&gt;17&lt;/ref-type&gt;&lt;contributors&gt;&lt;authors&gt;&lt;author&gt;Julius, Kugonza&lt;/author&gt;&lt;author&gt;Christabel, Mugalula&lt;/author&gt;&lt;/authors&gt;&lt;/contributors&gt;&lt;titles&gt;&lt;title&gt;Effectiveness and efficiency of artificial intelligence in boosting customs performance: a case study of RECTS at Uganda Customs administration&lt;/title&gt;&lt;secondary-title&gt;World Customs Journal&lt;/secondary-title&gt;&lt;/titles&gt;&lt;periodical&gt;&lt;full-title&gt;World Customs Journal&lt;/full-title&gt;&lt;/periodical&gt;&lt;pages&gt;p.177-191&lt;/pages&gt;&lt;volume&gt;14&lt;/volume&gt;&lt;number&gt;2&lt;/number&gt;&lt;dates&gt;&lt;year&gt;2020&lt;/year&gt;&lt;/dates&gt;&lt;isbn&gt;1834-6707&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Julius and Christabel (2020)</w:t>
            </w:r>
            <w:r w:rsidRPr="006B2F60">
              <w:rPr>
                <w:rFonts w:eastAsia="Times New Roman" w:cstheme="minorHAnsi"/>
                <w:color w:val="000000"/>
                <w:sz w:val="16"/>
                <w:szCs w:val="16"/>
                <w:lang w:eastAsia="en-GB"/>
              </w:rPr>
              <w:fldChar w:fldCharType="end"/>
            </w:r>
          </w:p>
        </w:tc>
        <w:tc>
          <w:tcPr>
            <w:tcW w:w="1627" w:type="pct"/>
            <w:shd w:val="clear" w:color="auto" w:fill="auto"/>
            <w:hideMark/>
          </w:tcPr>
          <w:p w14:paraId="2588272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Effectiveness and Efficiency of Artificial Intelligence in Boosting Customs Performance: A Case Study of RECTS At Uganda Customs Administration</w:t>
            </w:r>
          </w:p>
        </w:tc>
        <w:tc>
          <w:tcPr>
            <w:tcW w:w="1095" w:type="pct"/>
            <w:shd w:val="clear" w:color="auto" w:fill="auto"/>
            <w:hideMark/>
          </w:tcPr>
          <w:p w14:paraId="7351D82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World Customs Journal</w:t>
            </w:r>
          </w:p>
        </w:tc>
        <w:tc>
          <w:tcPr>
            <w:tcW w:w="578" w:type="pct"/>
            <w:shd w:val="clear" w:color="auto" w:fill="auto"/>
            <w:hideMark/>
          </w:tcPr>
          <w:p w14:paraId="25DF499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Uganda</w:t>
            </w:r>
          </w:p>
        </w:tc>
        <w:tc>
          <w:tcPr>
            <w:tcW w:w="1030" w:type="pct"/>
            <w:shd w:val="clear" w:color="auto" w:fill="auto"/>
            <w:hideMark/>
          </w:tcPr>
          <w:p w14:paraId="0216B02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0995FEF5"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0"/>
        </w:trPr>
        <w:tc>
          <w:tcPr>
            <w:tcW w:w="670" w:type="pct"/>
            <w:tcBorders>
              <w:top w:val="single" w:sz="4" w:space="0" w:color="auto"/>
              <w:left w:val="single" w:sz="4" w:space="0" w:color="auto"/>
              <w:bottom w:val="single" w:sz="4" w:space="0" w:color="auto"/>
              <w:right w:val="single" w:sz="4" w:space="0" w:color="auto"/>
            </w:tcBorders>
            <w:shd w:val="clear" w:color="auto" w:fill="auto"/>
            <w:hideMark/>
          </w:tcPr>
          <w:p w14:paraId="3C5C71C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AuthorYear="1"&gt;&lt;Author&gt;Al-Shbail&lt;/Author&gt;&lt;Year&gt;2020&lt;/Year&gt;&lt;RecNum&gt;749&lt;/RecNum&gt;&lt;DisplayText&gt;Al-Shbail (2020)&lt;/DisplayText&gt;&lt;record&gt;&lt;rec-number&gt;749&lt;/rec-number&gt;&lt;foreign-keys&gt;&lt;key app="EN" db-id="dptp5pfxc5f2t6exvwlx0ve0fp5zwfx0ptw2" timestamp="1633857046"&gt;749&lt;/key&gt;&lt;/foreign-keys&gt;&lt;ref-type name="Journal Article"&gt;17&lt;/ref-type&gt;&lt;contributors&gt;&lt;authors&gt;&lt;author&gt;Al-Shbail, Tariq&lt;/author&gt;&lt;/authors&gt;&lt;/contributors&gt;&lt;titles&gt;&lt;title&gt;The impact of risk management on revenue protection: an empirical evidence from Jordan customs&lt;/title&gt;&lt;secondary-title&gt;Transforming Government: People, Process and Policy&lt;/secondary-title&gt;&lt;/titles&gt;&lt;periodical&gt;&lt;full-title&gt;Transforming Government: People, Process and Policy&lt;/full-title&gt;&lt;/periodical&gt;&lt;pages&gt;p.453-474.&lt;/pages&gt;&lt;volume&gt;14&lt;/volume&gt;&lt;number&gt;3&lt;/number&gt;&lt;dates&gt;&lt;year&gt;2020&lt;/year&gt;&lt;/dates&gt;&lt;isbn&gt;1750-6166&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Al-Shbail (2020)</w:t>
            </w:r>
            <w:r w:rsidRPr="006B2F60">
              <w:rPr>
                <w:rFonts w:eastAsia="Times New Roman" w:cstheme="minorHAnsi"/>
                <w:color w:val="000000"/>
                <w:sz w:val="16"/>
                <w:szCs w:val="16"/>
                <w:lang w:eastAsia="en-GB"/>
              </w:rPr>
              <w:fldChar w:fldCharType="end"/>
            </w:r>
          </w:p>
        </w:tc>
        <w:tc>
          <w:tcPr>
            <w:tcW w:w="1627" w:type="pct"/>
            <w:tcBorders>
              <w:top w:val="single" w:sz="4" w:space="0" w:color="auto"/>
              <w:left w:val="single" w:sz="4" w:space="0" w:color="auto"/>
              <w:bottom w:val="single" w:sz="4" w:space="0" w:color="auto"/>
              <w:right w:val="single" w:sz="4" w:space="0" w:color="auto"/>
            </w:tcBorders>
            <w:shd w:val="clear" w:color="auto" w:fill="auto"/>
            <w:hideMark/>
          </w:tcPr>
          <w:p w14:paraId="4184A9B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Impact of Risk Management on Revenue Protection: Empirical Evidence from Jordan Customs</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1970B37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Transforming Government: People, Process and Policy</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13A0D29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Jordan</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1BBBAAD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44EA3F00"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0"/>
        </w:trPr>
        <w:tc>
          <w:tcPr>
            <w:tcW w:w="670" w:type="pct"/>
            <w:tcBorders>
              <w:top w:val="single" w:sz="4" w:space="0" w:color="auto"/>
              <w:left w:val="single" w:sz="4" w:space="0" w:color="auto"/>
              <w:bottom w:val="single" w:sz="4" w:space="0" w:color="auto"/>
              <w:right w:val="single" w:sz="4" w:space="0" w:color="auto"/>
            </w:tcBorders>
            <w:shd w:val="clear" w:color="auto" w:fill="auto"/>
            <w:hideMark/>
          </w:tcPr>
          <w:p w14:paraId="5A62B25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AuthorYear="1"&gt;&lt;Author&gt;Milaham&lt;/Author&gt;&lt;Year&gt;2020&lt;/Year&gt;&lt;RecNum&gt;1097&lt;/RecNum&gt;&lt;DisplayText&gt;Milaham and Milaham (2020)&lt;/DisplayText&gt;&lt;record&gt;&lt;rec-number&gt;1097&lt;/rec-number&gt;&lt;foreign-keys&gt;&lt;key app="EN" db-id="dptp5pfxc5f2t6exvwlx0ve0fp5zwfx0ptw2" timestamp="1717466436"&gt;1097&lt;/key&gt;&lt;/foreign-keys&gt;&lt;ref-type name="Journal Article"&gt;17&lt;/ref-type&gt;&lt;contributors&gt;&lt;authors&gt;&lt;author&gt;Milaham, Nankling&lt;/author&gt;&lt;author&gt;Milaham, Muplang&lt;/author&gt;&lt;/authors&gt;&lt;/contributors&gt;&lt;titles&gt;&lt;title&gt;Use of forensic accounting in prevention of frauds in bursary department, University of Jos, Nigeria&lt;/title&gt;&lt;secondary-title&gt;Journal of Educational Research in Developing Areas&lt;/secondary-title&gt;&lt;/titles&gt;&lt;periodical&gt;&lt;full-title&gt;Journal of Educational Research in Developing Areas&lt;/full-title&gt;&lt;/periodical&gt;&lt;pages&gt;p.80-87&lt;/pages&gt;&lt;volume&gt;1&lt;/volume&gt;&lt;number&gt;1&lt;/number&gt;&lt;dates&gt;&lt;year&gt;2020&lt;/year&gt;&lt;/dates&gt;&lt;isbn&gt;2735-9107&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Milaham and Milaham (2020)</w:t>
            </w:r>
            <w:r w:rsidRPr="006B2F60">
              <w:rPr>
                <w:rFonts w:eastAsia="Times New Roman" w:cstheme="minorHAnsi"/>
                <w:color w:val="000000"/>
                <w:sz w:val="16"/>
                <w:szCs w:val="16"/>
                <w:lang w:eastAsia="en-GB"/>
              </w:rPr>
              <w:fldChar w:fldCharType="end"/>
            </w:r>
          </w:p>
        </w:tc>
        <w:tc>
          <w:tcPr>
            <w:tcW w:w="1627" w:type="pct"/>
            <w:tcBorders>
              <w:top w:val="single" w:sz="4" w:space="0" w:color="auto"/>
              <w:left w:val="single" w:sz="4" w:space="0" w:color="auto"/>
              <w:bottom w:val="single" w:sz="4" w:space="0" w:color="auto"/>
              <w:right w:val="single" w:sz="4" w:space="0" w:color="auto"/>
            </w:tcBorders>
            <w:shd w:val="clear" w:color="auto" w:fill="auto"/>
            <w:hideMark/>
          </w:tcPr>
          <w:p w14:paraId="17610D2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Use of Forensic Accounting in Prevention of Frauds in Bursary Department, University of Jos, Nigeria</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014143B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Educational Research in Developing Areas</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3FCF9B1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Nigeria</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1A7CE85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8102 - Higher Education</w:t>
            </w:r>
          </w:p>
        </w:tc>
      </w:tr>
      <w:tr w:rsidR="00241ACB" w:rsidRPr="006B2F60" w14:paraId="105FCEB2"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4"/>
        </w:trPr>
        <w:tc>
          <w:tcPr>
            <w:tcW w:w="670" w:type="pct"/>
            <w:tcBorders>
              <w:top w:val="single" w:sz="4" w:space="0" w:color="auto"/>
              <w:left w:val="single" w:sz="4" w:space="0" w:color="auto"/>
              <w:bottom w:val="single" w:sz="4" w:space="0" w:color="auto"/>
              <w:right w:val="single" w:sz="4" w:space="0" w:color="auto"/>
            </w:tcBorders>
            <w:shd w:val="clear" w:color="auto" w:fill="auto"/>
            <w:hideMark/>
          </w:tcPr>
          <w:p w14:paraId="697FC45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AuthorYear="1"&gt;&lt;Author&gt;Kareem&lt;/Author&gt;&lt;Year&gt;2020&lt;/Year&gt;&lt;RecNum&gt;1098&lt;/RecNum&gt;&lt;DisplayText&gt;Kareem et al. (2020)&lt;/DisplayText&gt;&lt;record&gt;&lt;rec-number&gt;1098&lt;/rec-number&gt;&lt;foreign-keys&gt;&lt;key app="EN" db-id="dptp5pfxc5f2t6exvwlx0ve0fp5zwfx0ptw2" timestamp="1717466617"&gt;1098&lt;/key&gt;&lt;/foreign-keys&gt;&lt;ref-type name="Journal Article"&gt;17&lt;/ref-type&gt;&lt;contributors&gt;&lt;authors&gt;&lt;author&gt;Kareem, Ro&lt;/author&gt;&lt;author&gt;Arije, Ra&lt;/author&gt;&lt;author&gt;Avovome, Yh&lt;/author&gt;&lt;/authors&gt;&lt;/contributors&gt;&lt;titles&gt;&lt;title&gt;Value Added Tax and Economic Growth in Nigeria &lt;/title&gt;&lt;secondary-title&gt;IZVESTIYA Journal of Varna University of Economics&lt;/secondary-title&gt;&lt;/titles&gt;&lt;periodical&gt;&lt;full-title&gt;IZVESTIYA Journal of Varna University of Economics&lt;/full-title&gt;&lt;/periodical&gt;&lt;pages&gt;p.137-152&lt;/pages&gt;&lt;volume&gt;64&lt;/volume&gt;&lt;dates&gt;&lt;year&gt;2020&lt;/year&gt;&lt;/dates&gt;&lt;urls&gt;&lt;/urls&gt;&lt;/record&gt;&lt;/Cite&gt;&lt;/EndNote&gt;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noProof/>
                <w:color w:val="000000"/>
                <w:sz w:val="16"/>
                <w:szCs w:val="16"/>
                <w:lang w:eastAsia="en-GB"/>
              </w:rPr>
              <w:t>Kareem et al. (2020)</w:t>
            </w:r>
            <w:r w:rsidRPr="006B2F60">
              <w:rPr>
                <w:rFonts w:eastAsia="Times New Roman" w:cstheme="minorHAnsi"/>
                <w:color w:val="000000"/>
                <w:sz w:val="16"/>
                <w:szCs w:val="16"/>
                <w:lang w:eastAsia="en-GB"/>
              </w:rPr>
              <w:fldChar w:fldCharType="end"/>
            </w:r>
          </w:p>
        </w:tc>
        <w:tc>
          <w:tcPr>
            <w:tcW w:w="1627" w:type="pct"/>
            <w:tcBorders>
              <w:top w:val="single" w:sz="4" w:space="0" w:color="auto"/>
              <w:left w:val="single" w:sz="4" w:space="0" w:color="auto"/>
              <w:bottom w:val="single" w:sz="4" w:space="0" w:color="auto"/>
              <w:right w:val="single" w:sz="4" w:space="0" w:color="auto"/>
            </w:tcBorders>
            <w:shd w:val="clear" w:color="auto" w:fill="auto"/>
            <w:hideMark/>
          </w:tcPr>
          <w:p w14:paraId="659BC8D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Value Added Tax And Economic Growth in Nigeria</w:t>
            </w:r>
            <w:r w:rsidRPr="006B2F60">
              <w:rPr>
                <w:rFonts w:eastAsia="Times New Roman" w:cstheme="minorHAnsi"/>
                <w:color w:val="000000"/>
                <w:sz w:val="16"/>
                <w:szCs w:val="16"/>
                <w:lang w:eastAsia="en-GB"/>
              </w:rPr>
              <w:br/>
              <w:t>(1994 – 2017)</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2474E9C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IZVESTIYA</w:t>
            </w:r>
            <w:r w:rsidRPr="006B2F60">
              <w:rPr>
                <w:rFonts w:eastAsia="Times New Roman" w:cstheme="minorHAnsi"/>
                <w:color w:val="000000"/>
                <w:sz w:val="16"/>
                <w:szCs w:val="16"/>
                <w:lang w:eastAsia="en-GB"/>
              </w:rPr>
              <w:br/>
              <w:t>Journal of Varna University of Economics</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3438381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Nigeria</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6BCC1C1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0CFEECF8"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0"/>
        </w:trPr>
        <w:tc>
          <w:tcPr>
            <w:tcW w:w="670" w:type="pct"/>
            <w:tcBorders>
              <w:top w:val="single" w:sz="4" w:space="0" w:color="auto"/>
              <w:left w:val="single" w:sz="4" w:space="0" w:color="auto"/>
              <w:bottom w:val="single" w:sz="4" w:space="0" w:color="auto"/>
              <w:right w:val="single" w:sz="4" w:space="0" w:color="auto"/>
            </w:tcBorders>
            <w:shd w:val="clear" w:color="auto" w:fill="auto"/>
            <w:hideMark/>
          </w:tcPr>
          <w:p w14:paraId="468938D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AuthorYear="1"&gt;&lt;Author&gt;Kazemi Zaroomi&lt;/Author&gt;&lt;Year&gt;2020&lt;/Year&gt;&lt;RecNum&gt;1100&lt;/RecNum&gt;&lt;DisplayText&gt;Kazemi Zaroomi et al. (2020)&lt;/DisplayText&gt;&lt;record&gt;&lt;rec-number&gt;1100&lt;/rec-number&gt;&lt;foreign-keys&gt;&lt;key app="EN" db-id="dptp5pfxc5f2t6exvwlx0ve0fp5zwfx0ptw2" timestamp="1717466933"&gt;1100&lt;/key&gt;&lt;/foreign-keys&gt;&lt;ref-type name="Journal Article"&gt;17&lt;/ref-type&gt;&lt;contributors&gt;&lt;authors&gt;&lt;author&gt;Kazemi Zaroomi, Hasan&lt;/author&gt;&lt;author&gt;Jafari Samimi, Ahmad&lt;/author&gt;&lt;author&gt;Karimi Potanlar, Saeed&lt;/author&gt;&lt;/authors&gt;&lt;/contributors&gt;&lt;titles&gt;&lt;title&gt;The impact of inflation targeting on direct taxes in selected countries: A propensity score matching (psm) approach&lt;/title&gt;&lt;secondary-title&gt;International Journal of New Political Economy&lt;/secondary-title&gt;&lt;/titles&gt;&lt;periodical&gt;&lt;full-title&gt;International Journal of New Political Economy&lt;/full-title&gt;&lt;/periodical&gt;&lt;pages&gt;p.133-151&lt;/pages&gt;&lt;volume&gt;1&lt;/volume&gt;&lt;number&gt;2&lt;/number&gt;&lt;dates&gt;&lt;year&gt;2020&lt;/year&gt;&lt;/dates&gt;&lt;isbn&gt;2717-1485&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Kazemi Zaroomi et al. (2020)</w:t>
            </w:r>
            <w:r w:rsidRPr="006B2F60">
              <w:rPr>
                <w:rFonts w:eastAsia="Times New Roman" w:cstheme="minorHAnsi"/>
                <w:color w:val="000000"/>
                <w:sz w:val="16"/>
                <w:szCs w:val="16"/>
                <w:lang w:eastAsia="en-GB"/>
              </w:rPr>
              <w:fldChar w:fldCharType="end"/>
            </w:r>
          </w:p>
        </w:tc>
        <w:tc>
          <w:tcPr>
            <w:tcW w:w="1627" w:type="pct"/>
            <w:tcBorders>
              <w:top w:val="single" w:sz="4" w:space="0" w:color="auto"/>
              <w:left w:val="single" w:sz="4" w:space="0" w:color="auto"/>
              <w:bottom w:val="single" w:sz="4" w:space="0" w:color="auto"/>
              <w:right w:val="single" w:sz="4" w:space="0" w:color="auto"/>
            </w:tcBorders>
            <w:shd w:val="clear" w:color="auto" w:fill="auto"/>
            <w:hideMark/>
          </w:tcPr>
          <w:p w14:paraId="1956501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Impact of Inflation Targeting on Direct Taxes in Selected Countries: A Propensity Score Matching (Psm) Approach</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1F4B873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Journal of New Political Economy</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2F8EB19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Cross-Country</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1040476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592281F9"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0"/>
        </w:trPr>
        <w:tc>
          <w:tcPr>
            <w:tcW w:w="670" w:type="pct"/>
            <w:tcBorders>
              <w:top w:val="single" w:sz="4" w:space="0" w:color="auto"/>
              <w:left w:val="single" w:sz="4" w:space="0" w:color="auto"/>
              <w:bottom w:val="single" w:sz="4" w:space="0" w:color="auto"/>
              <w:right w:val="single" w:sz="4" w:space="0" w:color="auto"/>
            </w:tcBorders>
            <w:shd w:val="clear" w:color="auto" w:fill="auto"/>
          </w:tcPr>
          <w:p w14:paraId="2AD5975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AuthorYear="1"&gt;&lt;Author&gt;Ochuodho&lt;/Author&gt;&lt;Year&gt;2020&lt;/Year&gt;&lt;RecNum&gt;1123&lt;/RecNum&gt;&lt;DisplayText&gt;Ochuodho and Ngaba (2020)&lt;/DisplayText&gt;&lt;record&gt;&lt;rec-number&gt;1123&lt;/rec-number&gt;&lt;foreign-keys&gt;&lt;key app="EN" db-id="dptp5pfxc5f2t6exvwlx0ve0fp5zwfx0ptw2" timestamp="1717920010"&gt;1123&lt;/key&gt;&lt;/foreign-keys&gt;&lt;ref-type name="Journal Article"&gt;17&lt;/ref-type&gt;&lt;contributors&gt;&lt;authors&gt;&lt;author&gt;Ochuodho, H&lt;/author&gt;&lt;author&gt;Ngaba, Dominic&lt;/author&gt;&lt;/authors&gt;&lt;/contributors&gt;&lt;titles&gt;&lt;title&gt;Revenue Administration Strategies and Financial Performance of County Government of Kisumu, Kenya&lt;/title&gt;&lt;secondary-title&gt;International Journal of Economics, Business and Management Research&lt;/secondary-title&gt;&lt;/titles&gt;&lt;periodical&gt;&lt;full-title&gt;International Journal of Economics, Business and Management Research&lt;/full-title&gt;&lt;/periodical&gt;&lt;pages&gt;p.230-251&lt;/pages&gt;&lt;volume&gt;4&lt;/volume&gt;&lt;number&gt;12&lt;/number&gt;&lt;dates&gt;&lt;year&gt;2020&lt;/year&gt;&lt;/dates&gt;&lt;urls&gt;&lt;/urls&gt;&lt;/record&gt;&lt;/Cite&gt;&lt;/EndNote&gt;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Ochuodho and Ngaba (2020)</w:t>
            </w:r>
            <w:r w:rsidRPr="006B2F60">
              <w:rPr>
                <w:rFonts w:eastAsia="Times New Roman" w:cstheme="minorHAnsi"/>
                <w:color w:val="000000"/>
                <w:sz w:val="16"/>
                <w:szCs w:val="16"/>
                <w:lang w:eastAsia="en-GB"/>
              </w:rPr>
              <w:fldChar w:fldCharType="end"/>
            </w:r>
            <w:r w:rsidRPr="006B2F60">
              <w:rPr>
                <w:rFonts w:eastAsia="Times New Roman" w:cstheme="minorHAnsi"/>
                <w:color w:val="000000"/>
                <w:sz w:val="16"/>
                <w:szCs w:val="16"/>
                <w:lang w:eastAsia="en-GB"/>
              </w:rPr>
              <w:t xml:space="preserve"> </w:t>
            </w:r>
          </w:p>
        </w:tc>
        <w:tc>
          <w:tcPr>
            <w:tcW w:w="1627" w:type="pct"/>
            <w:tcBorders>
              <w:top w:val="single" w:sz="4" w:space="0" w:color="auto"/>
              <w:left w:val="single" w:sz="4" w:space="0" w:color="auto"/>
              <w:bottom w:val="single" w:sz="4" w:space="0" w:color="auto"/>
              <w:right w:val="single" w:sz="4" w:space="0" w:color="auto"/>
            </w:tcBorders>
            <w:shd w:val="clear" w:color="auto" w:fill="auto"/>
          </w:tcPr>
          <w:p w14:paraId="5F1B0B9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Revenue Administration Strategies and Financial Performance of County Government of Kisumu, Kenya</w:t>
            </w:r>
          </w:p>
        </w:tc>
        <w:tc>
          <w:tcPr>
            <w:tcW w:w="1095" w:type="pct"/>
            <w:tcBorders>
              <w:top w:val="single" w:sz="4" w:space="0" w:color="auto"/>
              <w:left w:val="single" w:sz="4" w:space="0" w:color="auto"/>
              <w:bottom w:val="single" w:sz="4" w:space="0" w:color="auto"/>
              <w:right w:val="single" w:sz="4" w:space="0" w:color="auto"/>
            </w:tcBorders>
            <w:shd w:val="clear" w:color="auto" w:fill="auto"/>
          </w:tcPr>
          <w:p w14:paraId="2B9881C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Journal of Economics, Business and Management Research</w:t>
            </w:r>
          </w:p>
        </w:tc>
        <w:tc>
          <w:tcPr>
            <w:tcW w:w="578" w:type="pct"/>
            <w:tcBorders>
              <w:top w:val="single" w:sz="4" w:space="0" w:color="auto"/>
              <w:left w:val="single" w:sz="4" w:space="0" w:color="auto"/>
              <w:bottom w:val="single" w:sz="4" w:space="0" w:color="auto"/>
              <w:right w:val="single" w:sz="4" w:space="0" w:color="auto"/>
            </w:tcBorders>
            <w:shd w:val="clear" w:color="auto" w:fill="auto"/>
          </w:tcPr>
          <w:p w14:paraId="14B7E55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Kenya</w:t>
            </w:r>
          </w:p>
        </w:tc>
        <w:tc>
          <w:tcPr>
            <w:tcW w:w="1030" w:type="pct"/>
            <w:tcBorders>
              <w:top w:val="single" w:sz="4" w:space="0" w:color="auto"/>
              <w:left w:val="single" w:sz="4" w:space="0" w:color="auto"/>
              <w:bottom w:val="single" w:sz="4" w:space="0" w:color="auto"/>
              <w:right w:val="single" w:sz="4" w:space="0" w:color="auto"/>
            </w:tcBorders>
            <w:shd w:val="clear" w:color="auto" w:fill="auto"/>
          </w:tcPr>
          <w:p w14:paraId="6DE72FD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r>
      <w:tr w:rsidR="00241ACB" w:rsidRPr="006B2F60" w14:paraId="42B3B3EF"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91"/>
        </w:trPr>
        <w:tc>
          <w:tcPr>
            <w:tcW w:w="670" w:type="pct"/>
            <w:tcBorders>
              <w:top w:val="single" w:sz="4" w:space="0" w:color="auto"/>
              <w:left w:val="single" w:sz="4" w:space="0" w:color="auto"/>
              <w:bottom w:val="single" w:sz="4" w:space="0" w:color="auto"/>
              <w:right w:val="single" w:sz="4" w:space="0" w:color="auto"/>
            </w:tcBorders>
            <w:shd w:val="clear" w:color="auto" w:fill="auto"/>
            <w:hideMark/>
          </w:tcPr>
          <w:p w14:paraId="1BE122D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AuthorYear="1"&gt;&lt;Author&gt;Mbasiti&lt;/Author&gt;&lt;Year&gt;2021&lt;/Year&gt;&lt;RecNum&gt;949&lt;/RecNum&gt;&lt;DisplayText&gt;Mbasiti et al. (2021)&lt;/DisplayText&gt;&lt;record&gt;&lt;rec-number&gt;949&lt;/rec-number&gt;&lt;foreign-keys&gt;&lt;key app="EN" db-id="dptp5pfxc5f2t6exvwlx0ve0fp5zwfx0ptw2" timestamp="1706120490"&gt;949&lt;/key&gt;&lt;/foreign-keys&gt;&lt;ref-type name="Journal Article"&gt;17&lt;/ref-type&gt;&lt;contributors&gt;&lt;authors&gt;&lt;author&gt;Mbasiti, Taiya Haziel&lt;/author&gt;&lt;author&gt;Gyang, Jugu Yohanna&lt;/author&gt;&lt;author&gt;Ojaide, F&lt;/author&gt;&lt;/authors&gt;&lt;/contributors&gt;&lt;titles&gt;&lt;title&gt;Forensic accounting techniques: Tools for preventing revenue leakages in Nigerian federal Universities&lt;/title&gt;&lt;secondary-title&gt;International Journal of Innovative Science and Research Technology&lt;/secondary-title&gt;&lt;/titles&gt;&lt;periodical&gt;&lt;full-title&gt;International Journal of Innovative Science and Research Technology&lt;/full-title&gt;&lt;/periodical&gt;&lt;pages&gt;p.1384-1393&lt;/pages&gt;&lt;volume&gt;6&lt;/volume&gt;&lt;number&gt;5&lt;/number&gt;&lt;dates&gt;&lt;year&gt;2021&lt;/year&gt;&lt;/dates&gt;&lt;urls&gt;&lt;/urls&gt;&lt;/record&gt;&lt;/Cite&gt;&lt;/EndNote&gt;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Mbasiti et al. (2021)</w:t>
            </w:r>
            <w:r w:rsidRPr="006B2F60">
              <w:rPr>
                <w:rFonts w:eastAsia="Times New Roman" w:cstheme="minorHAnsi"/>
                <w:color w:val="000000"/>
                <w:sz w:val="16"/>
                <w:szCs w:val="16"/>
                <w:lang w:eastAsia="en-GB"/>
              </w:rPr>
              <w:fldChar w:fldCharType="end"/>
            </w:r>
          </w:p>
        </w:tc>
        <w:tc>
          <w:tcPr>
            <w:tcW w:w="1627" w:type="pct"/>
            <w:tcBorders>
              <w:top w:val="single" w:sz="4" w:space="0" w:color="auto"/>
              <w:left w:val="single" w:sz="4" w:space="0" w:color="auto"/>
              <w:bottom w:val="single" w:sz="4" w:space="0" w:color="auto"/>
              <w:right w:val="single" w:sz="4" w:space="0" w:color="auto"/>
            </w:tcBorders>
            <w:shd w:val="clear" w:color="auto" w:fill="auto"/>
            <w:hideMark/>
          </w:tcPr>
          <w:p w14:paraId="270390B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Forensic Accounting Techniques: Tools for Preventing Revenue Leakages in Nigerian Federal Universities</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4ED29B4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Journal of Innovative Science and Research Technology</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009D0AB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Nigeria</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23B06F8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8102 - Higher Education</w:t>
            </w:r>
          </w:p>
        </w:tc>
      </w:tr>
      <w:tr w:rsidR="00241ACB" w:rsidRPr="006B2F60" w14:paraId="2E823059"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0"/>
        </w:trPr>
        <w:tc>
          <w:tcPr>
            <w:tcW w:w="670" w:type="pct"/>
            <w:tcBorders>
              <w:top w:val="single" w:sz="4" w:space="0" w:color="auto"/>
              <w:left w:val="single" w:sz="4" w:space="0" w:color="auto"/>
              <w:bottom w:val="single" w:sz="4" w:space="0" w:color="auto"/>
              <w:right w:val="single" w:sz="4" w:space="0" w:color="auto"/>
            </w:tcBorders>
            <w:shd w:val="clear" w:color="auto" w:fill="auto"/>
            <w:hideMark/>
          </w:tcPr>
          <w:p w14:paraId="030AC30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AuthorYear="1"&gt;&lt;Author&gt;Andrabi&lt;/Author&gt;&lt;Year&gt;2021&lt;/Year&gt;&lt;RecNum&gt;941&lt;/RecNum&gt;&lt;DisplayText&gt;Andrabi and Brindha (2021)&lt;/DisplayText&gt;&lt;record&gt;&lt;rec-number&gt;941&lt;/rec-number&gt;&lt;foreign-keys&gt;&lt;key app="EN" db-id="dptp5pfxc5f2t6exvwlx0ve0fp5zwfx0ptw2" timestamp="1706091308"&gt;941&lt;/key&gt;&lt;/foreign-keys&gt;&lt;ref-type name="Journal Article"&gt;17&lt;/ref-type&gt;&lt;contributors&gt;&lt;authors&gt;&lt;author&gt;Andrabi, Syed Roohul&lt;/author&gt;&lt;author&gt;Brindha, G&lt;/author&gt;&lt;/authors&gt;&lt;/contributors&gt;&lt;titles&gt;&lt;title&gt;A Study On Impact Of Near Miss On Operational Risk Of Hdfc Bank Ltd&lt;/title&gt;&lt;secondary-title&gt;Turkish Online Journal of Qualitative Inquiry&lt;/secondary-title&gt;&lt;/titles&gt;&lt;periodical&gt;&lt;full-title&gt;Turkish Online Journal of Qualitative Inquiry&lt;/full-title&gt;&lt;/periodical&gt;&lt;pages&gt;p.7835 - 7839&lt;/pages&gt;&lt;volume&gt;12&lt;/volume&gt;&lt;number&gt;7&lt;/number&gt;&lt;dates&gt;&lt;year&gt;2021&lt;/year&gt;&lt;/dates&gt;&lt;isbn&gt;1309-6591&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Andrabi and Brindha (2021)</w:t>
            </w:r>
            <w:r w:rsidRPr="006B2F60">
              <w:rPr>
                <w:rFonts w:eastAsia="Times New Roman" w:cstheme="minorHAnsi"/>
                <w:color w:val="000000"/>
                <w:sz w:val="16"/>
                <w:szCs w:val="16"/>
                <w:lang w:eastAsia="en-GB"/>
              </w:rPr>
              <w:fldChar w:fldCharType="end"/>
            </w:r>
          </w:p>
        </w:tc>
        <w:tc>
          <w:tcPr>
            <w:tcW w:w="1627" w:type="pct"/>
            <w:tcBorders>
              <w:top w:val="single" w:sz="4" w:space="0" w:color="auto"/>
              <w:left w:val="single" w:sz="4" w:space="0" w:color="auto"/>
              <w:bottom w:val="single" w:sz="4" w:space="0" w:color="auto"/>
              <w:right w:val="single" w:sz="4" w:space="0" w:color="auto"/>
            </w:tcBorders>
            <w:shd w:val="clear" w:color="auto" w:fill="auto"/>
            <w:hideMark/>
          </w:tcPr>
          <w:p w14:paraId="4EE80A8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A Study on Impact of Near Miss on Operational Risk Of HDFC Bank Ltd. </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36E8BEF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Turkish Online Journal of Qualitative Inquiry</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19F356D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India</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275622C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6221 - Banking</w:t>
            </w:r>
          </w:p>
        </w:tc>
      </w:tr>
      <w:tr w:rsidR="00241ACB" w:rsidRPr="006B2F60" w14:paraId="59B0882D"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0"/>
        </w:trPr>
        <w:tc>
          <w:tcPr>
            <w:tcW w:w="670" w:type="pct"/>
            <w:tcBorders>
              <w:top w:val="single" w:sz="4" w:space="0" w:color="auto"/>
              <w:left w:val="single" w:sz="4" w:space="0" w:color="auto"/>
              <w:bottom w:val="single" w:sz="4" w:space="0" w:color="auto"/>
              <w:right w:val="single" w:sz="4" w:space="0" w:color="auto"/>
            </w:tcBorders>
            <w:shd w:val="clear" w:color="auto" w:fill="auto"/>
            <w:hideMark/>
          </w:tcPr>
          <w:p w14:paraId="5385954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AuthorYear="1"&gt;&lt;Author&gt;Mashiri&lt;/Author&gt;&lt;Year&gt;2021&lt;/Year&gt;&lt;RecNum&gt;748&lt;/RecNum&gt;&lt;DisplayText&gt;Mashiri et al. (2021)&lt;/DisplayText&gt;&lt;record&gt;&lt;rec-number&gt;748&lt;/rec-number&gt;&lt;foreign-keys&gt;&lt;key app="EN" db-id="dptp5pfxc5f2t6exvwlx0ve0fp5zwfx0ptw2" timestamp="1633856734"&gt;748&lt;/key&gt;&lt;/foreign-keys&gt;&lt;ref-type name="Journal Article"&gt;17&lt;/ref-type&gt;&lt;contributors&gt;&lt;authors&gt;&lt;author&gt;Mashiri, Eukeria&lt;/author&gt;&lt;author&gt;Dzomira, Shewangu&lt;/author&gt;&lt;author&gt;Canicio, Dzingirai&lt;/author&gt;&lt;/authors&gt;&lt;/contributors&gt;&lt;titles&gt;&lt;title&gt;Transfer pricing auditing and tax forestalling by Multinational Corporations: A game theoretic approach&lt;/title&gt;&lt;secondary-title&gt;Cogent Business &amp;amp; Management&lt;/secondary-title&gt;&lt;/titles&gt;&lt;periodical&gt;&lt;full-title&gt;Cogent Business &amp;amp; Management&lt;/full-title&gt;&lt;/periodical&gt;&lt;pages&gt;p.1-17&lt;/pages&gt;&lt;volume&gt;8&lt;/volume&gt;&lt;number&gt;1&lt;/number&gt;&lt;num-vols&gt;1907012&lt;/num-vols&gt;&lt;dates&gt;&lt;year&gt;2021&lt;/year&gt;&lt;/dates&gt;&lt;isbn&gt;2331-1975&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Mashiri et al. (2021)</w:t>
            </w:r>
            <w:r w:rsidRPr="006B2F60">
              <w:rPr>
                <w:rFonts w:eastAsia="Times New Roman" w:cstheme="minorHAnsi"/>
                <w:color w:val="000000"/>
                <w:sz w:val="16"/>
                <w:szCs w:val="16"/>
                <w:lang w:eastAsia="en-GB"/>
              </w:rPr>
              <w:fldChar w:fldCharType="end"/>
            </w:r>
          </w:p>
        </w:tc>
        <w:tc>
          <w:tcPr>
            <w:tcW w:w="1627" w:type="pct"/>
            <w:tcBorders>
              <w:top w:val="single" w:sz="4" w:space="0" w:color="auto"/>
              <w:left w:val="single" w:sz="4" w:space="0" w:color="auto"/>
              <w:bottom w:val="single" w:sz="4" w:space="0" w:color="auto"/>
              <w:right w:val="single" w:sz="4" w:space="0" w:color="auto"/>
            </w:tcBorders>
            <w:shd w:val="clear" w:color="auto" w:fill="auto"/>
            <w:hideMark/>
          </w:tcPr>
          <w:p w14:paraId="46BDBC6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Transfer Pricing Auditing and Tax Forestalling by Multinational Corporations: A Game Theoretic Approach</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77F1D14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Cogent Business &amp; Management</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12F64F1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Cross-Country</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0E43CA3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3AD99B5F"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79"/>
        </w:trPr>
        <w:tc>
          <w:tcPr>
            <w:tcW w:w="670" w:type="pct"/>
            <w:tcBorders>
              <w:top w:val="single" w:sz="4" w:space="0" w:color="auto"/>
              <w:left w:val="single" w:sz="4" w:space="0" w:color="auto"/>
              <w:bottom w:val="single" w:sz="4" w:space="0" w:color="auto"/>
              <w:right w:val="single" w:sz="4" w:space="0" w:color="auto"/>
            </w:tcBorders>
            <w:shd w:val="clear" w:color="auto" w:fill="auto"/>
            <w:hideMark/>
          </w:tcPr>
          <w:p w14:paraId="6465000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AuthorYear="1"&gt;&lt;Author&gt;Angok&lt;/Author&gt;&lt;Year&gt;2021&lt;/Year&gt;&lt;RecNum&gt;1111&lt;/RecNum&gt;&lt;DisplayText&gt;Angok et al. (2021)&lt;/DisplayText&gt;&lt;record&gt;&lt;rec-number&gt;1111&lt;/rec-number&gt;&lt;foreign-keys&gt;&lt;key app="EN" db-id="dptp5pfxc5f2t6exvwlx0ve0fp5zwfx0ptw2" timestamp="1717467990"&gt;1111&lt;/key&gt;&lt;/foreign-keys&gt;&lt;ref-type name="Journal Article"&gt;17&lt;/ref-type&gt;&lt;contributors&gt;&lt;authors&gt;&lt;author&gt;Angok, Garang Majak Bol&lt;/author&gt;&lt;author&gt;Reat, Thomas Gatluak&lt;/author&gt;&lt;author&gt;Majer, Chol Gabriel&lt;/author&gt;&lt;author&gt;Kur, Lual Daniel&lt;/author&gt;&lt;/authors&gt;&lt;/contributors&gt;&lt;titles&gt;&lt;title&gt;Impact of non-oil Revenue collection/mobilization on Public Financial Management in South Sudan: a case study on National Ministry of Finance and Planning&lt;/title&gt;&lt;secondary-title&gt;International Journal of Science and Business&lt;/secondary-title&gt;&lt;/titles&gt;&lt;periodical&gt;&lt;full-title&gt;International Journal of Science and Business&lt;/full-title&gt;&lt;/periodical&gt;&lt;pages&gt;p.94-117&lt;/pages&gt;&lt;volume&gt;5&lt;/volume&gt;&lt;number&gt;7&lt;/number&gt;&lt;dates&gt;&lt;year&gt;2021&lt;/year&gt;&lt;/dates&gt;&lt;urls&gt;&lt;/urls&gt;&lt;/record&gt;&lt;/Cite&gt;&lt;/EndNote&gt;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Angok et al. (2021)</w:t>
            </w:r>
            <w:r w:rsidRPr="006B2F60">
              <w:rPr>
                <w:rFonts w:eastAsia="Times New Roman" w:cstheme="minorHAnsi"/>
                <w:color w:val="000000"/>
                <w:sz w:val="16"/>
                <w:szCs w:val="16"/>
                <w:lang w:eastAsia="en-GB"/>
              </w:rPr>
              <w:fldChar w:fldCharType="end"/>
            </w:r>
          </w:p>
        </w:tc>
        <w:tc>
          <w:tcPr>
            <w:tcW w:w="1627" w:type="pct"/>
            <w:tcBorders>
              <w:top w:val="single" w:sz="4" w:space="0" w:color="auto"/>
              <w:left w:val="single" w:sz="4" w:space="0" w:color="auto"/>
              <w:bottom w:val="single" w:sz="4" w:space="0" w:color="auto"/>
              <w:right w:val="single" w:sz="4" w:space="0" w:color="auto"/>
            </w:tcBorders>
            <w:shd w:val="clear" w:color="auto" w:fill="auto"/>
            <w:hideMark/>
          </w:tcPr>
          <w:p w14:paraId="11BF435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Impact of Non-Oil Revenue Collection/Mobilisation on Public Financial Management in South Sudan: A Case Study on National Ministry of Finance and Planning</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71884EC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Journal of</w:t>
            </w:r>
            <w:r w:rsidRPr="006B2F60">
              <w:rPr>
                <w:rFonts w:eastAsia="Times New Roman" w:cstheme="minorHAnsi"/>
                <w:color w:val="000000"/>
                <w:sz w:val="16"/>
                <w:szCs w:val="16"/>
                <w:lang w:eastAsia="en-GB"/>
              </w:rPr>
              <w:br/>
              <w:t>Science and Business</w:t>
            </w: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15431C2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South Sudan</w:t>
            </w:r>
          </w:p>
        </w:tc>
        <w:tc>
          <w:tcPr>
            <w:tcW w:w="1030" w:type="pct"/>
            <w:tcBorders>
              <w:top w:val="single" w:sz="4" w:space="0" w:color="auto"/>
              <w:left w:val="single" w:sz="4" w:space="0" w:color="auto"/>
              <w:bottom w:val="single" w:sz="4" w:space="0" w:color="auto"/>
              <w:right w:val="single" w:sz="4" w:space="0" w:color="auto"/>
            </w:tcBorders>
            <w:shd w:val="clear" w:color="auto" w:fill="auto"/>
            <w:hideMark/>
          </w:tcPr>
          <w:p w14:paraId="4A9B174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3D1F0B64"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79"/>
        </w:trPr>
        <w:tc>
          <w:tcPr>
            <w:tcW w:w="670" w:type="pct"/>
            <w:tcBorders>
              <w:top w:val="single" w:sz="4" w:space="0" w:color="auto"/>
              <w:left w:val="single" w:sz="4" w:space="0" w:color="auto"/>
              <w:bottom w:val="single" w:sz="4" w:space="0" w:color="auto"/>
              <w:right w:val="single" w:sz="4" w:space="0" w:color="auto"/>
            </w:tcBorders>
            <w:shd w:val="clear" w:color="auto" w:fill="auto"/>
          </w:tcPr>
          <w:p w14:paraId="492A606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AuthorYear="1"&gt;&lt;Author&gt;Thyaka&lt;/Author&gt;&lt;Year&gt;2021&lt;/Year&gt;&lt;RecNum&gt;1124&lt;/RecNum&gt;&lt;DisplayText&gt;Thyaka and Kavale (2021)&lt;/DisplayText&gt;&lt;record&gt;&lt;rec-number&gt;1124&lt;/rec-number&gt;&lt;foreign-keys&gt;&lt;key app="EN" db-id="dptp5pfxc5f2t6exvwlx0ve0fp5zwfx0ptw2" timestamp="1717920052"&gt;1124&lt;/key&gt;&lt;/foreign-keys&gt;&lt;ref-type name="Journal Article"&gt;17&lt;/ref-type&gt;&lt;contributors&gt;&lt;authors&gt;&lt;author&gt;Thyaka, FV&lt;/author&gt;&lt;author&gt;Kavale, S&lt;/author&gt;&lt;/authors&gt;&lt;/contributors&gt;&lt;titles&gt;&lt;title&gt;Effects of internal controls on revenue collection; A case of Kenya Revenue Authority&lt;/title&gt;&lt;secondary-title&gt;The Strategic Journal of Business &amp;amp; Change Management&lt;/secondary-title&gt;&lt;/titles&gt;&lt;periodical&gt;&lt;full-title&gt;The Strategic Journal of Business &amp;amp; Change Management&lt;/full-title&gt;&lt;/periodical&gt;&lt;pages&gt;p.347-363&lt;/pages&gt;&lt;volume&gt;8&lt;/volume&gt;&lt;number&gt;1&lt;/number&gt;&lt;dates&gt;&lt;year&gt;2021&lt;/year&gt;&lt;/dates&gt;&lt;urls&gt;&lt;/urls&gt;&lt;/record&gt;&lt;/Cite&gt;&lt;/EndNote&gt;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Thyaka and Kavale (2021)</w:t>
            </w:r>
            <w:r w:rsidRPr="006B2F60">
              <w:rPr>
                <w:rFonts w:eastAsia="Times New Roman" w:cstheme="minorHAnsi"/>
                <w:color w:val="000000"/>
                <w:sz w:val="16"/>
                <w:szCs w:val="16"/>
                <w:lang w:eastAsia="en-GB"/>
              </w:rPr>
              <w:fldChar w:fldCharType="end"/>
            </w:r>
          </w:p>
        </w:tc>
        <w:tc>
          <w:tcPr>
            <w:tcW w:w="1627" w:type="pct"/>
            <w:tcBorders>
              <w:top w:val="single" w:sz="4" w:space="0" w:color="auto"/>
              <w:left w:val="single" w:sz="4" w:space="0" w:color="auto"/>
              <w:bottom w:val="single" w:sz="4" w:space="0" w:color="auto"/>
              <w:right w:val="single" w:sz="4" w:space="0" w:color="auto"/>
            </w:tcBorders>
            <w:shd w:val="clear" w:color="auto" w:fill="auto"/>
          </w:tcPr>
          <w:p w14:paraId="79C147E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Effects of Internal Controls on Revenue Collection: A Case of Kenya Revenue Authority</w:t>
            </w:r>
          </w:p>
        </w:tc>
        <w:tc>
          <w:tcPr>
            <w:tcW w:w="1095" w:type="pct"/>
            <w:tcBorders>
              <w:top w:val="single" w:sz="4" w:space="0" w:color="auto"/>
              <w:left w:val="single" w:sz="4" w:space="0" w:color="auto"/>
              <w:bottom w:val="single" w:sz="4" w:space="0" w:color="auto"/>
              <w:right w:val="single" w:sz="4" w:space="0" w:color="auto"/>
            </w:tcBorders>
            <w:shd w:val="clear" w:color="auto" w:fill="auto"/>
          </w:tcPr>
          <w:p w14:paraId="06F045C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Strategic Journal of Business &amp; Change Management</w:t>
            </w:r>
          </w:p>
        </w:tc>
        <w:tc>
          <w:tcPr>
            <w:tcW w:w="578" w:type="pct"/>
            <w:tcBorders>
              <w:top w:val="single" w:sz="4" w:space="0" w:color="auto"/>
              <w:left w:val="single" w:sz="4" w:space="0" w:color="auto"/>
              <w:bottom w:val="single" w:sz="4" w:space="0" w:color="auto"/>
              <w:right w:val="single" w:sz="4" w:space="0" w:color="auto"/>
            </w:tcBorders>
            <w:shd w:val="clear" w:color="auto" w:fill="auto"/>
          </w:tcPr>
          <w:p w14:paraId="4AB0D90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Kenya</w:t>
            </w:r>
          </w:p>
        </w:tc>
        <w:tc>
          <w:tcPr>
            <w:tcW w:w="1030" w:type="pct"/>
            <w:tcBorders>
              <w:top w:val="single" w:sz="4" w:space="0" w:color="auto"/>
              <w:left w:val="single" w:sz="4" w:space="0" w:color="auto"/>
              <w:bottom w:val="single" w:sz="4" w:space="0" w:color="auto"/>
              <w:right w:val="single" w:sz="4" w:space="0" w:color="auto"/>
            </w:tcBorders>
            <w:shd w:val="clear" w:color="auto" w:fill="auto"/>
          </w:tcPr>
          <w:p w14:paraId="7D839CB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5603391F"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17"/>
        </w:trPr>
        <w:tc>
          <w:tcPr>
            <w:tcW w:w="670" w:type="pct"/>
            <w:tcBorders>
              <w:top w:val="single" w:sz="4" w:space="0" w:color="auto"/>
              <w:left w:val="single" w:sz="4" w:space="0" w:color="auto"/>
              <w:bottom w:val="single" w:sz="4" w:space="0" w:color="auto"/>
              <w:right w:val="single" w:sz="4" w:space="0" w:color="auto"/>
            </w:tcBorders>
            <w:shd w:val="clear" w:color="auto" w:fill="auto"/>
          </w:tcPr>
          <w:p w14:paraId="6B04D41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AuthorYear="1"&gt;&lt;Author&gt;Sani&lt;/Author&gt;&lt;Year&gt;2021&lt;/Year&gt;&lt;RecNum&gt;1101&lt;/RecNum&gt;&lt;DisplayText&gt;Sani et al. (2021)&lt;/DisplayText&gt;&lt;record&gt;&lt;rec-number&gt;1101&lt;/rec-number&gt;&lt;foreign-keys&gt;&lt;key app="EN" db-id="dptp5pfxc5f2t6exvwlx0ve0fp5zwfx0ptw2" timestamp="1717467099"&gt;1101&lt;/key&gt;&lt;/foreign-keys&gt;&lt;ref-type name="Journal Article"&gt;17&lt;/ref-type&gt;&lt;contributors&gt;&lt;authors&gt;&lt;author&gt;Sani, Abdulrahman Bala&lt;/author&gt;&lt;author&gt;Bello, Abdulrasheed&lt;/author&gt;&lt;author&gt;Sokoto, Sirajo Sani&lt;/author&gt;&lt;/authors&gt;&lt;/contributors&gt;&lt;titles&gt;&lt;title&gt;Treasury Single Account in Nigeria as a Tool for Fraud Prevention&lt;/title&gt;&lt;secondary-title&gt;European Business &amp;amp; Management&lt;/secondary-title&gt;&lt;/titles&gt;&lt;periodical&gt;&lt;full-title&gt;European Business &amp;amp; Management&lt;/full-title&gt;&lt;/periodical&gt;&lt;pages&gt;p.184-190&lt;/pages&gt;&lt;volume&gt;7&lt;/volume&gt;&lt;number&gt;6&lt;/number&gt;&lt;dates&gt;&lt;year&gt;2021&lt;/year&gt;&lt;/dates&gt;&lt;urls&gt;&lt;/urls&gt;&lt;/record&gt;&lt;/Cite&gt;&lt;/EndNote&gt;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Sani et al. (2021)</w:t>
            </w:r>
            <w:r w:rsidRPr="006B2F60">
              <w:rPr>
                <w:rFonts w:eastAsia="Times New Roman" w:cstheme="minorHAnsi"/>
                <w:color w:val="000000"/>
                <w:sz w:val="16"/>
                <w:szCs w:val="16"/>
                <w:lang w:eastAsia="en-GB"/>
              </w:rPr>
              <w:fldChar w:fldCharType="end"/>
            </w:r>
          </w:p>
        </w:tc>
        <w:tc>
          <w:tcPr>
            <w:tcW w:w="1627" w:type="pct"/>
            <w:tcBorders>
              <w:top w:val="single" w:sz="4" w:space="0" w:color="auto"/>
              <w:left w:val="single" w:sz="4" w:space="0" w:color="auto"/>
              <w:bottom w:val="single" w:sz="4" w:space="0" w:color="auto"/>
              <w:right w:val="single" w:sz="4" w:space="0" w:color="auto"/>
            </w:tcBorders>
            <w:shd w:val="clear" w:color="auto" w:fill="auto"/>
          </w:tcPr>
          <w:p w14:paraId="334A661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Treasury Single Account in Nigeria as a Tool for Fraud Prevention</w:t>
            </w:r>
          </w:p>
        </w:tc>
        <w:tc>
          <w:tcPr>
            <w:tcW w:w="1095" w:type="pct"/>
            <w:tcBorders>
              <w:top w:val="single" w:sz="4" w:space="0" w:color="auto"/>
              <w:left w:val="single" w:sz="4" w:space="0" w:color="auto"/>
              <w:bottom w:val="single" w:sz="4" w:space="0" w:color="auto"/>
              <w:right w:val="single" w:sz="4" w:space="0" w:color="auto"/>
            </w:tcBorders>
            <w:shd w:val="clear" w:color="auto" w:fill="auto"/>
          </w:tcPr>
          <w:p w14:paraId="483BE02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European Business &amp; Management</w:t>
            </w:r>
          </w:p>
        </w:tc>
        <w:tc>
          <w:tcPr>
            <w:tcW w:w="578" w:type="pct"/>
            <w:tcBorders>
              <w:top w:val="single" w:sz="4" w:space="0" w:color="auto"/>
              <w:left w:val="single" w:sz="4" w:space="0" w:color="auto"/>
              <w:bottom w:val="single" w:sz="4" w:space="0" w:color="auto"/>
              <w:right w:val="single" w:sz="4" w:space="0" w:color="auto"/>
            </w:tcBorders>
            <w:shd w:val="clear" w:color="auto" w:fill="auto"/>
          </w:tcPr>
          <w:p w14:paraId="3C139A9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Nigeria</w:t>
            </w:r>
          </w:p>
        </w:tc>
        <w:tc>
          <w:tcPr>
            <w:tcW w:w="1030" w:type="pct"/>
            <w:tcBorders>
              <w:top w:val="single" w:sz="4" w:space="0" w:color="auto"/>
              <w:left w:val="single" w:sz="4" w:space="0" w:color="auto"/>
              <w:bottom w:val="single" w:sz="4" w:space="0" w:color="auto"/>
              <w:right w:val="single" w:sz="4" w:space="0" w:color="auto"/>
            </w:tcBorders>
            <w:shd w:val="clear" w:color="auto" w:fill="auto"/>
          </w:tcPr>
          <w:p w14:paraId="571EDCA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39BB9B04"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79"/>
        </w:trPr>
        <w:tc>
          <w:tcPr>
            <w:tcW w:w="670" w:type="pct"/>
            <w:tcBorders>
              <w:top w:val="single" w:sz="4" w:space="0" w:color="auto"/>
              <w:left w:val="single" w:sz="4" w:space="0" w:color="auto"/>
              <w:bottom w:val="single" w:sz="4" w:space="0" w:color="auto"/>
              <w:right w:val="single" w:sz="4" w:space="0" w:color="auto"/>
            </w:tcBorders>
            <w:shd w:val="clear" w:color="auto" w:fill="auto"/>
          </w:tcPr>
          <w:p w14:paraId="54B3474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AuthorYear="1"&gt;&lt;Author&gt;Musango&lt;/Author&gt;&lt;Year&gt;2021&lt;/Year&gt;&lt;RecNum&gt;1126&lt;/RecNum&gt;&lt;DisplayText&gt;Musango and Rusibana (2021)&lt;/DisplayText&gt;&lt;record&gt;&lt;rec-number&gt;1126&lt;/rec-number&gt;&lt;foreign-keys&gt;&lt;key app="EN" db-id="dptp5pfxc5f2t6exvwlx0ve0fp5zwfx0ptw2" timestamp="1717920138"&gt;1126&lt;/key&gt;&lt;/foreign-keys&gt;&lt;ref-type name="Journal Article"&gt;17&lt;/ref-type&gt;&lt;contributors&gt;&lt;authors&gt;&lt;author&gt;Musango, Henry John&lt;/author&gt;&lt;author&gt;Rusibana, Claude&lt;/author&gt;&lt;/authors&gt;&lt;/contributors&gt;&lt;titles&gt;&lt;title&gt;The effect of information and communication to revenue collection in selected hotels in Kigali&lt;/title&gt;&lt;secondary-title&gt;International Journal of Advanced Scientific Research and Management&lt;/secondary-title&gt;&lt;/titles&gt;&lt;periodical&gt;&lt;full-title&gt;International Journal of Advanced Scientific Research and Management&lt;/full-title&gt;&lt;/periodical&gt;&lt;pages&gt;p.32-43&lt;/pages&gt;&lt;volume&gt;6&lt;/volume&gt;&lt;number&gt;3&lt;/number&gt;&lt;dates&gt;&lt;year&gt;2021&lt;/year&gt;&lt;/dates&gt;&lt;isbn&gt;2455-6378&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Musango and Rusibana (2021)</w:t>
            </w:r>
            <w:r w:rsidRPr="006B2F60">
              <w:rPr>
                <w:rFonts w:eastAsia="Times New Roman" w:cstheme="minorHAnsi"/>
                <w:color w:val="000000"/>
                <w:sz w:val="16"/>
                <w:szCs w:val="16"/>
                <w:lang w:eastAsia="en-GB"/>
              </w:rPr>
              <w:fldChar w:fldCharType="end"/>
            </w:r>
          </w:p>
        </w:tc>
        <w:tc>
          <w:tcPr>
            <w:tcW w:w="1627" w:type="pct"/>
            <w:tcBorders>
              <w:top w:val="single" w:sz="4" w:space="0" w:color="auto"/>
              <w:left w:val="single" w:sz="4" w:space="0" w:color="auto"/>
              <w:bottom w:val="single" w:sz="4" w:space="0" w:color="auto"/>
              <w:right w:val="single" w:sz="4" w:space="0" w:color="auto"/>
            </w:tcBorders>
            <w:shd w:val="clear" w:color="auto" w:fill="auto"/>
          </w:tcPr>
          <w:p w14:paraId="7CC27A0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Effect of Information and Communication to Revenue Collection in Selected Hotels In Kigali</w:t>
            </w:r>
          </w:p>
        </w:tc>
        <w:tc>
          <w:tcPr>
            <w:tcW w:w="1095" w:type="pct"/>
            <w:tcBorders>
              <w:top w:val="single" w:sz="4" w:space="0" w:color="auto"/>
              <w:left w:val="single" w:sz="4" w:space="0" w:color="auto"/>
              <w:bottom w:val="single" w:sz="4" w:space="0" w:color="auto"/>
              <w:right w:val="single" w:sz="4" w:space="0" w:color="auto"/>
            </w:tcBorders>
            <w:shd w:val="clear" w:color="auto" w:fill="auto"/>
          </w:tcPr>
          <w:p w14:paraId="4BCF8B4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Journal of Advanced Scientific Research and Management</w:t>
            </w:r>
          </w:p>
        </w:tc>
        <w:tc>
          <w:tcPr>
            <w:tcW w:w="578" w:type="pct"/>
            <w:tcBorders>
              <w:top w:val="single" w:sz="4" w:space="0" w:color="auto"/>
              <w:left w:val="single" w:sz="4" w:space="0" w:color="auto"/>
              <w:bottom w:val="single" w:sz="4" w:space="0" w:color="auto"/>
              <w:right w:val="single" w:sz="4" w:space="0" w:color="auto"/>
            </w:tcBorders>
            <w:shd w:val="clear" w:color="auto" w:fill="auto"/>
          </w:tcPr>
          <w:p w14:paraId="741FC41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Rwanda</w:t>
            </w:r>
          </w:p>
        </w:tc>
        <w:tc>
          <w:tcPr>
            <w:tcW w:w="1030" w:type="pct"/>
            <w:tcBorders>
              <w:top w:val="single" w:sz="4" w:space="0" w:color="auto"/>
              <w:left w:val="single" w:sz="4" w:space="0" w:color="auto"/>
              <w:bottom w:val="single" w:sz="4" w:space="0" w:color="auto"/>
              <w:right w:val="single" w:sz="4" w:space="0" w:color="auto"/>
            </w:tcBorders>
            <w:shd w:val="clear" w:color="auto" w:fill="auto"/>
          </w:tcPr>
          <w:p w14:paraId="01B28C4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4400 - Accommodation</w:t>
            </w:r>
          </w:p>
        </w:tc>
      </w:tr>
      <w:tr w:rsidR="00241ACB" w:rsidRPr="006B2F60" w14:paraId="55E22668"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16"/>
        </w:trPr>
        <w:tc>
          <w:tcPr>
            <w:tcW w:w="670" w:type="pct"/>
            <w:tcBorders>
              <w:top w:val="single" w:sz="4" w:space="0" w:color="auto"/>
              <w:left w:val="single" w:sz="4" w:space="0" w:color="auto"/>
              <w:bottom w:val="single" w:sz="4" w:space="0" w:color="auto"/>
              <w:right w:val="single" w:sz="4" w:space="0" w:color="auto"/>
            </w:tcBorders>
            <w:shd w:val="clear" w:color="auto" w:fill="auto"/>
          </w:tcPr>
          <w:p w14:paraId="6D36B68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AuthorYear="1"&gt;&lt;Author&gt;Borbely&lt;/Author&gt;&lt;Year&gt;2021&lt;/Year&gt;&lt;RecNum&gt;1127&lt;/RecNum&gt;&lt;DisplayText&gt;Borbely (2021)&lt;/DisplayText&gt;&lt;record&gt;&lt;rec-number&gt;1127&lt;/rec-number&gt;&lt;foreign-keys&gt;&lt;key app="EN" db-id="dptp5pfxc5f2t6exvwlx0ve0fp5zwfx0ptw2" timestamp="1717920259"&gt;1127&lt;/key&gt;&lt;/foreign-keys&gt;&lt;ref-type name="Journal Article"&gt;17&lt;/ref-type&gt;&lt;contributors&gt;&lt;authors&gt;&lt;author&gt;Borbely, Daniel&lt;/author&gt;&lt;/authors&gt;&lt;/contributors&gt;&lt;titles&gt;&lt;title&gt;Limiting the distortionary effects of transaction taxes: Scottish stamp duty after the Mirrlees Review&lt;/title&gt;&lt;secondary-title&gt;Fiscal Studies&lt;/secondary-title&gt;&lt;/titles&gt;&lt;periodical&gt;&lt;full-title&gt;Fiscal Studies&lt;/full-title&gt;&lt;/periodical&gt;&lt;pages&gt;p.265-290&lt;/pages&gt;&lt;volume&gt;42&lt;/volume&gt;&lt;number&gt;2&lt;/number&gt;&lt;dates&gt;&lt;year&gt;2021&lt;/year&gt;&lt;/dates&gt;&lt;isbn&gt;0143-5671&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Borbely (2021)</w:t>
            </w:r>
            <w:r w:rsidRPr="006B2F60">
              <w:rPr>
                <w:rFonts w:eastAsia="Times New Roman" w:cstheme="minorHAnsi"/>
                <w:color w:val="000000"/>
                <w:sz w:val="16"/>
                <w:szCs w:val="16"/>
                <w:lang w:eastAsia="en-GB"/>
              </w:rPr>
              <w:fldChar w:fldCharType="end"/>
            </w:r>
          </w:p>
        </w:tc>
        <w:tc>
          <w:tcPr>
            <w:tcW w:w="1627" w:type="pct"/>
            <w:tcBorders>
              <w:top w:val="single" w:sz="4" w:space="0" w:color="auto"/>
              <w:left w:val="single" w:sz="4" w:space="0" w:color="auto"/>
              <w:bottom w:val="single" w:sz="4" w:space="0" w:color="auto"/>
              <w:right w:val="single" w:sz="4" w:space="0" w:color="auto"/>
            </w:tcBorders>
            <w:shd w:val="clear" w:color="auto" w:fill="auto"/>
          </w:tcPr>
          <w:p w14:paraId="6705543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Limiting the Distortionary Effects of Transaction Taxes: Scottish Stamp Duty After the Mirrlees Review</w:t>
            </w:r>
          </w:p>
        </w:tc>
        <w:tc>
          <w:tcPr>
            <w:tcW w:w="1095" w:type="pct"/>
            <w:tcBorders>
              <w:top w:val="single" w:sz="4" w:space="0" w:color="auto"/>
              <w:left w:val="single" w:sz="4" w:space="0" w:color="auto"/>
              <w:bottom w:val="single" w:sz="4" w:space="0" w:color="auto"/>
              <w:right w:val="single" w:sz="4" w:space="0" w:color="auto"/>
            </w:tcBorders>
            <w:shd w:val="clear" w:color="auto" w:fill="auto"/>
          </w:tcPr>
          <w:p w14:paraId="527D003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Fiscal Studies</w:t>
            </w:r>
          </w:p>
        </w:tc>
        <w:tc>
          <w:tcPr>
            <w:tcW w:w="578" w:type="pct"/>
            <w:tcBorders>
              <w:top w:val="single" w:sz="4" w:space="0" w:color="auto"/>
              <w:left w:val="single" w:sz="4" w:space="0" w:color="auto"/>
              <w:bottom w:val="single" w:sz="4" w:space="0" w:color="auto"/>
              <w:right w:val="single" w:sz="4" w:space="0" w:color="auto"/>
            </w:tcBorders>
            <w:shd w:val="clear" w:color="auto" w:fill="auto"/>
          </w:tcPr>
          <w:p w14:paraId="207E6BA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UK</w:t>
            </w:r>
          </w:p>
        </w:tc>
        <w:tc>
          <w:tcPr>
            <w:tcW w:w="1030" w:type="pct"/>
            <w:tcBorders>
              <w:top w:val="single" w:sz="4" w:space="0" w:color="auto"/>
              <w:left w:val="single" w:sz="4" w:space="0" w:color="auto"/>
              <w:bottom w:val="single" w:sz="4" w:space="0" w:color="auto"/>
              <w:right w:val="single" w:sz="4" w:space="0" w:color="auto"/>
            </w:tcBorders>
            <w:shd w:val="clear" w:color="auto" w:fill="auto"/>
          </w:tcPr>
          <w:p w14:paraId="2CF5343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r>
      <w:tr w:rsidR="00241ACB" w:rsidRPr="006B2F60" w14:paraId="63C9D128" w14:textId="77777777" w:rsidTr="00DE31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1"/>
        </w:trPr>
        <w:tc>
          <w:tcPr>
            <w:tcW w:w="671" w:type="pct"/>
            <w:tcBorders>
              <w:top w:val="single" w:sz="4" w:space="0" w:color="auto"/>
              <w:left w:val="single" w:sz="4" w:space="0" w:color="auto"/>
              <w:bottom w:val="single" w:sz="4" w:space="0" w:color="auto"/>
              <w:right w:val="single" w:sz="4" w:space="0" w:color="auto"/>
            </w:tcBorders>
            <w:shd w:val="clear" w:color="auto" w:fill="auto"/>
            <w:hideMark/>
          </w:tcPr>
          <w:p w14:paraId="5FE8559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AuthorYear="1"&gt;&lt;Author&gt;López&lt;/Author&gt;&lt;Year&gt;2022&lt;/Year&gt;&lt;RecNum&gt;924&lt;/RecNum&gt;&lt;DisplayText&gt;López (2022)&lt;/DisplayText&gt;&lt;record&gt;&lt;rec-number&gt;924&lt;/rec-number&gt;&lt;foreign-keys&gt;&lt;key app="EN" db-id="dptp5pfxc5f2t6exvwlx0ve0fp5zwfx0ptw2" timestamp="1704820989"&gt;924&lt;/key&gt;&lt;/foreign-keys&gt;&lt;ref-type name="Journal Article"&gt;17&lt;/ref-type&gt;&lt;contributors&gt;&lt;authors&gt;&lt;author&gt;López, David Camilo&lt;/author&gt;&lt;/authors&gt;&lt;/contributors&gt;&lt;titles&gt;&lt;title&gt;Duty Drawbacks, Imported Inputs Duties and Exports: Evidence from Firm-Level Data from Colombia&lt;/title&gt;&lt;secondary-title&gt;Revista de economía del Rosario&lt;/secondary-title&gt;&lt;/titles&gt;&lt;periodical&gt;&lt;full-title&gt;Revista de economía del Rosario&lt;/full-title&gt;&lt;/periodical&gt;&lt;pages&gt;p.1-59&lt;/pages&gt;&lt;volume&gt;25&lt;/volume&gt;&lt;number&gt;2&lt;/number&gt;&lt;dates&gt;&lt;year&gt;2022&lt;/year&gt;&lt;/dates&gt;&lt;isbn&gt;0123-5362&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López (2022)</w:t>
            </w:r>
            <w:r w:rsidRPr="006B2F60">
              <w:rPr>
                <w:rFonts w:eastAsia="Times New Roman" w:cstheme="minorHAnsi"/>
                <w:color w:val="000000"/>
                <w:sz w:val="16"/>
                <w:szCs w:val="16"/>
                <w:lang w:eastAsia="en-GB"/>
              </w:rPr>
              <w:fldChar w:fldCharType="end"/>
            </w:r>
          </w:p>
        </w:tc>
        <w:tc>
          <w:tcPr>
            <w:tcW w:w="1625" w:type="pct"/>
            <w:tcBorders>
              <w:top w:val="single" w:sz="4" w:space="0" w:color="auto"/>
              <w:left w:val="single" w:sz="4" w:space="0" w:color="auto"/>
              <w:bottom w:val="single" w:sz="4" w:space="0" w:color="auto"/>
              <w:right w:val="single" w:sz="4" w:space="0" w:color="auto"/>
            </w:tcBorders>
            <w:shd w:val="clear" w:color="auto" w:fill="auto"/>
            <w:hideMark/>
          </w:tcPr>
          <w:p w14:paraId="6F28A50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Duty Drawbacks, Imported Inputs Duties and Exports: Evidence from Firm-level Data from Colombia</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0550AEB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Revista de Economia del Rosario</w:t>
            </w:r>
          </w:p>
        </w:tc>
        <w:tc>
          <w:tcPr>
            <w:tcW w:w="580" w:type="pct"/>
            <w:tcBorders>
              <w:top w:val="single" w:sz="4" w:space="0" w:color="auto"/>
              <w:left w:val="single" w:sz="4" w:space="0" w:color="auto"/>
              <w:bottom w:val="single" w:sz="4" w:space="0" w:color="auto"/>
              <w:right w:val="single" w:sz="4" w:space="0" w:color="auto"/>
            </w:tcBorders>
            <w:shd w:val="clear" w:color="auto" w:fill="auto"/>
            <w:hideMark/>
          </w:tcPr>
          <w:p w14:paraId="034BE8A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Colombia</w:t>
            </w:r>
          </w:p>
        </w:tc>
        <w:tc>
          <w:tcPr>
            <w:tcW w:w="1029" w:type="pct"/>
            <w:tcBorders>
              <w:top w:val="single" w:sz="4" w:space="0" w:color="auto"/>
              <w:left w:val="single" w:sz="4" w:space="0" w:color="auto"/>
              <w:bottom w:val="single" w:sz="4" w:space="0" w:color="auto"/>
              <w:right w:val="single" w:sz="4" w:space="0" w:color="auto"/>
            </w:tcBorders>
            <w:shd w:val="clear" w:color="auto" w:fill="auto"/>
            <w:hideMark/>
          </w:tcPr>
          <w:p w14:paraId="1229AC7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bl>
    <w:p w14:paraId="5069D567" w14:textId="77777777" w:rsidR="00241ACB" w:rsidRPr="006B2F60" w:rsidRDefault="00241ACB" w:rsidP="00241ACB">
      <w:pPr>
        <w:rPr>
          <w:rFonts w:cstheme="minorHAnsi"/>
        </w:rPr>
      </w:pPr>
      <w:r w:rsidRPr="006B2F60">
        <w:rPr>
          <w:rFonts w:cstheme="minorHAnsi"/>
        </w:rPr>
        <w:br w:type="page"/>
      </w:r>
    </w:p>
    <w:tbl>
      <w:tblPr>
        <w:tblW w:w="5000" w:type="pct"/>
        <w:tblLayout w:type="fixed"/>
        <w:tblLook w:val="04A0" w:firstRow="1" w:lastRow="0" w:firstColumn="1" w:lastColumn="0" w:noHBand="0" w:noVBand="1"/>
      </w:tblPr>
      <w:tblGrid>
        <w:gridCol w:w="1738"/>
        <w:gridCol w:w="4209"/>
        <w:gridCol w:w="2836"/>
        <w:gridCol w:w="1502"/>
        <w:gridCol w:w="2665"/>
      </w:tblGrid>
      <w:tr w:rsidR="00241ACB" w:rsidRPr="006B2F60" w14:paraId="183AFF73" w14:textId="77777777" w:rsidTr="00DE3143">
        <w:trPr>
          <w:trHeight w:val="138"/>
        </w:trPr>
        <w:tc>
          <w:tcPr>
            <w:tcW w:w="671"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72CC383"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lastRenderedPageBreak/>
              <w:t>Author (S)</w:t>
            </w:r>
          </w:p>
        </w:tc>
        <w:tc>
          <w:tcPr>
            <w:tcW w:w="1625"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B552C10"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Title</w:t>
            </w:r>
          </w:p>
        </w:tc>
        <w:tc>
          <w:tcPr>
            <w:tcW w:w="1095"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D8859D8"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Journal</w:t>
            </w:r>
          </w:p>
        </w:tc>
        <w:tc>
          <w:tcPr>
            <w:tcW w:w="580"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2EBB339"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Country</w:t>
            </w:r>
          </w:p>
        </w:tc>
        <w:tc>
          <w:tcPr>
            <w:tcW w:w="1029"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747600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Industry Sector (ANZSIC)</w:t>
            </w:r>
          </w:p>
        </w:tc>
      </w:tr>
      <w:tr w:rsidR="00241ACB" w:rsidRPr="006B2F60" w14:paraId="478E2DBB" w14:textId="77777777" w:rsidTr="00DE3143">
        <w:trPr>
          <w:trHeight w:val="331"/>
        </w:trPr>
        <w:tc>
          <w:tcPr>
            <w:tcW w:w="671" w:type="pct"/>
            <w:tcBorders>
              <w:top w:val="single" w:sz="4" w:space="0" w:color="auto"/>
              <w:left w:val="single" w:sz="4" w:space="0" w:color="auto"/>
              <w:bottom w:val="single" w:sz="4" w:space="0" w:color="auto"/>
              <w:right w:val="single" w:sz="4" w:space="0" w:color="auto"/>
            </w:tcBorders>
            <w:shd w:val="clear" w:color="auto" w:fill="auto"/>
          </w:tcPr>
          <w:p w14:paraId="2A66A6A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AuthorYear="1"&gt;&lt;Author&gt;Bagudu&lt;/Author&gt;&lt;Year&gt;2022&lt;/Year&gt;&lt;RecNum&gt;923&lt;/RecNum&gt;&lt;DisplayText&gt;Bagudu and Okolie (2022)&lt;/DisplayText&gt;&lt;record&gt;&lt;rec-number&gt;923&lt;/rec-number&gt;&lt;foreign-keys&gt;&lt;key app="EN" db-id="dptp5pfxc5f2t6exvwlx0ve0fp5zwfx0ptw2" timestamp="1704793849"&gt;923&lt;/key&gt;&lt;/foreign-keys&gt;&lt;ref-type name="Journal Article"&gt;17&lt;/ref-type&gt;&lt;contributors&gt;&lt;authors&gt;&lt;author&gt;Bagudu, Igbekele Gavine&lt;/author&gt;&lt;author&gt;Okolie, Ugo Chuks&lt;/author&gt;&lt;/authors&gt;&lt;/contributors&gt;&lt;titles&gt;&lt;title&gt;Analysis of prospects and challenges of the e-payment system in Nigeria&lt;/title&gt;&lt;secondary-title&gt;Tomsk State University Journal of Economics&lt;/secondary-title&gt;&lt;/titles&gt;&lt;periodical&gt;&lt;full-title&gt;Tomsk State University Journal of Economics&lt;/full-title&gt;&lt;/periodical&gt;&lt;pages&gt;p.180-189&lt;/pages&gt;&lt;volume&gt;58&lt;/volume&gt;&lt;dates&gt;&lt;year&gt;2022&lt;/year&gt;&lt;/dates&gt;&lt;urls&gt;&lt;/urls&gt;&lt;/record&gt;&lt;/Cite&gt;&lt;/EndNote&gt;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Bagudu and Okolie (2022)</w:t>
            </w:r>
            <w:r w:rsidRPr="006B2F60">
              <w:rPr>
                <w:rFonts w:eastAsia="Times New Roman" w:cstheme="minorHAnsi"/>
                <w:color w:val="000000"/>
                <w:sz w:val="16"/>
                <w:szCs w:val="16"/>
                <w:lang w:eastAsia="en-GB"/>
              </w:rPr>
              <w:fldChar w:fldCharType="end"/>
            </w:r>
          </w:p>
        </w:tc>
        <w:tc>
          <w:tcPr>
            <w:tcW w:w="1625" w:type="pct"/>
            <w:tcBorders>
              <w:top w:val="single" w:sz="4" w:space="0" w:color="auto"/>
              <w:left w:val="single" w:sz="4" w:space="0" w:color="auto"/>
              <w:bottom w:val="single" w:sz="4" w:space="0" w:color="auto"/>
              <w:right w:val="single" w:sz="4" w:space="0" w:color="auto"/>
            </w:tcBorders>
            <w:shd w:val="clear" w:color="auto" w:fill="auto"/>
          </w:tcPr>
          <w:p w14:paraId="3F13761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Analysis of Prospects and Challenges of the E-payment System in Nigeria</w:t>
            </w:r>
          </w:p>
        </w:tc>
        <w:tc>
          <w:tcPr>
            <w:tcW w:w="1095" w:type="pct"/>
            <w:tcBorders>
              <w:top w:val="single" w:sz="4" w:space="0" w:color="auto"/>
              <w:left w:val="single" w:sz="4" w:space="0" w:color="auto"/>
              <w:bottom w:val="single" w:sz="4" w:space="0" w:color="auto"/>
              <w:right w:val="single" w:sz="4" w:space="0" w:color="auto"/>
            </w:tcBorders>
            <w:shd w:val="clear" w:color="auto" w:fill="auto"/>
          </w:tcPr>
          <w:p w14:paraId="68A6E12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Tomsk State University Journal of Economics</w:t>
            </w:r>
          </w:p>
        </w:tc>
        <w:tc>
          <w:tcPr>
            <w:tcW w:w="580" w:type="pct"/>
            <w:tcBorders>
              <w:top w:val="single" w:sz="4" w:space="0" w:color="auto"/>
              <w:left w:val="single" w:sz="4" w:space="0" w:color="auto"/>
              <w:bottom w:val="single" w:sz="4" w:space="0" w:color="auto"/>
              <w:right w:val="single" w:sz="4" w:space="0" w:color="auto"/>
            </w:tcBorders>
            <w:shd w:val="clear" w:color="auto" w:fill="auto"/>
          </w:tcPr>
          <w:p w14:paraId="6519160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Nigeria</w:t>
            </w:r>
          </w:p>
        </w:tc>
        <w:tc>
          <w:tcPr>
            <w:tcW w:w="1029" w:type="pct"/>
            <w:tcBorders>
              <w:top w:val="single" w:sz="4" w:space="0" w:color="auto"/>
              <w:left w:val="single" w:sz="4" w:space="0" w:color="auto"/>
              <w:bottom w:val="single" w:sz="4" w:space="0" w:color="auto"/>
              <w:right w:val="single" w:sz="4" w:space="0" w:color="auto"/>
            </w:tcBorders>
            <w:shd w:val="clear" w:color="auto" w:fill="auto"/>
          </w:tcPr>
          <w:p w14:paraId="0E6EB12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16A1200C" w14:textId="77777777" w:rsidTr="00DE3143">
        <w:trPr>
          <w:trHeight w:val="243"/>
        </w:trPr>
        <w:tc>
          <w:tcPr>
            <w:tcW w:w="671" w:type="pct"/>
            <w:tcBorders>
              <w:top w:val="single" w:sz="4" w:space="0" w:color="auto"/>
              <w:left w:val="single" w:sz="4" w:space="0" w:color="auto"/>
              <w:bottom w:val="single" w:sz="4" w:space="0" w:color="auto"/>
              <w:right w:val="single" w:sz="4" w:space="0" w:color="auto"/>
            </w:tcBorders>
            <w:shd w:val="clear" w:color="auto" w:fill="auto"/>
            <w:hideMark/>
          </w:tcPr>
          <w:p w14:paraId="347D4A9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AuthorYear="1"&gt;&lt;Author&gt;Bandeira&lt;/Author&gt;&lt;Year&gt;2022&lt;/Year&gt;&lt;RecNum&gt;1108&lt;/RecNum&gt;&lt;DisplayText&gt;Bandeira et al. (2022)&lt;/DisplayText&gt;&lt;record&gt;&lt;rec-number&gt;1108&lt;/rec-number&gt;&lt;foreign-keys&gt;&lt;key app="EN" db-id="dptp5pfxc5f2t6exvwlx0ve0fp5zwfx0ptw2" timestamp="1717467798"&gt;1108&lt;/key&gt;&lt;/foreign-keys&gt;&lt;ref-type name="Journal Article"&gt;17&lt;/ref-type&gt;&lt;contributors&gt;&lt;authors&gt;&lt;author&gt;Bandeira, Guilherme&lt;/author&gt;&lt;author&gt;Caballé, Jordi&lt;/author&gt;&lt;author&gt;Vella, Eugenia&lt;/author&gt;&lt;/authors&gt;&lt;/contributors&gt;&lt;titles&gt;&lt;title&gt;Emigration and fiscal austerity in a depression&lt;/title&gt;&lt;secondary-title&gt;Journal of Economic Dynamics and Control&lt;/secondary-title&gt;&lt;/titles&gt;&lt;periodical&gt;&lt;full-title&gt;Journal of Economic Dynamics and Control&lt;/full-title&gt;&lt;/periodical&gt;&lt;pages&gt;p.1-26&lt;/pages&gt;&lt;volume&gt;144&lt;/volume&gt;&lt;number&gt;104539&lt;/number&gt;&lt;dates&gt;&lt;year&gt;2022&lt;/year&gt;&lt;/dates&gt;&lt;isbn&gt;0165-1889&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Bandeira et al. (2022)</w:t>
            </w:r>
            <w:r w:rsidRPr="006B2F60">
              <w:rPr>
                <w:rFonts w:eastAsia="Times New Roman" w:cstheme="minorHAnsi"/>
                <w:color w:val="000000"/>
                <w:sz w:val="16"/>
                <w:szCs w:val="16"/>
                <w:lang w:eastAsia="en-GB"/>
              </w:rPr>
              <w:fldChar w:fldCharType="end"/>
            </w:r>
          </w:p>
        </w:tc>
        <w:tc>
          <w:tcPr>
            <w:tcW w:w="1625" w:type="pct"/>
            <w:tcBorders>
              <w:top w:val="single" w:sz="4" w:space="0" w:color="auto"/>
              <w:left w:val="single" w:sz="4" w:space="0" w:color="auto"/>
              <w:bottom w:val="single" w:sz="4" w:space="0" w:color="auto"/>
              <w:right w:val="single" w:sz="4" w:space="0" w:color="auto"/>
            </w:tcBorders>
            <w:shd w:val="clear" w:color="auto" w:fill="auto"/>
            <w:hideMark/>
          </w:tcPr>
          <w:p w14:paraId="45A3F6D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Emigration and Fiscal Austerity in a Depression</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3E40C05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Economic Dynamics and Control</w:t>
            </w:r>
          </w:p>
        </w:tc>
        <w:tc>
          <w:tcPr>
            <w:tcW w:w="580" w:type="pct"/>
            <w:tcBorders>
              <w:top w:val="single" w:sz="4" w:space="0" w:color="auto"/>
              <w:left w:val="single" w:sz="4" w:space="0" w:color="auto"/>
              <w:bottom w:val="single" w:sz="4" w:space="0" w:color="auto"/>
              <w:right w:val="single" w:sz="4" w:space="0" w:color="auto"/>
            </w:tcBorders>
            <w:shd w:val="clear" w:color="auto" w:fill="auto"/>
            <w:hideMark/>
          </w:tcPr>
          <w:p w14:paraId="551E97B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Greece</w:t>
            </w:r>
          </w:p>
        </w:tc>
        <w:tc>
          <w:tcPr>
            <w:tcW w:w="1029" w:type="pct"/>
            <w:tcBorders>
              <w:top w:val="single" w:sz="4" w:space="0" w:color="auto"/>
              <w:left w:val="single" w:sz="4" w:space="0" w:color="auto"/>
              <w:bottom w:val="single" w:sz="4" w:space="0" w:color="auto"/>
              <w:right w:val="single" w:sz="4" w:space="0" w:color="auto"/>
            </w:tcBorders>
            <w:shd w:val="clear" w:color="auto" w:fill="auto"/>
            <w:hideMark/>
          </w:tcPr>
          <w:p w14:paraId="11AF8C2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40E7737A" w14:textId="77777777" w:rsidTr="00DE3143">
        <w:trPr>
          <w:trHeight w:val="149"/>
        </w:trPr>
        <w:tc>
          <w:tcPr>
            <w:tcW w:w="671" w:type="pct"/>
            <w:tcBorders>
              <w:top w:val="single" w:sz="4" w:space="0" w:color="auto"/>
              <w:left w:val="single" w:sz="4" w:space="0" w:color="auto"/>
              <w:bottom w:val="single" w:sz="4" w:space="0" w:color="auto"/>
              <w:right w:val="single" w:sz="4" w:space="0" w:color="auto"/>
            </w:tcBorders>
            <w:shd w:val="clear" w:color="auto" w:fill="auto"/>
            <w:hideMark/>
          </w:tcPr>
          <w:p w14:paraId="3E57185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AuthorYear="1"&gt;&lt;Author&gt;Adhikari&lt;/Author&gt;&lt;Year&gt;2022&lt;/Year&gt;&lt;RecNum&gt;1110&lt;/RecNum&gt;&lt;DisplayText&gt;Adhikari (2022)&lt;/DisplayText&gt;&lt;record&gt;&lt;rec-number&gt;1110&lt;/rec-number&gt;&lt;foreign-keys&gt;&lt;key app="EN" db-id="dptp5pfxc5f2t6exvwlx0ve0fp5zwfx0ptw2" timestamp="1717467948"&gt;1110&lt;/key&gt;&lt;/foreign-keys&gt;&lt;ref-type name="Journal Article"&gt;17&lt;/ref-type&gt;&lt;contributors&gt;&lt;authors&gt;&lt;author&gt;Adhikari, R&lt;/author&gt;&lt;/authors&gt;&lt;/contributors&gt;&lt;titles&gt;&lt;title&gt;Cost saving in tax revenue administration through ICT in Nepal&lt;/title&gt;&lt;secondary-title&gt;International Journal of Innovative Science and Research Technology&lt;/secondary-title&gt;&lt;/titles&gt;&lt;periodical&gt;&lt;full-title&gt;International Journal of Innovative Science and Research Technology&lt;/full-title&gt;&lt;/periodical&gt;&lt;pages&gt;p.412-418&lt;/pages&gt;&lt;volume&gt;7&lt;/volume&gt;&lt;number&gt;6&lt;/number&gt;&lt;dates&gt;&lt;year&gt;2022&lt;/year&gt;&lt;/dates&gt;&lt;urls&gt;&lt;/urls&gt;&lt;/record&gt;&lt;/Cite&gt;&lt;/EndNote&gt;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Adhikari (2022)</w:t>
            </w:r>
            <w:r w:rsidRPr="006B2F60">
              <w:rPr>
                <w:rFonts w:eastAsia="Times New Roman" w:cstheme="minorHAnsi"/>
                <w:color w:val="000000"/>
                <w:sz w:val="16"/>
                <w:szCs w:val="16"/>
                <w:lang w:eastAsia="en-GB"/>
              </w:rPr>
              <w:fldChar w:fldCharType="end"/>
            </w:r>
          </w:p>
        </w:tc>
        <w:tc>
          <w:tcPr>
            <w:tcW w:w="1625" w:type="pct"/>
            <w:tcBorders>
              <w:top w:val="single" w:sz="4" w:space="0" w:color="auto"/>
              <w:left w:val="single" w:sz="4" w:space="0" w:color="auto"/>
              <w:bottom w:val="single" w:sz="4" w:space="0" w:color="auto"/>
              <w:right w:val="single" w:sz="4" w:space="0" w:color="auto"/>
            </w:tcBorders>
            <w:shd w:val="clear" w:color="auto" w:fill="auto"/>
            <w:hideMark/>
          </w:tcPr>
          <w:p w14:paraId="2E4DB35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Cost Saving in Tax Revenue Administration Through ICT in Nepal</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75E62CD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Journal of Innovative Science and Research Technology</w:t>
            </w:r>
          </w:p>
        </w:tc>
        <w:tc>
          <w:tcPr>
            <w:tcW w:w="580" w:type="pct"/>
            <w:tcBorders>
              <w:top w:val="single" w:sz="4" w:space="0" w:color="auto"/>
              <w:left w:val="single" w:sz="4" w:space="0" w:color="auto"/>
              <w:bottom w:val="single" w:sz="4" w:space="0" w:color="auto"/>
              <w:right w:val="single" w:sz="4" w:space="0" w:color="auto"/>
            </w:tcBorders>
            <w:shd w:val="clear" w:color="auto" w:fill="auto"/>
            <w:hideMark/>
          </w:tcPr>
          <w:p w14:paraId="1A52B68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Nepal</w:t>
            </w:r>
          </w:p>
        </w:tc>
        <w:tc>
          <w:tcPr>
            <w:tcW w:w="1029" w:type="pct"/>
            <w:tcBorders>
              <w:top w:val="single" w:sz="4" w:space="0" w:color="auto"/>
              <w:left w:val="single" w:sz="4" w:space="0" w:color="auto"/>
              <w:bottom w:val="single" w:sz="4" w:space="0" w:color="auto"/>
              <w:right w:val="single" w:sz="4" w:space="0" w:color="auto"/>
            </w:tcBorders>
            <w:shd w:val="clear" w:color="auto" w:fill="auto"/>
            <w:hideMark/>
          </w:tcPr>
          <w:p w14:paraId="7230458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387DB15E" w14:textId="77777777" w:rsidTr="00DE3143">
        <w:trPr>
          <w:trHeight w:val="325"/>
        </w:trPr>
        <w:tc>
          <w:tcPr>
            <w:tcW w:w="671" w:type="pct"/>
            <w:tcBorders>
              <w:top w:val="single" w:sz="4" w:space="0" w:color="auto"/>
              <w:left w:val="single" w:sz="4" w:space="0" w:color="auto"/>
              <w:bottom w:val="single" w:sz="4" w:space="0" w:color="auto"/>
              <w:right w:val="single" w:sz="4" w:space="0" w:color="auto"/>
            </w:tcBorders>
            <w:shd w:val="clear" w:color="auto" w:fill="auto"/>
            <w:hideMark/>
          </w:tcPr>
          <w:p w14:paraId="0A45F4D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AuthorYear="1"&gt;&lt;Author&gt;Chepkoech&lt;/Author&gt;&lt;Year&gt;2022&lt;/Year&gt;&lt;RecNum&gt;1112&lt;/RecNum&gt;&lt;DisplayText&gt;Chepkoech et al. (2022)&lt;/DisplayText&gt;&lt;record&gt;&lt;rec-number&gt;1112&lt;/rec-number&gt;&lt;foreign-keys&gt;&lt;key app="EN" db-id="dptp5pfxc5f2t6exvwlx0ve0fp5zwfx0ptw2" timestamp="1717476670"&gt;1112&lt;/key&gt;&lt;/foreign-keys&gt;&lt;ref-type name="Journal Article"&gt;17&lt;/ref-type&gt;&lt;contributors&gt;&lt;authors&gt;&lt;author&gt;Chepkoech, Nerius&lt;/author&gt;&lt;author&gt;Gichana, James Ongwae&lt;/author&gt;&lt;author&gt;Agong, David&lt;/author&gt;&lt;/authors&gt;&lt;/contributors&gt;&lt;titles&gt;&lt;title&gt;Effect of e-payment systems on sustainable revenue collection in Nairobi City County Government&lt;/title&gt;&lt;secondary-title&gt;International Academic Journal of Economics and Finance&lt;/secondary-title&gt;&lt;/titles&gt;&lt;periodical&gt;&lt;full-title&gt;International Academic Journal of Economics and Finance&lt;/full-title&gt;&lt;/periodical&gt;&lt;pages&gt;p.238-253&lt;/pages&gt;&lt;volume&gt;3&lt;/volume&gt;&lt;number&gt;7&lt;/number&gt;&lt;dates&gt;&lt;year&gt;2022&lt;/year&gt;&lt;/dates&gt;&lt;urls&gt;&lt;/urls&gt;&lt;/record&gt;&lt;/Cite&gt;&lt;/EndNote&gt;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Chepkoech et al. (2022)</w:t>
            </w:r>
            <w:r w:rsidRPr="006B2F60">
              <w:rPr>
                <w:rFonts w:eastAsia="Times New Roman" w:cstheme="minorHAnsi"/>
                <w:color w:val="000000"/>
                <w:sz w:val="16"/>
                <w:szCs w:val="16"/>
                <w:lang w:eastAsia="en-GB"/>
              </w:rPr>
              <w:fldChar w:fldCharType="end"/>
            </w:r>
          </w:p>
        </w:tc>
        <w:tc>
          <w:tcPr>
            <w:tcW w:w="1625" w:type="pct"/>
            <w:tcBorders>
              <w:top w:val="single" w:sz="4" w:space="0" w:color="auto"/>
              <w:left w:val="single" w:sz="4" w:space="0" w:color="auto"/>
              <w:bottom w:val="single" w:sz="4" w:space="0" w:color="auto"/>
              <w:right w:val="single" w:sz="4" w:space="0" w:color="auto"/>
            </w:tcBorders>
            <w:shd w:val="clear" w:color="auto" w:fill="auto"/>
            <w:hideMark/>
          </w:tcPr>
          <w:p w14:paraId="38CF076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Effect of E-payment Systems on Sustainable Revenue Collection in Nairobi City County Government</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795B6A0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Academic Journal of Economics and Finance</w:t>
            </w:r>
          </w:p>
        </w:tc>
        <w:tc>
          <w:tcPr>
            <w:tcW w:w="580" w:type="pct"/>
            <w:tcBorders>
              <w:top w:val="single" w:sz="4" w:space="0" w:color="auto"/>
              <w:left w:val="single" w:sz="4" w:space="0" w:color="auto"/>
              <w:bottom w:val="single" w:sz="4" w:space="0" w:color="auto"/>
              <w:right w:val="single" w:sz="4" w:space="0" w:color="auto"/>
            </w:tcBorders>
            <w:shd w:val="clear" w:color="auto" w:fill="auto"/>
            <w:hideMark/>
          </w:tcPr>
          <w:p w14:paraId="42FEB10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Kenya</w:t>
            </w:r>
          </w:p>
        </w:tc>
        <w:tc>
          <w:tcPr>
            <w:tcW w:w="1029" w:type="pct"/>
            <w:tcBorders>
              <w:top w:val="single" w:sz="4" w:space="0" w:color="auto"/>
              <w:left w:val="single" w:sz="4" w:space="0" w:color="auto"/>
              <w:bottom w:val="single" w:sz="4" w:space="0" w:color="auto"/>
              <w:right w:val="single" w:sz="4" w:space="0" w:color="auto"/>
            </w:tcBorders>
            <w:shd w:val="clear" w:color="auto" w:fill="auto"/>
            <w:hideMark/>
          </w:tcPr>
          <w:p w14:paraId="3FDA65B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r>
      <w:tr w:rsidR="00241ACB" w:rsidRPr="006B2F60" w14:paraId="58D78EC5" w14:textId="77777777" w:rsidTr="00DE3143">
        <w:trPr>
          <w:trHeight w:val="334"/>
        </w:trPr>
        <w:tc>
          <w:tcPr>
            <w:tcW w:w="671" w:type="pct"/>
            <w:tcBorders>
              <w:top w:val="single" w:sz="4" w:space="0" w:color="auto"/>
              <w:left w:val="single" w:sz="4" w:space="0" w:color="auto"/>
              <w:bottom w:val="single" w:sz="4" w:space="0" w:color="auto"/>
              <w:right w:val="single" w:sz="4" w:space="0" w:color="auto"/>
            </w:tcBorders>
            <w:shd w:val="clear" w:color="auto" w:fill="auto"/>
          </w:tcPr>
          <w:p w14:paraId="490A355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AuthorYear="1"&gt;&lt;Author&gt;Tashu&lt;/Author&gt;&lt;Year&gt;2022&lt;/Year&gt;&lt;RecNum&gt;1128&lt;/RecNum&gt;&lt;DisplayText&gt;Tashu and Makiva (2022)&lt;/DisplayText&gt;&lt;record&gt;&lt;rec-number&gt;1128&lt;/rec-number&gt;&lt;foreign-keys&gt;&lt;key app="EN" db-id="dptp5pfxc5f2t6exvwlx0ve0fp5zwfx0ptw2" timestamp="1717920307"&gt;1128&lt;/key&gt;&lt;/foreign-keys&gt;&lt;ref-type name="Journal Article"&gt;17&lt;/ref-type&gt;&lt;contributors&gt;&lt;authors&gt;&lt;author&gt;Tashu, Keith Tichaona&lt;/author&gt;&lt;author&gt;Makiva, Msuthukazi&lt;/author&gt;&lt;/authors&gt;&lt;/contributors&gt;&lt;titles&gt;&lt;title&gt;Local government revenue leakages through corruption during the Covid-19 pandemic in Africa: The case of Zimbabwe&lt;/title&gt;&lt;secondary-title&gt;JACL&lt;/secondary-title&gt;&lt;/titles&gt;&lt;periodical&gt;&lt;full-title&gt;JACL&lt;/full-title&gt;&lt;/periodical&gt;&lt;pages&gt;p.80-96&lt;/pages&gt;&lt;volume&gt;6&lt;/volume&gt;&lt;dates&gt;&lt;year&gt;2022&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Tashu and Makiva (2022)</w:t>
            </w:r>
            <w:r w:rsidRPr="006B2F60">
              <w:rPr>
                <w:rFonts w:eastAsia="Times New Roman" w:cstheme="minorHAnsi"/>
                <w:color w:val="000000"/>
                <w:sz w:val="16"/>
                <w:szCs w:val="16"/>
                <w:lang w:eastAsia="en-GB"/>
              </w:rPr>
              <w:fldChar w:fldCharType="end"/>
            </w:r>
          </w:p>
        </w:tc>
        <w:tc>
          <w:tcPr>
            <w:tcW w:w="1625" w:type="pct"/>
            <w:tcBorders>
              <w:top w:val="single" w:sz="4" w:space="0" w:color="auto"/>
              <w:left w:val="single" w:sz="4" w:space="0" w:color="auto"/>
              <w:bottom w:val="single" w:sz="4" w:space="0" w:color="auto"/>
              <w:right w:val="single" w:sz="4" w:space="0" w:color="auto"/>
            </w:tcBorders>
            <w:shd w:val="clear" w:color="auto" w:fill="auto"/>
          </w:tcPr>
          <w:p w14:paraId="27AD54C6" w14:textId="77777777" w:rsidR="00241ACB" w:rsidRPr="006B2F60" w:rsidRDefault="00241ACB" w:rsidP="00DE3143">
            <w:pPr>
              <w:spacing w:after="0"/>
              <w:rPr>
                <w:rFonts w:eastAsia="Times New Roman" w:cstheme="minorHAnsi"/>
                <w:sz w:val="16"/>
                <w:szCs w:val="16"/>
                <w:lang w:eastAsia="en-GB"/>
              </w:rPr>
            </w:pPr>
            <w:r w:rsidRPr="006B2F60">
              <w:rPr>
                <w:rFonts w:eastAsia="Times New Roman" w:cstheme="minorHAnsi"/>
                <w:sz w:val="16"/>
                <w:szCs w:val="16"/>
                <w:lang w:eastAsia="en-GB"/>
              </w:rPr>
              <w:t xml:space="preserve">Local Government Revenue Leakages Through Corruption During the Covid-19 Pandemic </w:t>
            </w:r>
            <w:r w:rsidRPr="006B2F60">
              <w:rPr>
                <w:rFonts w:eastAsia="Times New Roman" w:cstheme="minorHAnsi"/>
                <w:color w:val="000000"/>
                <w:sz w:val="16"/>
                <w:szCs w:val="16"/>
                <w:lang w:eastAsia="en-GB"/>
              </w:rPr>
              <w:t>in</w:t>
            </w:r>
            <w:r w:rsidRPr="006B2F60">
              <w:rPr>
                <w:rFonts w:eastAsia="Times New Roman" w:cstheme="minorHAnsi"/>
                <w:sz w:val="16"/>
                <w:szCs w:val="16"/>
                <w:lang w:eastAsia="en-GB"/>
              </w:rPr>
              <w:t xml:space="preserve"> Africa: The Case </w:t>
            </w:r>
            <w:r w:rsidRPr="006B2F60">
              <w:rPr>
                <w:rFonts w:eastAsia="Times New Roman" w:cstheme="minorHAnsi"/>
                <w:color w:val="000000"/>
                <w:sz w:val="16"/>
                <w:szCs w:val="16"/>
                <w:lang w:eastAsia="en-GB"/>
              </w:rPr>
              <w:t>of</w:t>
            </w:r>
            <w:r w:rsidRPr="006B2F60">
              <w:rPr>
                <w:rFonts w:eastAsia="Times New Roman" w:cstheme="minorHAnsi"/>
                <w:sz w:val="16"/>
                <w:szCs w:val="16"/>
                <w:lang w:eastAsia="en-GB"/>
              </w:rPr>
              <w:t xml:space="preserve"> Zimbabwe</w:t>
            </w:r>
          </w:p>
        </w:tc>
        <w:tc>
          <w:tcPr>
            <w:tcW w:w="1095" w:type="pct"/>
            <w:tcBorders>
              <w:top w:val="single" w:sz="4" w:space="0" w:color="auto"/>
              <w:left w:val="single" w:sz="4" w:space="0" w:color="auto"/>
              <w:bottom w:val="single" w:sz="4" w:space="0" w:color="auto"/>
              <w:right w:val="single" w:sz="4" w:space="0" w:color="auto"/>
            </w:tcBorders>
            <w:shd w:val="clear" w:color="auto" w:fill="auto"/>
          </w:tcPr>
          <w:p w14:paraId="3F9A07A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Anti-Corruption Law</w:t>
            </w:r>
          </w:p>
        </w:tc>
        <w:tc>
          <w:tcPr>
            <w:tcW w:w="580" w:type="pct"/>
            <w:tcBorders>
              <w:top w:val="single" w:sz="4" w:space="0" w:color="auto"/>
              <w:left w:val="single" w:sz="4" w:space="0" w:color="auto"/>
              <w:bottom w:val="single" w:sz="4" w:space="0" w:color="auto"/>
              <w:right w:val="single" w:sz="4" w:space="0" w:color="auto"/>
            </w:tcBorders>
            <w:shd w:val="clear" w:color="auto" w:fill="auto"/>
          </w:tcPr>
          <w:p w14:paraId="13251FD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Zimbabwe</w:t>
            </w:r>
          </w:p>
        </w:tc>
        <w:tc>
          <w:tcPr>
            <w:tcW w:w="1029" w:type="pct"/>
            <w:tcBorders>
              <w:top w:val="single" w:sz="4" w:space="0" w:color="auto"/>
              <w:left w:val="single" w:sz="4" w:space="0" w:color="auto"/>
              <w:bottom w:val="single" w:sz="4" w:space="0" w:color="auto"/>
              <w:right w:val="single" w:sz="4" w:space="0" w:color="auto"/>
            </w:tcBorders>
            <w:shd w:val="clear" w:color="auto" w:fill="auto"/>
          </w:tcPr>
          <w:p w14:paraId="1244149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r>
      <w:tr w:rsidR="00241ACB" w:rsidRPr="006B2F60" w14:paraId="624EB48E" w14:textId="77777777" w:rsidTr="00DE3143">
        <w:trPr>
          <w:trHeight w:val="325"/>
        </w:trPr>
        <w:tc>
          <w:tcPr>
            <w:tcW w:w="671" w:type="pct"/>
            <w:tcBorders>
              <w:top w:val="single" w:sz="4" w:space="0" w:color="auto"/>
              <w:left w:val="single" w:sz="4" w:space="0" w:color="auto"/>
              <w:bottom w:val="single" w:sz="4" w:space="0" w:color="auto"/>
              <w:right w:val="single" w:sz="4" w:space="0" w:color="auto"/>
            </w:tcBorders>
            <w:shd w:val="clear" w:color="auto" w:fill="auto"/>
          </w:tcPr>
          <w:p w14:paraId="608CFD3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AuthorYear="1"&gt;&lt;Author&gt;Odhiambo&lt;/Author&gt;&lt;Year&gt;2022&lt;/Year&gt;&lt;RecNum&gt;1129&lt;/RecNum&gt;&lt;DisplayText&gt;Odhiambo and Nyariki (2022)&lt;/DisplayText&gt;&lt;record&gt;&lt;rec-number&gt;1129&lt;/rec-number&gt;&lt;foreign-keys&gt;&lt;key app="EN" db-id="dptp5pfxc5f2t6exvwlx0ve0fp5zwfx0ptw2" timestamp="1717920377"&gt;1129&lt;/key&gt;&lt;/foreign-keys&gt;&lt;ref-type name="Journal Article"&gt;17&lt;/ref-type&gt;&lt;contributors&gt;&lt;authors&gt;&lt;author&gt;Odhiambo, Ogara John&lt;/author&gt;&lt;author&gt;Nyariki, Kennedy Okemwa&lt;/author&gt;&lt;/authors&gt;&lt;/contributors&gt;&lt;titles&gt;&lt;title&gt;Effect of Cashless Management on Revenue Collection Efficiency: A Case of Kisumu County Government, Kenya&lt;/title&gt;&lt;secondary-title&gt;The International Journal of Humanities &amp;amp; Social Studies&lt;/secondary-title&gt;&lt;/titles&gt;&lt;periodical&gt;&lt;full-title&gt;The International Journal of Humanities &amp;amp; Social Studies&lt;/full-title&gt;&lt;/periodical&gt;&lt;pages&gt;p.84-94&lt;/pages&gt;&lt;volume&gt;10&lt;/volume&gt;&lt;number&gt;5&lt;/number&gt;&lt;dates&gt;&lt;year&gt;2022&lt;/year&gt;&lt;/dates&gt;&lt;isbn&gt;2321-9203&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Odhiambo and Nyariki (2022)</w:t>
            </w:r>
            <w:r w:rsidRPr="006B2F60">
              <w:rPr>
                <w:rFonts w:eastAsia="Times New Roman" w:cstheme="minorHAnsi"/>
                <w:color w:val="000000"/>
                <w:sz w:val="16"/>
                <w:szCs w:val="16"/>
                <w:lang w:eastAsia="en-GB"/>
              </w:rPr>
              <w:fldChar w:fldCharType="end"/>
            </w:r>
          </w:p>
        </w:tc>
        <w:tc>
          <w:tcPr>
            <w:tcW w:w="1625" w:type="pct"/>
            <w:tcBorders>
              <w:top w:val="single" w:sz="4" w:space="0" w:color="auto"/>
              <w:left w:val="single" w:sz="4" w:space="0" w:color="auto"/>
              <w:bottom w:val="single" w:sz="4" w:space="0" w:color="auto"/>
              <w:right w:val="single" w:sz="4" w:space="0" w:color="auto"/>
            </w:tcBorders>
            <w:shd w:val="clear" w:color="auto" w:fill="auto"/>
          </w:tcPr>
          <w:p w14:paraId="1BDA5B0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Effect of Cashless Management on Revenue Collection Efficiency: A Case of Kisumu County Government, Kenya</w:t>
            </w:r>
          </w:p>
        </w:tc>
        <w:tc>
          <w:tcPr>
            <w:tcW w:w="1095" w:type="pct"/>
            <w:tcBorders>
              <w:top w:val="single" w:sz="4" w:space="0" w:color="auto"/>
              <w:left w:val="single" w:sz="4" w:space="0" w:color="auto"/>
              <w:bottom w:val="single" w:sz="4" w:space="0" w:color="auto"/>
              <w:right w:val="single" w:sz="4" w:space="0" w:color="auto"/>
            </w:tcBorders>
            <w:shd w:val="clear" w:color="auto" w:fill="auto"/>
          </w:tcPr>
          <w:p w14:paraId="22E2082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International Journal of Humanities &amp; Social Studies</w:t>
            </w:r>
          </w:p>
        </w:tc>
        <w:tc>
          <w:tcPr>
            <w:tcW w:w="580" w:type="pct"/>
            <w:tcBorders>
              <w:top w:val="single" w:sz="4" w:space="0" w:color="auto"/>
              <w:left w:val="single" w:sz="4" w:space="0" w:color="auto"/>
              <w:bottom w:val="single" w:sz="4" w:space="0" w:color="auto"/>
              <w:right w:val="single" w:sz="4" w:space="0" w:color="auto"/>
            </w:tcBorders>
            <w:shd w:val="clear" w:color="auto" w:fill="auto"/>
          </w:tcPr>
          <w:p w14:paraId="545FDBB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Kenya</w:t>
            </w:r>
          </w:p>
        </w:tc>
        <w:tc>
          <w:tcPr>
            <w:tcW w:w="1029" w:type="pct"/>
            <w:tcBorders>
              <w:top w:val="single" w:sz="4" w:space="0" w:color="auto"/>
              <w:left w:val="single" w:sz="4" w:space="0" w:color="auto"/>
              <w:bottom w:val="single" w:sz="4" w:space="0" w:color="auto"/>
              <w:right w:val="single" w:sz="4" w:space="0" w:color="auto"/>
            </w:tcBorders>
            <w:shd w:val="clear" w:color="auto" w:fill="auto"/>
          </w:tcPr>
          <w:p w14:paraId="7C7CFEF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r>
      <w:tr w:rsidR="00241ACB" w:rsidRPr="006B2F60" w14:paraId="1711207A" w14:textId="77777777" w:rsidTr="00DE3143">
        <w:trPr>
          <w:trHeight w:val="325"/>
        </w:trPr>
        <w:tc>
          <w:tcPr>
            <w:tcW w:w="671" w:type="pct"/>
            <w:tcBorders>
              <w:top w:val="single" w:sz="4" w:space="0" w:color="auto"/>
              <w:left w:val="single" w:sz="4" w:space="0" w:color="auto"/>
              <w:bottom w:val="single" w:sz="4" w:space="0" w:color="auto"/>
              <w:right w:val="single" w:sz="4" w:space="0" w:color="auto"/>
            </w:tcBorders>
            <w:shd w:val="clear" w:color="auto" w:fill="auto"/>
          </w:tcPr>
          <w:p w14:paraId="00718F9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AuthorYear="1"&gt;&lt;Author&gt;Hussain&lt;/Author&gt;&lt;Year&gt;2022&lt;/Year&gt;&lt;RecNum&gt;1109&lt;/RecNum&gt;&lt;DisplayText&gt;Hussain (2022)&lt;/DisplayText&gt;&lt;record&gt;&lt;rec-number&gt;1109&lt;/rec-number&gt;&lt;foreign-keys&gt;&lt;key app="EN" db-id="dptp5pfxc5f2t6exvwlx0ve0fp5zwfx0ptw2" timestamp="1717467873"&gt;1109&lt;/key&gt;&lt;/foreign-keys&gt;&lt;ref-type name="Journal Article"&gt;17&lt;/ref-type&gt;&lt;contributors&gt;&lt;authors&gt;&lt;author&gt;Hussain, Iftikhar&lt;/author&gt;&lt;/authors&gt;&lt;/contributors&gt;&lt;titles&gt;&lt;title&gt;An overview of ecotourism&lt;/title&gt;&lt;secondary-title&gt;IJNRD-International Journal of Novel Research and Development&lt;/secondary-title&gt;&lt;/titles&gt;&lt;periodical&gt;&lt;full-title&gt;IJNRD-International Journal of Novel Research and Development&lt;/full-title&gt;&lt;/periodical&gt;&lt;pages&gt;p.471-481&lt;/pages&gt;&lt;volume&gt;7&lt;/volume&gt;&lt;number&gt;3&lt;/number&gt;&lt;dates&gt;&lt;year&gt;2022&lt;/year&gt;&lt;/dates&gt;&lt;urls&gt;&lt;/urls&gt;&lt;/record&gt;&lt;/Cite&gt;&lt;/EndNote&gt;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Hussain (2022)</w:t>
            </w:r>
            <w:r w:rsidRPr="006B2F60">
              <w:rPr>
                <w:rFonts w:eastAsia="Times New Roman" w:cstheme="minorHAnsi"/>
                <w:color w:val="000000"/>
                <w:sz w:val="16"/>
                <w:szCs w:val="16"/>
                <w:lang w:eastAsia="en-GB"/>
              </w:rPr>
              <w:fldChar w:fldCharType="end"/>
            </w:r>
          </w:p>
        </w:tc>
        <w:tc>
          <w:tcPr>
            <w:tcW w:w="1625" w:type="pct"/>
            <w:tcBorders>
              <w:top w:val="single" w:sz="4" w:space="0" w:color="auto"/>
              <w:left w:val="single" w:sz="4" w:space="0" w:color="auto"/>
              <w:bottom w:val="single" w:sz="4" w:space="0" w:color="auto"/>
              <w:right w:val="single" w:sz="4" w:space="0" w:color="auto"/>
            </w:tcBorders>
            <w:shd w:val="clear" w:color="auto" w:fill="auto"/>
          </w:tcPr>
          <w:p w14:paraId="1F9F66A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An Overview of Ecotourism</w:t>
            </w:r>
          </w:p>
        </w:tc>
        <w:tc>
          <w:tcPr>
            <w:tcW w:w="1095" w:type="pct"/>
            <w:tcBorders>
              <w:top w:val="single" w:sz="4" w:space="0" w:color="auto"/>
              <w:left w:val="single" w:sz="4" w:space="0" w:color="auto"/>
              <w:bottom w:val="single" w:sz="4" w:space="0" w:color="auto"/>
              <w:right w:val="single" w:sz="4" w:space="0" w:color="auto"/>
            </w:tcBorders>
            <w:shd w:val="clear" w:color="auto" w:fill="auto"/>
          </w:tcPr>
          <w:p w14:paraId="4133099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IJNRD-International Journal of Novel Research and Development</w:t>
            </w:r>
          </w:p>
        </w:tc>
        <w:tc>
          <w:tcPr>
            <w:tcW w:w="580" w:type="pct"/>
            <w:tcBorders>
              <w:top w:val="single" w:sz="4" w:space="0" w:color="auto"/>
              <w:left w:val="single" w:sz="4" w:space="0" w:color="auto"/>
              <w:bottom w:val="single" w:sz="4" w:space="0" w:color="auto"/>
              <w:right w:val="single" w:sz="4" w:space="0" w:color="auto"/>
            </w:tcBorders>
            <w:shd w:val="clear" w:color="auto" w:fill="auto"/>
          </w:tcPr>
          <w:p w14:paraId="5E03A5C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Cross-Country</w:t>
            </w:r>
          </w:p>
        </w:tc>
        <w:tc>
          <w:tcPr>
            <w:tcW w:w="1029" w:type="pct"/>
            <w:tcBorders>
              <w:top w:val="single" w:sz="4" w:space="0" w:color="auto"/>
              <w:left w:val="single" w:sz="4" w:space="0" w:color="auto"/>
              <w:bottom w:val="single" w:sz="4" w:space="0" w:color="auto"/>
              <w:right w:val="single" w:sz="4" w:space="0" w:color="auto"/>
            </w:tcBorders>
            <w:shd w:val="clear" w:color="auto" w:fill="auto"/>
          </w:tcPr>
          <w:p w14:paraId="4CFCBDF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7220 - Travel Agency and Tour Arrangement Services</w:t>
            </w:r>
          </w:p>
        </w:tc>
      </w:tr>
      <w:tr w:rsidR="00241ACB" w:rsidRPr="006B2F60" w14:paraId="242169A2" w14:textId="77777777" w:rsidTr="00DE3143">
        <w:trPr>
          <w:trHeight w:val="325"/>
        </w:trPr>
        <w:tc>
          <w:tcPr>
            <w:tcW w:w="671" w:type="pct"/>
            <w:tcBorders>
              <w:top w:val="single" w:sz="4" w:space="0" w:color="auto"/>
              <w:left w:val="single" w:sz="4" w:space="0" w:color="auto"/>
              <w:bottom w:val="single" w:sz="4" w:space="0" w:color="auto"/>
              <w:right w:val="single" w:sz="4" w:space="0" w:color="auto"/>
            </w:tcBorders>
            <w:shd w:val="clear" w:color="auto" w:fill="auto"/>
          </w:tcPr>
          <w:p w14:paraId="0717971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AuthorYear="1"&gt;&lt;Author&gt;Ingle&lt;/Author&gt;&lt;Year&gt;2022&lt;/Year&gt;&lt;RecNum&gt;1131&lt;/RecNum&gt;&lt;DisplayText&gt;Ingle et al. (2022)&lt;/DisplayText&gt;&lt;record&gt;&lt;rec-number&gt;1131&lt;/rec-number&gt;&lt;foreign-keys&gt;&lt;key app="EN" db-id="dptp5pfxc5f2t6exvwlx0ve0fp5zwfx0ptw2" timestamp="1717920507"&gt;1131&lt;/key&gt;&lt;/foreign-keys&gt;&lt;ref-type name="Journal Article"&gt;17&lt;/ref-type&gt;&lt;contributors&gt;&lt;authors&gt;&lt;author&gt;Ingle, AS&lt;/author&gt;&lt;author&gt;Ade, AN&lt;/author&gt;&lt;author&gt;Chandane, PM&lt;/author&gt;&lt;author&gt;Bhagat, DB&lt;/author&gt;&lt;author&gt;Dolase, VR&lt;/author&gt;&lt;/authors&gt;&lt;/contributors&gt;&lt;titles&gt;&lt;title&gt;IoT Based Menu Ordering System&lt;/title&gt;&lt;secondary-title&gt;Int. Journal for Research in Applied Science and Engineering Tehnology (IJRASET)&lt;/secondary-title&gt;&lt;/titles&gt;&lt;periodical&gt;&lt;full-title&gt;Int. Journal for Research in Applied Science and Engineering Tehnology (IJRASET)&lt;/full-title&gt;&lt;/periodical&gt;&lt;pages&gt;p.1194-1199&lt;/pages&gt;&lt;volume&gt;10&lt;/volume&gt;&lt;number&gt;11&lt;/number&gt;&lt;dates&gt;&lt;year&gt;2022&lt;/year&gt;&lt;/dates&gt;&lt;urls&gt;&lt;/urls&gt;&lt;/record&gt;&lt;/Cite&gt;&lt;/EndNote&gt;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Ingle et al. (2022)</w:t>
            </w:r>
            <w:r w:rsidRPr="006B2F60">
              <w:rPr>
                <w:rFonts w:eastAsia="Times New Roman" w:cstheme="minorHAnsi"/>
                <w:color w:val="000000"/>
                <w:sz w:val="16"/>
                <w:szCs w:val="16"/>
                <w:lang w:eastAsia="en-GB"/>
              </w:rPr>
              <w:fldChar w:fldCharType="end"/>
            </w:r>
          </w:p>
        </w:tc>
        <w:tc>
          <w:tcPr>
            <w:tcW w:w="1625" w:type="pct"/>
            <w:tcBorders>
              <w:top w:val="single" w:sz="4" w:space="0" w:color="auto"/>
              <w:left w:val="single" w:sz="4" w:space="0" w:color="auto"/>
              <w:bottom w:val="single" w:sz="4" w:space="0" w:color="auto"/>
              <w:right w:val="single" w:sz="4" w:space="0" w:color="auto"/>
            </w:tcBorders>
            <w:shd w:val="clear" w:color="auto" w:fill="auto"/>
          </w:tcPr>
          <w:p w14:paraId="2F0B9AE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IoT Based Menu Ordering System</w:t>
            </w:r>
          </w:p>
        </w:tc>
        <w:tc>
          <w:tcPr>
            <w:tcW w:w="1095" w:type="pct"/>
            <w:tcBorders>
              <w:top w:val="single" w:sz="4" w:space="0" w:color="auto"/>
              <w:left w:val="single" w:sz="4" w:space="0" w:color="auto"/>
              <w:bottom w:val="single" w:sz="4" w:space="0" w:color="auto"/>
              <w:right w:val="single" w:sz="4" w:space="0" w:color="auto"/>
            </w:tcBorders>
            <w:shd w:val="clear" w:color="auto" w:fill="auto"/>
          </w:tcPr>
          <w:p w14:paraId="6B436CE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 Journal for Research in Applied Science and Engineering Technology (IJRASET)</w:t>
            </w:r>
          </w:p>
        </w:tc>
        <w:tc>
          <w:tcPr>
            <w:tcW w:w="580" w:type="pct"/>
            <w:tcBorders>
              <w:top w:val="single" w:sz="4" w:space="0" w:color="auto"/>
              <w:left w:val="single" w:sz="4" w:space="0" w:color="auto"/>
              <w:bottom w:val="single" w:sz="4" w:space="0" w:color="auto"/>
              <w:right w:val="single" w:sz="4" w:space="0" w:color="auto"/>
            </w:tcBorders>
            <w:shd w:val="clear" w:color="auto" w:fill="auto"/>
          </w:tcPr>
          <w:p w14:paraId="14B6E9D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Cross-Country</w:t>
            </w:r>
          </w:p>
        </w:tc>
        <w:tc>
          <w:tcPr>
            <w:tcW w:w="1029" w:type="pct"/>
            <w:tcBorders>
              <w:top w:val="single" w:sz="4" w:space="0" w:color="auto"/>
              <w:left w:val="single" w:sz="4" w:space="0" w:color="auto"/>
              <w:bottom w:val="single" w:sz="4" w:space="0" w:color="auto"/>
              <w:right w:val="single" w:sz="4" w:space="0" w:color="auto"/>
            </w:tcBorders>
            <w:shd w:val="clear" w:color="auto" w:fill="auto"/>
          </w:tcPr>
          <w:p w14:paraId="4834941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4511 - Cafes and Restaurants</w:t>
            </w:r>
          </w:p>
        </w:tc>
      </w:tr>
      <w:tr w:rsidR="00241ACB" w:rsidRPr="006B2F60" w14:paraId="5918A5C5" w14:textId="77777777" w:rsidTr="00DE3143">
        <w:trPr>
          <w:trHeight w:val="387"/>
        </w:trPr>
        <w:tc>
          <w:tcPr>
            <w:tcW w:w="671" w:type="pct"/>
            <w:tcBorders>
              <w:top w:val="single" w:sz="4" w:space="0" w:color="auto"/>
              <w:left w:val="single" w:sz="4" w:space="0" w:color="auto"/>
              <w:bottom w:val="single" w:sz="4" w:space="0" w:color="auto"/>
              <w:right w:val="single" w:sz="4" w:space="0" w:color="auto"/>
            </w:tcBorders>
            <w:shd w:val="clear" w:color="auto" w:fill="auto"/>
            <w:hideMark/>
          </w:tcPr>
          <w:p w14:paraId="30DE1F5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AuthorYear="1"&gt;&lt;Author&gt;Bandi&lt;/Author&gt;&lt;Year&gt;2023&lt;/Year&gt;&lt;RecNum&gt;942&lt;/RecNum&gt;&lt;DisplayText&gt;Bandi et al. (2023)&lt;/DisplayText&gt;&lt;record&gt;&lt;rec-number&gt;942&lt;/rec-number&gt;&lt;foreign-keys&gt;&lt;key app="EN" db-id="dptp5pfxc5f2t6exvwlx0ve0fp5zwfx0ptw2" timestamp="1706092464"&gt;942&lt;/key&gt;&lt;/foreign-keys&gt;&lt;ref-type name="Journal Article"&gt;17&lt;/ref-type&gt;&lt;contributors&gt;&lt;authors&gt;&lt;author&gt;Bandi, Krishna&lt;/author&gt;&lt;author&gt;Shailendra, Swetha&lt;/author&gt;&lt;author&gt;Varanasi, Chitra&lt;/author&gt;&lt;/authors&gt;&lt;/contributors&gt;&lt;titles&gt;&lt;title&gt;CV2X-PC5 Vehicle Based Tolling Transaction System&lt;/title&gt;&lt;secondary-title&gt;IEEE Open Journal of Intelligent Transportation Systems&lt;/secondary-title&gt;&lt;/titles&gt;&lt;periodical&gt;&lt;full-title&gt;IEEE Open Journal of Intelligent Transportation Systems&lt;/full-title&gt;&lt;/periodical&gt;&lt;pages&gt;p.431-438&lt;/pages&gt;&lt;volume&gt;74&lt;/volume&gt;&lt;dates&gt;&lt;year&gt;2023&lt;/year&gt;&lt;/dates&gt;&lt;isbn&gt;2687-7813&lt;/isbn&gt;&lt;urls&gt;&lt;/urls&gt;&lt;/record&gt;&lt;/Cite&gt;&lt;/EndNote&gt;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Bandi et al. (2023)</w:t>
            </w:r>
            <w:r w:rsidRPr="006B2F60">
              <w:rPr>
                <w:rFonts w:eastAsia="Times New Roman" w:cstheme="minorHAnsi"/>
                <w:color w:val="000000"/>
                <w:sz w:val="16"/>
                <w:szCs w:val="16"/>
                <w:lang w:eastAsia="en-GB"/>
              </w:rPr>
              <w:fldChar w:fldCharType="end"/>
            </w:r>
          </w:p>
        </w:tc>
        <w:tc>
          <w:tcPr>
            <w:tcW w:w="1625" w:type="pct"/>
            <w:tcBorders>
              <w:top w:val="single" w:sz="4" w:space="0" w:color="auto"/>
              <w:left w:val="single" w:sz="4" w:space="0" w:color="auto"/>
              <w:bottom w:val="single" w:sz="4" w:space="0" w:color="auto"/>
              <w:right w:val="single" w:sz="4" w:space="0" w:color="auto"/>
            </w:tcBorders>
            <w:shd w:val="clear" w:color="auto" w:fill="auto"/>
            <w:hideMark/>
          </w:tcPr>
          <w:p w14:paraId="5464AB3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Cv2x-Pc5 Vehicle Based Tolling Transaction System.</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350829D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IEEE Open Journal of Intelligent Transportation Systems.</w:t>
            </w:r>
          </w:p>
        </w:tc>
        <w:tc>
          <w:tcPr>
            <w:tcW w:w="580" w:type="pct"/>
            <w:tcBorders>
              <w:top w:val="single" w:sz="4" w:space="0" w:color="auto"/>
              <w:left w:val="single" w:sz="4" w:space="0" w:color="auto"/>
              <w:bottom w:val="single" w:sz="4" w:space="0" w:color="auto"/>
              <w:right w:val="single" w:sz="4" w:space="0" w:color="auto"/>
            </w:tcBorders>
            <w:shd w:val="clear" w:color="auto" w:fill="auto"/>
            <w:hideMark/>
          </w:tcPr>
          <w:p w14:paraId="1539783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US</w:t>
            </w:r>
          </w:p>
        </w:tc>
        <w:tc>
          <w:tcPr>
            <w:tcW w:w="1029" w:type="pct"/>
            <w:tcBorders>
              <w:top w:val="single" w:sz="4" w:space="0" w:color="auto"/>
              <w:left w:val="single" w:sz="4" w:space="0" w:color="auto"/>
              <w:bottom w:val="single" w:sz="4" w:space="0" w:color="auto"/>
              <w:right w:val="single" w:sz="4" w:space="0" w:color="auto"/>
            </w:tcBorders>
            <w:shd w:val="clear" w:color="auto" w:fill="auto"/>
            <w:hideMark/>
          </w:tcPr>
          <w:p w14:paraId="58C6AE4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r>
      <w:tr w:rsidR="00241ACB" w:rsidRPr="006B2F60" w14:paraId="6A5B5690" w14:textId="77777777" w:rsidTr="00DE3143">
        <w:trPr>
          <w:trHeight w:val="349"/>
        </w:trPr>
        <w:tc>
          <w:tcPr>
            <w:tcW w:w="671" w:type="pct"/>
            <w:tcBorders>
              <w:top w:val="single" w:sz="4" w:space="0" w:color="auto"/>
              <w:left w:val="single" w:sz="4" w:space="0" w:color="auto"/>
              <w:bottom w:val="single" w:sz="4" w:space="0" w:color="auto"/>
              <w:right w:val="single" w:sz="4" w:space="0" w:color="auto"/>
            </w:tcBorders>
            <w:shd w:val="clear" w:color="auto" w:fill="auto"/>
            <w:hideMark/>
          </w:tcPr>
          <w:p w14:paraId="219C577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AuthorYear="1"&gt;&lt;Author&gt;Komen&lt;/Author&gt;&lt;Year&gt;2023&lt;/Year&gt;&lt;RecNum&gt;1023&lt;/RecNum&gt;&lt;DisplayText&gt;Komen and Ngahu (2023)&lt;/DisplayText&gt;&lt;record&gt;&lt;rec-number&gt;1023&lt;/rec-number&gt;&lt;foreign-keys&gt;&lt;key app="EN" db-id="dptp5pfxc5f2t6exvwlx0ve0fp5zwfx0ptw2" timestamp="1717206754"&gt;1023&lt;/key&gt;&lt;/foreign-keys&gt;&lt;ref-type name="Journal Article"&gt;17&lt;/ref-type&gt;&lt;contributors&gt;&lt;authors&gt;&lt;author&gt;Komen, Timothy&lt;/author&gt;&lt;author&gt;Ngahu, Solomon&lt;/author&gt;&lt;/authors&gt;&lt;/contributors&gt;&lt;titles&gt;&lt;title&gt;Influence of Investigation Practice on Revenue Leakages at State Corporations in Kenya’s Energy Sector&lt;/title&gt;&lt;secondary-title&gt;International Journal of Social Sciences and Information Technology&lt;/secondary-title&gt;&lt;/titles&gt;&lt;periodical&gt;&lt;full-title&gt;International Journal of Social Sciences and Information Technology&lt;/full-title&gt;&lt;/periodical&gt;&lt;pages&gt;p.30-39&lt;/pages&gt;&lt;volume&gt;Vol IX Issue V &lt;/volume&gt;&lt;number&gt;May 2023&lt;/number&gt;&lt;dates&gt;&lt;year&gt;2023&lt;/year&gt;&lt;/dates&gt;&lt;urls&gt;&lt;/urls&gt;&lt;/record&gt;&lt;/Cite&gt;&lt;/EndNote&gt;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noProof/>
                <w:color w:val="000000"/>
                <w:sz w:val="16"/>
                <w:szCs w:val="16"/>
                <w:lang w:eastAsia="en-GB"/>
              </w:rPr>
              <w:t>Komen and Ngahu (2023)</w:t>
            </w:r>
            <w:r w:rsidRPr="006B2F60">
              <w:rPr>
                <w:rFonts w:eastAsia="Times New Roman" w:cstheme="minorHAnsi"/>
                <w:color w:val="000000"/>
                <w:sz w:val="16"/>
                <w:szCs w:val="16"/>
                <w:lang w:eastAsia="en-GB"/>
              </w:rPr>
              <w:fldChar w:fldCharType="end"/>
            </w:r>
          </w:p>
        </w:tc>
        <w:tc>
          <w:tcPr>
            <w:tcW w:w="1625" w:type="pct"/>
            <w:tcBorders>
              <w:top w:val="single" w:sz="4" w:space="0" w:color="auto"/>
              <w:left w:val="single" w:sz="4" w:space="0" w:color="auto"/>
              <w:bottom w:val="single" w:sz="4" w:space="0" w:color="auto"/>
              <w:right w:val="single" w:sz="4" w:space="0" w:color="auto"/>
            </w:tcBorders>
            <w:shd w:val="clear" w:color="auto" w:fill="auto"/>
            <w:hideMark/>
          </w:tcPr>
          <w:p w14:paraId="05D3AB4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Influence of Investigation Practice on Revenue Leakages at State Corporations in Kenya’s Energy Sector</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245F584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Journal of Social Sciences and Information Technology</w:t>
            </w:r>
          </w:p>
        </w:tc>
        <w:tc>
          <w:tcPr>
            <w:tcW w:w="580" w:type="pct"/>
            <w:tcBorders>
              <w:top w:val="single" w:sz="4" w:space="0" w:color="auto"/>
              <w:left w:val="single" w:sz="4" w:space="0" w:color="auto"/>
              <w:bottom w:val="single" w:sz="4" w:space="0" w:color="auto"/>
              <w:right w:val="single" w:sz="4" w:space="0" w:color="auto"/>
            </w:tcBorders>
            <w:shd w:val="clear" w:color="auto" w:fill="auto"/>
            <w:hideMark/>
          </w:tcPr>
          <w:p w14:paraId="78C980B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Kenya</w:t>
            </w:r>
          </w:p>
        </w:tc>
        <w:tc>
          <w:tcPr>
            <w:tcW w:w="1029" w:type="pct"/>
            <w:tcBorders>
              <w:top w:val="single" w:sz="4" w:space="0" w:color="auto"/>
              <w:left w:val="single" w:sz="4" w:space="0" w:color="auto"/>
              <w:bottom w:val="single" w:sz="4" w:space="0" w:color="auto"/>
              <w:right w:val="single" w:sz="4" w:space="0" w:color="auto"/>
            </w:tcBorders>
            <w:shd w:val="clear" w:color="auto" w:fill="auto"/>
            <w:hideMark/>
          </w:tcPr>
          <w:p w14:paraId="655AE04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r>
      <w:tr w:rsidR="00241ACB" w:rsidRPr="006B2F60" w14:paraId="1CC6A63C" w14:textId="77777777" w:rsidTr="00DE3143">
        <w:trPr>
          <w:trHeight w:val="420"/>
        </w:trPr>
        <w:tc>
          <w:tcPr>
            <w:tcW w:w="671" w:type="pct"/>
            <w:tcBorders>
              <w:top w:val="single" w:sz="4" w:space="0" w:color="auto"/>
              <w:left w:val="single" w:sz="4" w:space="0" w:color="auto"/>
              <w:bottom w:val="single" w:sz="4" w:space="0" w:color="auto"/>
              <w:right w:val="single" w:sz="4" w:space="0" w:color="auto"/>
            </w:tcBorders>
            <w:shd w:val="clear" w:color="auto" w:fill="auto"/>
            <w:hideMark/>
          </w:tcPr>
          <w:p w14:paraId="4D14D0C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Kilanko (2023)</w:t>
            </w:r>
          </w:p>
        </w:tc>
        <w:tc>
          <w:tcPr>
            <w:tcW w:w="1625" w:type="pct"/>
            <w:tcBorders>
              <w:top w:val="single" w:sz="4" w:space="0" w:color="auto"/>
              <w:left w:val="single" w:sz="4" w:space="0" w:color="auto"/>
              <w:bottom w:val="single" w:sz="4" w:space="0" w:color="auto"/>
              <w:right w:val="single" w:sz="4" w:space="0" w:color="auto"/>
            </w:tcBorders>
            <w:shd w:val="clear" w:color="auto" w:fill="auto"/>
            <w:hideMark/>
          </w:tcPr>
          <w:p w14:paraId="329AC69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Leveraging Artificial Intelligence for Enhanced Revenue Cycle Management in the United States</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76C1C70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Journal of Scientific Advances</w:t>
            </w:r>
          </w:p>
        </w:tc>
        <w:tc>
          <w:tcPr>
            <w:tcW w:w="580" w:type="pct"/>
            <w:tcBorders>
              <w:top w:val="single" w:sz="4" w:space="0" w:color="auto"/>
              <w:left w:val="single" w:sz="4" w:space="0" w:color="auto"/>
              <w:bottom w:val="single" w:sz="4" w:space="0" w:color="auto"/>
              <w:right w:val="single" w:sz="4" w:space="0" w:color="auto"/>
            </w:tcBorders>
            <w:shd w:val="clear" w:color="auto" w:fill="auto"/>
            <w:hideMark/>
          </w:tcPr>
          <w:p w14:paraId="02FD438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US</w:t>
            </w:r>
          </w:p>
        </w:tc>
        <w:tc>
          <w:tcPr>
            <w:tcW w:w="1029" w:type="pct"/>
            <w:tcBorders>
              <w:top w:val="single" w:sz="4" w:space="0" w:color="auto"/>
              <w:left w:val="single" w:sz="4" w:space="0" w:color="auto"/>
              <w:bottom w:val="single" w:sz="4" w:space="0" w:color="auto"/>
              <w:right w:val="single" w:sz="4" w:space="0" w:color="auto"/>
            </w:tcBorders>
            <w:shd w:val="clear" w:color="auto" w:fill="auto"/>
            <w:hideMark/>
          </w:tcPr>
          <w:p w14:paraId="4913EF0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8401 - Hospitals (Except Psychiatric Hospitals)</w:t>
            </w:r>
          </w:p>
        </w:tc>
      </w:tr>
      <w:tr w:rsidR="00241ACB" w:rsidRPr="006B2F60" w14:paraId="1F86A756" w14:textId="77777777" w:rsidTr="00DE3143">
        <w:trPr>
          <w:trHeight w:val="409"/>
        </w:trPr>
        <w:tc>
          <w:tcPr>
            <w:tcW w:w="671" w:type="pct"/>
            <w:tcBorders>
              <w:top w:val="single" w:sz="4" w:space="0" w:color="auto"/>
              <w:left w:val="single" w:sz="4" w:space="0" w:color="auto"/>
              <w:bottom w:val="single" w:sz="4" w:space="0" w:color="auto"/>
              <w:right w:val="single" w:sz="4" w:space="0" w:color="auto"/>
            </w:tcBorders>
            <w:shd w:val="clear" w:color="auto" w:fill="auto"/>
            <w:hideMark/>
          </w:tcPr>
          <w:p w14:paraId="0BE4147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AuthorYear="1"&gt;&lt;Author&gt;Chilunjika&lt;/Author&gt;&lt;Year&gt;2023&lt;/Year&gt;&lt;RecNum&gt;1030&lt;/RecNum&gt;&lt;DisplayText&gt;Chilunjika et al. (2023)&lt;/DisplayText&gt;&lt;record&gt;&lt;rec-number&gt;1030&lt;/rec-number&gt;&lt;foreign-keys&gt;&lt;key app="EN" db-id="dptp5pfxc5f2t6exvwlx0ve0fp5zwfx0ptw2" timestamp="1717207045"&gt;1030&lt;/key&gt;&lt;/foreign-keys&gt;&lt;ref-type name="Journal Article"&gt;17&lt;/ref-type&gt;&lt;contributors&gt;&lt;authors&gt;&lt;author&gt;Chilunjika, Alouis&lt;/author&gt;&lt;author&gt;Uwizeyimana, Dominique E&lt;/author&gt;&lt;author&gt;Chilunjika, Sharon RT&lt;/author&gt;&lt;/authors&gt;&lt;/contributors&gt;&lt;titles&gt;&lt;title&gt;Road tolling and domestic revenue mobilisation in Zimbabwe&lt;/title&gt;&lt;secondary-title&gt;International Journal of Economics and Financial Issues&lt;/secondary-title&gt;&lt;/titles&gt;&lt;periodical&gt;&lt;full-title&gt;International Journal of Economics and Financial Issues&lt;/full-title&gt;&lt;/periodical&gt;&lt;pages&gt;p.67-75&lt;/pages&gt;&lt;volume&gt;13&lt;/volume&gt;&lt;number&gt;5&lt;/number&gt;&lt;dates&gt;&lt;year&gt;2023&lt;/year&gt;&lt;/dates&gt;&lt;urls&gt;&lt;/urls&gt;&lt;/record&gt;&lt;/Cite&gt;&lt;/EndNote&gt;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Chilunjika et al. (2023)</w:t>
            </w:r>
            <w:r w:rsidRPr="006B2F60">
              <w:rPr>
                <w:rFonts w:eastAsia="Times New Roman" w:cstheme="minorHAnsi"/>
                <w:color w:val="000000"/>
                <w:sz w:val="16"/>
                <w:szCs w:val="16"/>
                <w:lang w:eastAsia="en-GB"/>
              </w:rPr>
              <w:fldChar w:fldCharType="end"/>
            </w:r>
          </w:p>
        </w:tc>
        <w:tc>
          <w:tcPr>
            <w:tcW w:w="1625" w:type="pct"/>
            <w:tcBorders>
              <w:top w:val="single" w:sz="4" w:space="0" w:color="auto"/>
              <w:left w:val="single" w:sz="4" w:space="0" w:color="auto"/>
              <w:bottom w:val="single" w:sz="4" w:space="0" w:color="auto"/>
              <w:right w:val="single" w:sz="4" w:space="0" w:color="auto"/>
            </w:tcBorders>
            <w:shd w:val="clear" w:color="auto" w:fill="auto"/>
            <w:hideMark/>
          </w:tcPr>
          <w:p w14:paraId="47F26D8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Road Tolling And Domestic Revenue Mobilisation in Zimbabwe. </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3A5FB7E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Journal of Economics and Financial Issues</w:t>
            </w:r>
          </w:p>
        </w:tc>
        <w:tc>
          <w:tcPr>
            <w:tcW w:w="580" w:type="pct"/>
            <w:tcBorders>
              <w:top w:val="single" w:sz="4" w:space="0" w:color="auto"/>
              <w:left w:val="single" w:sz="4" w:space="0" w:color="auto"/>
              <w:bottom w:val="single" w:sz="4" w:space="0" w:color="auto"/>
              <w:right w:val="single" w:sz="4" w:space="0" w:color="auto"/>
            </w:tcBorders>
            <w:shd w:val="clear" w:color="auto" w:fill="auto"/>
            <w:hideMark/>
          </w:tcPr>
          <w:p w14:paraId="051E915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Zimbabwe</w:t>
            </w:r>
          </w:p>
        </w:tc>
        <w:tc>
          <w:tcPr>
            <w:tcW w:w="1029" w:type="pct"/>
            <w:tcBorders>
              <w:top w:val="single" w:sz="4" w:space="0" w:color="auto"/>
              <w:left w:val="single" w:sz="4" w:space="0" w:color="auto"/>
              <w:bottom w:val="single" w:sz="4" w:space="0" w:color="auto"/>
              <w:right w:val="single" w:sz="4" w:space="0" w:color="auto"/>
            </w:tcBorders>
            <w:shd w:val="clear" w:color="auto" w:fill="auto"/>
            <w:hideMark/>
          </w:tcPr>
          <w:p w14:paraId="00BAF64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r>
      <w:tr w:rsidR="00241ACB" w:rsidRPr="006B2F60" w14:paraId="6BED3AA0" w14:textId="77777777" w:rsidTr="00DE3143">
        <w:trPr>
          <w:trHeight w:val="420"/>
        </w:trPr>
        <w:tc>
          <w:tcPr>
            <w:tcW w:w="671" w:type="pct"/>
            <w:tcBorders>
              <w:top w:val="single" w:sz="4" w:space="0" w:color="auto"/>
              <w:left w:val="single" w:sz="4" w:space="0" w:color="auto"/>
              <w:bottom w:val="single" w:sz="4" w:space="0" w:color="auto"/>
              <w:right w:val="single" w:sz="4" w:space="0" w:color="auto"/>
            </w:tcBorders>
            <w:shd w:val="clear" w:color="auto" w:fill="auto"/>
            <w:hideMark/>
          </w:tcPr>
          <w:p w14:paraId="0BCE41C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AuthorYear="1"&gt;&lt;Author&gt;Biswas&lt;/Author&gt;&lt;Year&gt;2023&lt;/Year&gt;&lt;RecNum&gt;1037&lt;/RecNum&gt;&lt;DisplayText&gt;Biswas and Pal (2023)&lt;/DisplayText&gt;&lt;record&gt;&lt;rec-number&gt;1037&lt;/rec-number&gt;&lt;foreign-keys&gt;&lt;key app="EN" db-id="dptp5pfxc5f2t6exvwlx0ve0fp5zwfx0ptw2" timestamp="1717288095"&gt;1037&lt;/key&gt;&lt;/foreign-keys&gt;&lt;ref-type name="Journal Article"&gt;17&lt;/ref-type&gt;&lt;contributors&gt;&lt;authors&gt;&lt;author&gt;Biswas, Soumendra Nath&lt;/author&gt;&lt;author&gt;Pal, Mr Sudipta Kumar&lt;/author&gt;&lt;/authors&gt;&lt;/contributors&gt;&lt;titles&gt;&lt;title&gt;Effects of Online Distribution for Marketing of Budget Accommodation Segment in Kolkata, India&lt;/title&gt;&lt;secondary-title&gt;International Journal of Research and Innovation in Social Science&lt;/secondary-title&gt;&lt;/titles&gt;&lt;periodical&gt;&lt;full-title&gt;International Journal of Research and Innovation in Social Science&lt;/full-title&gt;&lt;/periodical&gt;&lt;pages&gt;p.1250-1259&lt;/pages&gt;&lt;volume&gt;7&lt;/volume&gt;&lt;number&gt;8&lt;/number&gt;&lt;dates&gt;&lt;year&gt;2023&lt;/year&gt;&lt;/dates&gt;&lt;urls&gt;&lt;/urls&gt;&lt;/record&gt;&lt;/Cite&gt;&lt;/EndNote&gt;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Biswas and Pal (2023)</w:t>
            </w:r>
            <w:r w:rsidRPr="006B2F60">
              <w:rPr>
                <w:rFonts w:eastAsia="Times New Roman" w:cstheme="minorHAnsi"/>
                <w:color w:val="000000"/>
                <w:sz w:val="16"/>
                <w:szCs w:val="16"/>
                <w:lang w:eastAsia="en-GB"/>
              </w:rPr>
              <w:fldChar w:fldCharType="end"/>
            </w:r>
          </w:p>
        </w:tc>
        <w:tc>
          <w:tcPr>
            <w:tcW w:w="1625" w:type="pct"/>
            <w:tcBorders>
              <w:top w:val="single" w:sz="4" w:space="0" w:color="auto"/>
              <w:left w:val="single" w:sz="4" w:space="0" w:color="auto"/>
              <w:bottom w:val="single" w:sz="4" w:space="0" w:color="auto"/>
              <w:right w:val="single" w:sz="4" w:space="0" w:color="auto"/>
            </w:tcBorders>
            <w:shd w:val="clear" w:color="auto" w:fill="auto"/>
            <w:hideMark/>
          </w:tcPr>
          <w:p w14:paraId="02BEECE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Effects of</w:t>
            </w:r>
            <w:r w:rsidRPr="006B2F60" w:rsidDel="00B8142A">
              <w:rPr>
                <w:rFonts w:eastAsia="Times New Roman" w:cstheme="minorHAnsi"/>
                <w:color w:val="000000"/>
                <w:sz w:val="16"/>
                <w:szCs w:val="16"/>
                <w:lang w:eastAsia="en-GB"/>
              </w:rPr>
              <w:t xml:space="preserve"> </w:t>
            </w:r>
            <w:r w:rsidRPr="006B2F60">
              <w:rPr>
                <w:rFonts w:eastAsia="Times New Roman" w:cstheme="minorHAnsi"/>
                <w:color w:val="000000"/>
                <w:sz w:val="16"/>
                <w:szCs w:val="16"/>
                <w:lang w:eastAsia="en-GB"/>
              </w:rPr>
              <w:t>Online Distribution for Marketing of Budget Accommodation Segment in Kolkata, India</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7192A46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Journal of Research and Innovation in Social Science</w:t>
            </w:r>
          </w:p>
        </w:tc>
        <w:tc>
          <w:tcPr>
            <w:tcW w:w="580" w:type="pct"/>
            <w:tcBorders>
              <w:top w:val="single" w:sz="4" w:space="0" w:color="auto"/>
              <w:left w:val="single" w:sz="4" w:space="0" w:color="auto"/>
              <w:bottom w:val="single" w:sz="4" w:space="0" w:color="auto"/>
              <w:right w:val="single" w:sz="4" w:space="0" w:color="auto"/>
            </w:tcBorders>
            <w:shd w:val="clear" w:color="auto" w:fill="auto"/>
            <w:hideMark/>
          </w:tcPr>
          <w:p w14:paraId="21B9129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India</w:t>
            </w:r>
          </w:p>
        </w:tc>
        <w:tc>
          <w:tcPr>
            <w:tcW w:w="1029" w:type="pct"/>
            <w:tcBorders>
              <w:top w:val="single" w:sz="4" w:space="0" w:color="auto"/>
              <w:left w:val="single" w:sz="4" w:space="0" w:color="auto"/>
              <w:bottom w:val="single" w:sz="4" w:space="0" w:color="auto"/>
              <w:right w:val="single" w:sz="4" w:space="0" w:color="auto"/>
            </w:tcBorders>
            <w:shd w:val="clear" w:color="auto" w:fill="auto"/>
            <w:hideMark/>
          </w:tcPr>
          <w:p w14:paraId="540C037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4400 - Accommodation</w:t>
            </w:r>
          </w:p>
        </w:tc>
      </w:tr>
      <w:tr w:rsidR="00241ACB" w:rsidRPr="006B2F60" w14:paraId="6F1BF7ED" w14:textId="77777777" w:rsidTr="00DE3143">
        <w:trPr>
          <w:trHeight w:val="420"/>
        </w:trPr>
        <w:tc>
          <w:tcPr>
            <w:tcW w:w="671" w:type="pct"/>
            <w:tcBorders>
              <w:top w:val="single" w:sz="4" w:space="0" w:color="auto"/>
              <w:left w:val="single" w:sz="4" w:space="0" w:color="auto"/>
              <w:bottom w:val="single" w:sz="4" w:space="0" w:color="auto"/>
              <w:right w:val="single" w:sz="4" w:space="0" w:color="auto"/>
            </w:tcBorders>
            <w:shd w:val="clear" w:color="auto" w:fill="auto"/>
            <w:hideMark/>
          </w:tcPr>
          <w:p w14:paraId="06EF02E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AuthorYear="1"&gt;&lt;Author&gt;Obiomachukwu&lt;/Author&gt;&lt;Year&gt;2023&lt;/Year&gt;&lt;RecNum&gt;1113&lt;/RecNum&gt;&lt;DisplayText&gt;Obiomachukwu et al. (2023)&lt;/DisplayText&gt;&lt;record&gt;&lt;rec-number&gt;1113&lt;/rec-number&gt;&lt;foreign-keys&gt;&lt;key app="EN" db-id="dptp5pfxc5f2t6exvwlx0ve0fp5zwfx0ptw2" timestamp="1717478277"&gt;1113&lt;/key&gt;&lt;/foreign-keys&gt;&lt;ref-type name="Journal Article"&gt;17&lt;/ref-type&gt;&lt;contributors&gt;&lt;authors&gt;&lt;author&gt;Obiomachukwu, Ngini Sufficiency&lt;/author&gt;&lt;author&gt;Nwanmuoh, Emmanuel&lt;/author&gt;&lt;author&gt;Jeff-anyeneh, Elechi Sarah&lt;/author&gt;&lt;author&gt;Rachael, Akunna Chika&lt;/author&gt;&lt;/authors&gt;&lt;/contributors&gt;&lt;titles&gt;&lt;title&gt;Causal Relationship between Fiscal Responsibility Act and Economic Growth of Nigeria (1997-2021)&lt;/title&gt;&lt;secondary-title&gt;International Journal of Advanced Multidisciplinary Research and Studies&lt;/secondary-title&gt;&lt;/titles&gt;&lt;periodical&gt;&lt;full-title&gt;International Journal of Advanced Multidisciplinary Research and Studies&lt;/full-title&gt;&lt;/periodical&gt;&lt;pages&gt;p.401-408&lt;/pages&gt;&lt;volume&gt;3(2)&lt;/volume&gt;&lt;dates&gt;&lt;year&gt;2023&lt;/year&gt;&lt;/dates&gt;&lt;urls&gt;&lt;/urls&gt;&lt;/record&gt;&lt;/Cite&gt;&lt;/EndNote&gt;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Obiomachukwu et al. (2023)</w:t>
            </w:r>
            <w:r w:rsidRPr="006B2F60">
              <w:rPr>
                <w:rFonts w:eastAsia="Times New Roman" w:cstheme="minorHAnsi"/>
                <w:color w:val="000000"/>
                <w:sz w:val="16"/>
                <w:szCs w:val="16"/>
                <w:lang w:eastAsia="en-GB"/>
              </w:rPr>
              <w:fldChar w:fldCharType="end"/>
            </w:r>
          </w:p>
        </w:tc>
        <w:tc>
          <w:tcPr>
            <w:tcW w:w="1625" w:type="pct"/>
            <w:tcBorders>
              <w:top w:val="single" w:sz="4" w:space="0" w:color="auto"/>
              <w:left w:val="single" w:sz="4" w:space="0" w:color="auto"/>
              <w:bottom w:val="single" w:sz="4" w:space="0" w:color="auto"/>
              <w:right w:val="single" w:sz="4" w:space="0" w:color="auto"/>
            </w:tcBorders>
            <w:shd w:val="clear" w:color="auto" w:fill="auto"/>
            <w:hideMark/>
          </w:tcPr>
          <w:p w14:paraId="1A4E948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Causal Relationship Between Fiscal Responsibility Act And Economic Growth of Nigeria </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53A6007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International Journal of Advanced Multidisciplinary Research and Studies</w:t>
            </w:r>
          </w:p>
        </w:tc>
        <w:tc>
          <w:tcPr>
            <w:tcW w:w="580" w:type="pct"/>
            <w:tcBorders>
              <w:top w:val="single" w:sz="4" w:space="0" w:color="auto"/>
              <w:left w:val="single" w:sz="4" w:space="0" w:color="auto"/>
              <w:bottom w:val="single" w:sz="4" w:space="0" w:color="auto"/>
              <w:right w:val="single" w:sz="4" w:space="0" w:color="auto"/>
            </w:tcBorders>
            <w:shd w:val="clear" w:color="auto" w:fill="auto"/>
            <w:hideMark/>
          </w:tcPr>
          <w:p w14:paraId="226D099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Nigeria</w:t>
            </w:r>
          </w:p>
        </w:tc>
        <w:tc>
          <w:tcPr>
            <w:tcW w:w="1029" w:type="pct"/>
            <w:tcBorders>
              <w:top w:val="single" w:sz="4" w:space="0" w:color="auto"/>
              <w:left w:val="single" w:sz="4" w:space="0" w:color="auto"/>
              <w:bottom w:val="single" w:sz="4" w:space="0" w:color="auto"/>
              <w:right w:val="single" w:sz="4" w:space="0" w:color="auto"/>
            </w:tcBorders>
            <w:shd w:val="clear" w:color="auto" w:fill="auto"/>
            <w:hideMark/>
          </w:tcPr>
          <w:p w14:paraId="4C157AF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49BA6A85" w14:textId="77777777" w:rsidTr="00DE3143">
        <w:trPr>
          <w:trHeight w:val="521"/>
        </w:trPr>
        <w:tc>
          <w:tcPr>
            <w:tcW w:w="671" w:type="pct"/>
            <w:tcBorders>
              <w:top w:val="single" w:sz="4" w:space="0" w:color="auto"/>
              <w:left w:val="single" w:sz="4" w:space="0" w:color="auto"/>
              <w:bottom w:val="single" w:sz="4" w:space="0" w:color="auto"/>
              <w:right w:val="single" w:sz="4" w:space="0" w:color="auto"/>
            </w:tcBorders>
            <w:shd w:val="clear" w:color="auto" w:fill="auto"/>
            <w:hideMark/>
          </w:tcPr>
          <w:p w14:paraId="1F032BE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AuthorYear="1"&gt;&lt;Author&gt;Ombaba Kennedy &lt;/Author&gt;&lt;Year&gt;2023&lt;/Year&gt;&lt;RecNum&gt;1039&lt;/RecNum&gt;&lt;DisplayText&gt;Ombaba Kennedy  and Ngugi (2023)&lt;/DisplayText&gt;&lt;record&gt;&lt;rec-number&gt;1039&lt;/rec-number&gt;&lt;foreign-keys&gt;&lt;key app="EN" db-id="dptp5pfxc5f2t6exvwlx0ve0fp5zwfx0ptw2" timestamp="1717288205"&gt;1039&lt;/key&gt;&lt;/foreign-keys&gt;&lt;ref-type name="Journal Article"&gt;17&lt;/ref-type&gt;&lt;contributors&gt;&lt;authors&gt;&lt;author&gt;Ombaba Kennedy ,&lt;/author&gt;&lt;author&gt;Ngugi, Celestine&lt;/author&gt;&lt;/authors&gt;&lt;/contributors&gt;&lt;titles&gt;&lt;title&gt;Effect of E-Services on Revenue Collection in Selected Counties: A Case of Nairobi and Kiambu Counties &lt;/title&gt;&lt;secondary-title&gt;European Journal of Business and Management&lt;/secondary-title&gt;&lt;/titles&gt;&lt;periodical&gt;&lt;full-title&gt;European Journal of Business and Management&lt;/full-title&gt;&lt;/periodical&gt;&lt;pages&gt;p.1-12&lt;/pages&gt;&lt;volume&gt;2222-1735&lt;/volume&gt;&lt;dates&gt;&lt;year&gt;2023&lt;/year&gt;&lt;/dates&gt;&lt;urls&gt;&lt;/urls&gt;&lt;/record&gt;&lt;/Cite&gt;&lt;/EndNote&gt;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noProof/>
                <w:color w:val="000000"/>
                <w:sz w:val="16"/>
                <w:szCs w:val="16"/>
                <w:lang w:eastAsia="en-GB"/>
              </w:rPr>
              <w:t>Ombaba Kennedy  and Ngugi (2023)</w:t>
            </w:r>
            <w:r w:rsidRPr="006B2F60">
              <w:rPr>
                <w:rFonts w:eastAsia="Times New Roman" w:cstheme="minorHAnsi"/>
                <w:color w:val="000000"/>
                <w:sz w:val="16"/>
                <w:szCs w:val="16"/>
                <w:lang w:eastAsia="en-GB"/>
              </w:rPr>
              <w:fldChar w:fldCharType="end"/>
            </w:r>
            <w:r w:rsidRPr="006B2F60">
              <w:rPr>
                <w:rFonts w:eastAsia="Times New Roman" w:cstheme="minorHAnsi"/>
                <w:color w:val="000000"/>
                <w:sz w:val="16"/>
                <w:szCs w:val="16"/>
                <w:lang w:eastAsia="en-GB"/>
              </w:rPr>
              <w:t xml:space="preserve"> </w:t>
            </w:r>
          </w:p>
        </w:tc>
        <w:tc>
          <w:tcPr>
            <w:tcW w:w="1625" w:type="pct"/>
            <w:tcBorders>
              <w:top w:val="single" w:sz="4" w:space="0" w:color="auto"/>
              <w:left w:val="single" w:sz="4" w:space="0" w:color="auto"/>
              <w:bottom w:val="single" w:sz="4" w:space="0" w:color="auto"/>
              <w:right w:val="single" w:sz="4" w:space="0" w:color="auto"/>
            </w:tcBorders>
            <w:shd w:val="clear" w:color="auto" w:fill="auto"/>
            <w:hideMark/>
          </w:tcPr>
          <w:p w14:paraId="57B7C02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Effect of E-Services on Revenue Collection in Selected Counties: A Case of Nairobi And Kiambu Counties </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3F52F7A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European Journal of Business and Management</w:t>
            </w:r>
          </w:p>
        </w:tc>
        <w:tc>
          <w:tcPr>
            <w:tcW w:w="580" w:type="pct"/>
            <w:tcBorders>
              <w:top w:val="single" w:sz="4" w:space="0" w:color="auto"/>
              <w:left w:val="single" w:sz="4" w:space="0" w:color="auto"/>
              <w:bottom w:val="single" w:sz="4" w:space="0" w:color="auto"/>
              <w:right w:val="single" w:sz="4" w:space="0" w:color="auto"/>
            </w:tcBorders>
            <w:shd w:val="clear" w:color="auto" w:fill="auto"/>
            <w:hideMark/>
          </w:tcPr>
          <w:p w14:paraId="6CF37B9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Kenya</w:t>
            </w:r>
          </w:p>
        </w:tc>
        <w:tc>
          <w:tcPr>
            <w:tcW w:w="1029" w:type="pct"/>
            <w:tcBorders>
              <w:top w:val="single" w:sz="4" w:space="0" w:color="auto"/>
              <w:left w:val="single" w:sz="4" w:space="0" w:color="auto"/>
              <w:bottom w:val="single" w:sz="4" w:space="0" w:color="auto"/>
              <w:right w:val="single" w:sz="4" w:space="0" w:color="auto"/>
            </w:tcBorders>
            <w:shd w:val="clear" w:color="auto" w:fill="auto"/>
            <w:hideMark/>
          </w:tcPr>
          <w:p w14:paraId="53D912F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r>
      <w:tr w:rsidR="00241ACB" w:rsidRPr="006B2F60" w14:paraId="4210DB4F" w14:textId="77777777" w:rsidTr="00DE3143">
        <w:trPr>
          <w:trHeight w:val="529"/>
        </w:trPr>
        <w:tc>
          <w:tcPr>
            <w:tcW w:w="671" w:type="pct"/>
            <w:tcBorders>
              <w:top w:val="single" w:sz="4" w:space="0" w:color="auto"/>
              <w:left w:val="single" w:sz="4" w:space="0" w:color="auto"/>
              <w:bottom w:val="single" w:sz="4" w:space="0" w:color="auto"/>
              <w:right w:val="single" w:sz="4" w:space="0" w:color="auto"/>
            </w:tcBorders>
            <w:shd w:val="clear" w:color="auto" w:fill="auto"/>
            <w:hideMark/>
          </w:tcPr>
          <w:p w14:paraId="0F955EC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AuthorYear="1"&gt;&lt;Author&gt;Chepkonga&lt;/Author&gt;&lt;Year&gt;2023&lt;/Year&gt;&lt;RecNum&gt;1044&lt;/RecNum&gt;&lt;DisplayText&gt;Chepkonga and Mbirithi (2023)&lt;/DisplayText&gt;&lt;record&gt;&lt;rec-number&gt;1044&lt;/rec-number&gt;&lt;foreign-keys&gt;&lt;key app="EN" db-id="dptp5pfxc5f2t6exvwlx0ve0fp5zwfx0ptw2" timestamp="1717288504"&gt;1044&lt;/key&gt;&lt;/foreign-keys&gt;&lt;ref-type name="Journal Article"&gt;17&lt;/ref-type&gt;&lt;contributors&gt;&lt;authors&gt;&lt;author&gt;Chepkonga, LW&lt;/author&gt;&lt;author&gt;Mbirithi, Daniel Mange&lt;/author&gt;&lt;/authors&gt;&lt;/contributors&gt;&lt;titles&gt;&lt;title&gt;Effect of internal control system on the operational performance of organization: A case study of Kenya Revenue Authority (KRA) Headquarters, Kenya&lt;/title&gt;&lt;secondary-title&gt;International Academic Journal of Arts and Humanities&lt;/secondary-title&gt;&lt;/titles&gt;&lt;periodical&gt;&lt;full-title&gt;International Academic Journal of Arts and Humanities&lt;/full-title&gt;&lt;/periodical&gt;&lt;pages&gt;p.310-330&lt;/pages&gt;&lt;volume&gt;1&lt;/volume&gt;&lt;number&gt;3&lt;/number&gt;&lt;dates&gt;&lt;year&gt;2023&lt;/year&gt;&lt;/dates&gt;&lt;urls&gt;&lt;/urls&gt;&lt;/record&gt;&lt;/Cite&gt;&lt;/EndNote&gt;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Chepkonga and Mbirithi (2023)</w:t>
            </w:r>
            <w:r w:rsidRPr="006B2F60">
              <w:rPr>
                <w:rFonts w:eastAsia="Times New Roman" w:cstheme="minorHAnsi"/>
                <w:color w:val="000000"/>
                <w:sz w:val="16"/>
                <w:szCs w:val="16"/>
                <w:lang w:eastAsia="en-GB"/>
              </w:rPr>
              <w:fldChar w:fldCharType="end"/>
            </w:r>
          </w:p>
        </w:tc>
        <w:tc>
          <w:tcPr>
            <w:tcW w:w="1625" w:type="pct"/>
            <w:tcBorders>
              <w:top w:val="single" w:sz="4" w:space="0" w:color="auto"/>
              <w:left w:val="single" w:sz="4" w:space="0" w:color="auto"/>
              <w:bottom w:val="single" w:sz="4" w:space="0" w:color="auto"/>
              <w:right w:val="single" w:sz="4" w:space="0" w:color="auto"/>
            </w:tcBorders>
            <w:shd w:val="clear" w:color="auto" w:fill="auto"/>
            <w:hideMark/>
          </w:tcPr>
          <w:p w14:paraId="70612EA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Effect of Internal Control System On The Operational Performance of</w:t>
            </w:r>
            <w:r w:rsidRPr="006B2F60" w:rsidDel="00B8142A">
              <w:rPr>
                <w:rFonts w:eastAsia="Times New Roman" w:cstheme="minorHAnsi"/>
                <w:color w:val="000000"/>
                <w:sz w:val="16"/>
                <w:szCs w:val="16"/>
                <w:lang w:eastAsia="en-GB"/>
              </w:rPr>
              <w:t xml:space="preserve"> </w:t>
            </w:r>
            <w:r w:rsidRPr="006B2F60">
              <w:rPr>
                <w:rFonts w:eastAsia="Times New Roman" w:cstheme="minorHAnsi"/>
                <w:color w:val="000000"/>
                <w:sz w:val="16"/>
                <w:szCs w:val="16"/>
                <w:lang w:eastAsia="en-GB"/>
              </w:rPr>
              <w:t>Organisation: A Case Study of Kenya Revenue Authority (KRA) Headquarters, Kenya</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5B470E3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Academic Journal of Arts and</w:t>
            </w:r>
          </w:p>
        </w:tc>
        <w:tc>
          <w:tcPr>
            <w:tcW w:w="580" w:type="pct"/>
            <w:tcBorders>
              <w:top w:val="single" w:sz="4" w:space="0" w:color="auto"/>
              <w:left w:val="single" w:sz="4" w:space="0" w:color="auto"/>
              <w:bottom w:val="single" w:sz="4" w:space="0" w:color="auto"/>
              <w:right w:val="single" w:sz="4" w:space="0" w:color="auto"/>
            </w:tcBorders>
            <w:shd w:val="clear" w:color="auto" w:fill="auto"/>
            <w:hideMark/>
          </w:tcPr>
          <w:p w14:paraId="4FF9162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Kenya</w:t>
            </w:r>
          </w:p>
        </w:tc>
        <w:tc>
          <w:tcPr>
            <w:tcW w:w="1029" w:type="pct"/>
            <w:tcBorders>
              <w:top w:val="single" w:sz="4" w:space="0" w:color="auto"/>
              <w:left w:val="single" w:sz="4" w:space="0" w:color="auto"/>
              <w:bottom w:val="single" w:sz="4" w:space="0" w:color="auto"/>
              <w:right w:val="single" w:sz="4" w:space="0" w:color="auto"/>
            </w:tcBorders>
            <w:shd w:val="clear" w:color="auto" w:fill="auto"/>
            <w:hideMark/>
          </w:tcPr>
          <w:p w14:paraId="21D34BD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r>
    </w:tbl>
    <w:p w14:paraId="1BBA30A1" w14:textId="77777777" w:rsidR="00241ACB" w:rsidRPr="006B2F60" w:rsidRDefault="00241ACB" w:rsidP="00241ACB">
      <w:pPr>
        <w:rPr>
          <w:rFonts w:cstheme="minorHAnsi"/>
        </w:rPr>
      </w:pPr>
      <w:r w:rsidRPr="006B2F60">
        <w:rPr>
          <w:rFonts w:cstheme="minorHAnsi"/>
        </w:rPr>
        <w:br w:type="page"/>
      </w:r>
    </w:p>
    <w:tbl>
      <w:tblPr>
        <w:tblW w:w="5000" w:type="pct"/>
        <w:tblLayout w:type="fixed"/>
        <w:tblLook w:val="04A0" w:firstRow="1" w:lastRow="0" w:firstColumn="1" w:lastColumn="0" w:noHBand="0" w:noVBand="1"/>
      </w:tblPr>
      <w:tblGrid>
        <w:gridCol w:w="1738"/>
        <w:gridCol w:w="4209"/>
        <w:gridCol w:w="2836"/>
        <w:gridCol w:w="1502"/>
        <w:gridCol w:w="2665"/>
      </w:tblGrid>
      <w:tr w:rsidR="00241ACB" w:rsidRPr="006B2F60" w14:paraId="707A67E0" w14:textId="77777777" w:rsidTr="00DE3143">
        <w:trPr>
          <w:trHeight w:val="280"/>
        </w:trPr>
        <w:tc>
          <w:tcPr>
            <w:tcW w:w="671"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0E85C8A"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lastRenderedPageBreak/>
              <w:t>Author (S)</w:t>
            </w:r>
          </w:p>
        </w:tc>
        <w:tc>
          <w:tcPr>
            <w:tcW w:w="1625"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D3301FB"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Title</w:t>
            </w:r>
          </w:p>
        </w:tc>
        <w:tc>
          <w:tcPr>
            <w:tcW w:w="1095"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8DFF0F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Journal</w:t>
            </w:r>
          </w:p>
        </w:tc>
        <w:tc>
          <w:tcPr>
            <w:tcW w:w="580"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22B4A0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Country</w:t>
            </w:r>
          </w:p>
        </w:tc>
        <w:tc>
          <w:tcPr>
            <w:tcW w:w="1029"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1C2FD40"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Industry Sector (ANZSIC)</w:t>
            </w:r>
          </w:p>
        </w:tc>
      </w:tr>
      <w:tr w:rsidR="00241ACB" w:rsidRPr="006B2F60" w14:paraId="37174FA7" w14:textId="77777777" w:rsidTr="00DE3143">
        <w:trPr>
          <w:trHeight w:val="311"/>
        </w:trPr>
        <w:tc>
          <w:tcPr>
            <w:tcW w:w="671" w:type="pct"/>
            <w:tcBorders>
              <w:top w:val="single" w:sz="4" w:space="0" w:color="auto"/>
              <w:left w:val="single" w:sz="4" w:space="0" w:color="auto"/>
              <w:bottom w:val="single" w:sz="4" w:space="0" w:color="auto"/>
              <w:right w:val="single" w:sz="4" w:space="0" w:color="auto"/>
            </w:tcBorders>
            <w:shd w:val="clear" w:color="auto" w:fill="auto"/>
            <w:hideMark/>
          </w:tcPr>
          <w:p w14:paraId="22EFDE3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AuthorYear="1"&gt;&lt;Author&gt;Egwuatu&lt;/Author&gt;&lt;Year&gt;2023&lt;/Year&gt;&lt;RecNum&gt;1045&lt;/RecNum&gt;&lt;DisplayText&gt;Egwuatu et al. (2023)&lt;/DisplayText&gt;&lt;record&gt;&lt;rec-number&gt;1045&lt;/rec-number&gt;&lt;foreign-keys&gt;&lt;key app="EN" db-id="dptp5pfxc5f2t6exvwlx0ve0fp5zwfx0ptw2" timestamp="1717288526"&gt;1045&lt;/key&gt;&lt;/foreign-keys&gt;&lt;ref-type name="Journal Article"&gt;17&lt;/ref-type&gt;&lt;contributors&gt;&lt;authors&gt;&lt;author&gt;Egwuatu, Ogbonna Kenneth&lt;/author&gt;&lt;author&gt;Sebastian, Oforkansi Ejike&lt;/author&gt;&lt;author&gt;Igwe Anthony, A&lt;/author&gt;&lt;/authors&gt;&lt;/contributors&gt;&lt;titles&gt;&lt;title&gt;Assessment of cashless policy implementation in Nigeria: Prospects and challenges&lt;/title&gt;&lt;secondary-title&gt;International Journal of Multidisciplinary Research and Growth Evaluation&lt;/secondary-title&gt;&lt;/titles&gt;&lt;periodical&gt;&lt;full-title&gt;International Journal of Multidisciplinary Research and Growth Evaluation&lt;/full-title&gt;&lt;/periodical&gt;&lt;pages&gt;p.517-522&lt;/pages&gt;&lt;volume&gt;4&lt;/volume&gt;&lt;number&gt;3&lt;/number&gt;&lt;dates&gt;&lt;year&gt;2023&lt;/year&gt;&lt;/dates&gt;&lt;urls&gt;&lt;/urls&gt;&lt;/record&gt;&lt;/Cite&gt;&lt;/EndNote&gt;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Egwuatu et al. (2023)</w:t>
            </w:r>
            <w:r w:rsidRPr="006B2F60">
              <w:rPr>
                <w:rFonts w:eastAsia="Times New Roman" w:cstheme="minorHAnsi"/>
                <w:color w:val="000000"/>
                <w:sz w:val="16"/>
                <w:szCs w:val="16"/>
                <w:lang w:eastAsia="en-GB"/>
              </w:rPr>
              <w:fldChar w:fldCharType="end"/>
            </w:r>
          </w:p>
        </w:tc>
        <w:tc>
          <w:tcPr>
            <w:tcW w:w="1625" w:type="pct"/>
            <w:tcBorders>
              <w:top w:val="single" w:sz="4" w:space="0" w:color="auto"/>
              <w:left w:val="single" w:sz="4" w:space="0" w:color="auto"/>
              <w:bottom w:val="single" w:sz="4" w:space="0" w:color="auto"/>
              <w:right w:val="single" w:sz="4" w:space="0" w:color="auto"/>
            </w:tcBorders>
            <w:shd w:val="clear" w:color="auto" w:fill="auto"/>
            <w:hideMark/>
          </w:tcPr>
          <w:p w14:paraId="672D5FF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Assessment of</w:t>
            </w:r>
            <w:r w:rsidRPr="006B2F60" w:rsidDel="00B8142A">
              <w:rPr>
                <w:rFonts w:eastAsia="Times New Roman" w:cstheme="minorHAnsi"/>
                <w:color w:val="000000"/>
                <w:sz w:val="16"/>
                <w:szCs w:val="16"/>
                <w:lang w:eastAsia="en-GB"/>
              </w:rPr>
              <w:t xml:space="preserve"> </w:t>
            </w:r>
            <w:r w:rsidRPr="006B2F60">
              <w:rPr>
                <w:rFonts w:eastAsia="Times New Roman" w:cstheme="minorHAnsi"/>
                <w:color w:val="000000"/>
                <w:sz w:val="16"/>
                <w:szCs w:val="16"/>
                <w:lang w:eastAsia="en-GB"/>
              </w:rPr>
              <w:t>Cashless Policy Implementation in Nigeria: Prospects And Challenges</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52C75B1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Journal of Multidisciplinary Research and Growth Evaluate</w:t>
            </w:r>
          </w:p>
        </w:tc>
        <w:tc>
          <w:tcPr>
            <w:tcW w:w="580" w:type="pct"/>
            <w:tcBorders>
              <w:top w:val="single" w:sz="4" w:space="0" w:color="auto"/>
              <w:left w:val="single" w:sz="4" w:space="0" w:color="auto"/>
              <w:bottom w:val="single" w:sz="4" w:space="0" w:color="auto"/>
              <w:right w:val="single" w:sz="4" w:space="0" w:color="auto"/>
            </w:tcBorders>
            <w:shd w:val="clear" w:color="auto" w:fill="auto"/>
            <w:hideMark/>
          </w:tcPr>
          <w:p w14:paraId="44FEBC2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Nigeria</w:t>
            </w:r>
          </w:p>
        </w:tc>
        <w:tc>
          <w:tcPr>
            <w:tcW w:w="1029" w:type="pct"/>
            <w:tcBorders>
              <w:top w:val="single" w:sz="4" w:space="0" w:color="auto"/>
              <w:left w:val="single" w:sz="4" w:space="0" w:color="auto"/>
              <w:bottom w:val="single" w:sz="4" w:space="0" w:color="auto"/>
              <w:right w:val="single" w:sz="4" w:space="0" w:color="auto"/>
            </w:tcBorders>
            <w:shd w:val="clear" w:color="auto" w:fill="auto"/>
            <w:hideMark/>
          </w:tcPr>
          <w:p w14:paraId="7B84F77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0D948A0F" w14:textId="77777777" w:rsidTr="00DE3143">
        <w:trPr>
          <w:trHeight w:val="458"/>
        </w:trPr>
        <w:tc>
          <w:tcPr>
            <w:tcW w:w="671" w:type="pct"/>
            <w:tcBorders>
              <w:top w:val="single" w:sz="4" w:space="0" w:color="auto"/>
              <w:left w:val="single" w:sz="4" w:space="0" w:color="auto"/>
              <w:bottom w:val="single" w:sz="4" w:space="0" w:color="auto"/>
              <w:right w:val="single" w:sz="4" w:space="0" w:color="auto"/>
            </w:tcBorders>
            <w:shd w:val="clear" w:color="auto" w:fill="auto"/>
            <w:hideMark/>
          </w:tcPr>
          <w:p w14:paraId="14577A0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AuthorYear="1"&gt;&lt;Author&gt;Zaini&lt;/Author&gt;&lt;Year&gt;2023&lt;/Year&gt;&lt;RecNum&gt;1049&lt;/RecNum&gt;&lt;DisplayText&gt;Zaini and Yulianto (2023)&lt;/DisplayText&gt;&lt;record&gt;&lt;rec-number&gt;1049&lt;/rec-number&gt;&lt;foreign-keys&gt;&lt;key app="EN" db-id="dptp5pfxc5f2t6exvwlx0ve0fp5zwfx0ptw2" timestamp="1717288706"&gt;1049&lt;/key&gt;&lt;/foreign-keys&gt;&lt;ref-type name="Journal Article"&gt;17&lt;/ref-type&gt;&lt;contributors&gt;&lt;authors&gt;&lt;author&gt;Zaini, Zaman&lt;/author&gt;&lt;author&gt;Yulianto, Bernado&lt;/author&gt;&lt;/authors&gt;&lt;/contributors&gt;&lt;titles&gt;&lt;title&gt;Analysis of Online Policy Implementation of Restaurant Tax System to Optimize Regional Tax Revenue in The Regional Revenue Agency of DKI Jakarta Province&lt;/title&gt;&lt;secondary-title&gt;IJESS International Journal of Education and Social Science&lt;/secondary-title&gt;&lt;/titles&gt;&lt;periodical&gt;&lt;full-title&gt;IJESS International Journal of Education and Social Science&lt;/full-title&gt;&lt;/periodical&gt;&lt;pages&gt;p.1-8&lt;/pages&gt;&lt;volume&gt;4&lt;/volume&gt;&lt;number&gt;1&lt;/number&gt;&lt;dates&gt;&lt;year&gt;2023&lt;/year&gt;&lt;/dates&gt;&lt;isbn&gt;2686-2239&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Zaini and Yulianto (2023)</w:t>
            </w:r>
            <w:r w:rsidRPr="006B2F60">
              <w:rPr>
                <w:rFonts w:eastAsia="Times New Roman" w:cstheme="minorHAnsi"/>
                <w:color w:val="000000"/>
                <w:sz w:val="16"/>
                <w:szCs w:val="16"/>
                <w:lang w:eastAsia="en-GB"/>
              </w:rPr>
              <w:fldChar w:fldCharType="end"/>
            </w:r>
            <w:r w:rsidRPr="006B2F60">
              <w:rPr>
                <w:rFonts w:eastAsia="Times New Roman" w:cstheme="minorHAnsi"/>
                <w:color w:val="000000"/>
                <w:sz w:val="16"/>
                <w:szCs w:val="16"/>
                <w:lang w:eastAsia="en-GB"/>
              </w:rPr>
              <w:t xml:space="preserve"> </w:t>
            </w:r>
          </w:p>
        </w:tc>
        <w:tc>
          <w:tcPr>
            <w:tcW w:w="1625" w:type="pct"/>
            <w:tcBorders>
              <w:top w:val="single" w:sz="4" w:space="0" w:color="auto"/>
              <w:left w:val="single" w:sz="4" w:space="0" w:color="auto"/>
              <w:bottom w:val="single" w:sz="4" w:space="0" w:color="auto"/>
              <w:right w:val="single" w:sz="4" w:space="0" w:color="auto"/>
            </w:tcBorders>
            <w:shd w:val="clear" w:color="auto" w:fill="auto"/>
            <w:hideMark/>
          </w:tcPr>
          <w:p w14:paraId="7AF15FD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Analysis of Online Policy Implementation of Restaurant Tax System to Optimise Regional Tax Revenue in the Regional Revenue Agency of DKI Jakarta Province</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18F7B51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IJESS International Journal of Education and Social Science</w:t>
            </w:r>
          </w:p>
        </w:tc>
        <w:tc>
          <w:tcPr>
            <w:tcW w:w="580" w:type="pct"/>
            <w:tcBorders>
              <w:top w:val="single" w:sz="4" w:space="0" w:color="auto"/>
              <w:left w:val="single" w:sz="4" w:space="0" w:color="auto"/>
              <w:bottom w:val="single" w:sz="4" w:space="0" w:color="auto"/>
              <w:right w:val="single" w:sz="4" w:space="0" w:color="auto"/>
            </w:tcBorders>
            <w:shd w:val="clear" w:color="auto" w:fill="auto"/>
            <w:hideMark/>
          </w:tcPr>
          <w:p w14:paraId="71EC284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Indonesia</w:t>
            </w:r>
          </w:p>
        </w:tc>
        <w:tc>
          <w:tcPr>
            <w:tcW w:w="1029" w:type="pct"/>
            <w:tcBorders>
              <w:top w:val="single" w:sz="4" w:space="0" w:color="auto"/>
              <w:left w:val="single" w:sz="4" w:space="0" w:color="auto"/>
              <w:bottom w:val="single" w:sz="4" w:space="0" w:color="auto"/>
              <w:right w:val="single" w:sz="4" w:space="0" w:color="auto"/>
            </w:tcBorders>
            <w:shd w:val="clear" w:color="auto" w:fill="auto"/>
            <w:hideMark/>
          </w:tcPr>
          <w:p w14:paraId="0BD1E03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r>
      <w:tr w:rsidR="00241ACB" w:rsidRPr="006B2F60" w14:paraId="15599112" w14:textId="77777777" w:rsidTr="00DE3143">
        <w:trPr>
          <w:trHeight w:val="525"/>
        </w:trPr>
        <w:tc>
          <w:tcPr>
            <w:tcW w:w="671" w:type="pct"/>
            <w:tcBorders>
              <w:top w:val="single" w:sz="4" w:space="0" w:color="auto"/>
              <w:left w:val="single" w:sz="4" w:space="0" w:color="auto"/>
              <w:bottom w:val="single" w:sz="4" w:space="0" w:color="auto"/>
              <w:right w:val="single" w:sz="4" w:space="0" w:color="auto"/>
            </w:tcBorders>
            <w:shd w:val="clear" w:color="auto" w:fill="auto"/>
            <w:hideMark/>
          </w:tcPr>
          <w:p w14:paraId="16812BA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AuthorYear="1"&gt;&lt;Author&gt;Bouteraa&lt;/Author&gt;&lt;Year&gt;2023&lt;/Year&gt;&lt;RecNum&gt;1056&lt;/RecNum&gt;&lt;DisplayText&gt;Bouteraa et al. (2023)&lt;/DisplayText&gt;&lt;record&gt;&lt;rec-number&gt;1056&lt;/rec-number&gt;&lt;foreign-keys&gt;&lt;key app="EN" db-id="dptp5pfxc5f2t6exvwlx0ve0fp5zwfx0ptw2" timestamp="1717289010"&gt;1056&lt;/key&gt;&lt;/foreign-keys&gt;&lt;ref-type name="Journal Article"&gt;17&lt;/ref-type&gt;&lt;contributors&gt;&lt;authors&gt;&lt;author&gt;Bouteraa, Mohamed&lt;/author&gt;&lt;author&gt;Chekima, Brahim&lt;/author&gt;&lt;author&gt;Lajuni, Nelson&lt;/author&gt;&lt;author&gt;Anwar, Ayesha&lt;/author&gt;&lt;/authors&gt;&lt;/contributors&gt;&lt;titles&gt;&lt;title&gt;Understanding Consumers’ Barriers to Using FinTech Services in the United Arab Emirates: Mixed-Methods Research Approach&lt;/title&gt;&lt;secondary-title&gt;MDPI&lt;/secondary-title&gt;&lt;/titles&gt;&lt;periodical&gt;&lt;full-title&gt;MDPI&lt;/full-title&gt;&lt;/periodical&gt;&lt;pages&gt;p.1-22&lt;/pages&gt;&lt;volume&gt;15&lt;/volume&gt;&lt;number&gt;4&lt;/number&gt;&lt;num-vols&gt;2931&lt;/num-vols&gt;&lt;dates&gt;&lt;year&gt;2023&lt;/year&gt;&lt;/dates&gt;&lt;isbn&gt;2071-1050&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Bouteraa et al. (2023)</w:t>
            </w:r>
            <w:r w:rsidRPr="006B2F60">
              <w:rPr>
                <w:rFonts w:eastAsia="Times New Roman" w:cstheme="minorHAnsi"/>
                <w:color w:val="000000"/>
                <w:sz w:val="16"/>
                <w:szCs w:val="16"/>
                <w:lang w:eastAsia="en-GB"/>
              </w:rPr>
              <w:fldChar w:fldCharType="end"/>
            </w:r>
          </w:p>
        </w:tc>
        <w:tc>
          <w:tcPr>
            <w:tcW w:w="1625" w:type="pct"/>
            <w:tcBorders>
              <w:top w:val="single" w:sz="4" w:space="0" w:color="auto"/>
              <w:left w:val="single" w:sz="4" w:space="0" w:color="auto"/>
              <w:bottom w:val="single" w:sz="4" w:space="0" w:color="auto"/>
              <w:right w:val="single" w:sz="4" w:space="0" w:color="auto"/>
            </w:tcBorders>
            <w:shd w:val="clear" w:color="auto" w:fill="auto"/>
            <w:hideMark/>
          </w:tcPr>
          <w:p w14:paraId="7473929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Understanding Consumers’ Barriers to Using Fintech Services in  the United Arab Emirates: Mixed-Methods Research Approach</w:t>
            </w:r>
          </w:p>
        </w:tc>
        <w:tc>
          <w:tcPr>
            <w:tcW w:w="1095" w:type="pct"/>
            <w:tcBorders>
              <w:top w:val="single" w:sz="4" w:space="0" w:color="auto"/>
              <w:left w:val="single" w:sz="4" w:space="0" w:color="auto"/>
              <w:bottom w:val="single" w:sz="4" w:space="0" w:color="auto"/>
              <w:right w:val="single" w:sz="4" w:space="0" w:color="auto"/>
            </w:tcBorders>
            <w:shd w:val="clear" w:color="auto" w:fill="auto"/>
            <w:hideMark/>
          </w:tcPr>
          <w:p w14:paraId="10CB48D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Sustainability (MDPI)</w:t>
            </w:r>
          </w:p>
        </w:tc>
        <w:tc>
          <w:tcPr>
            <w:tcW w:w="580" w:type="pct"/>
            <w:tcBorders>
              <w:top w:val="single" w:sz="4" w:space="0" w:color="auto"/>
              <w:left w:val="single" w:sz="4" w:space="0" w:color="auto"/>
              <w:bottom w:val="single" w:sz="4" w:space="0" w:color="auto"/>
              <w:right w:val="single" w:sz="4" w:space="0" w:color="auto"/>
            </w:tcBorders>
            <w:shd w:val="clear" w:color="auto" w:fill="auto"/>
            <w:hideMark/>
          </w:tcPr>
          <w:p w14:paraId="61B5B9A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United Arab Emirates</w:t>
            </w:r>
          </w:p>
        </w:tc>
        <w:tc>
          <w:tcPr>
            <w:tcW w:w="1029" w:type="pct"/>
            <w:tcBorders>
              <w:top w:val="single" w:sz="4" w:space="0" w:color="auto"/>
              <w:left w:val="single" w:sz="4" w:space="0" w:color="auto"/>
              <w:bottom w:val="single" w:sz="4" w:space="0" w:color="auto"/>
              <w:right w:val="single" w:sz="4" w:space="0" w:color="auto"/>
            </w:tcBorders>
            <w:shd w:val="clear" w:color="auto" w:fill="auto"/>
            <w:hideMark/>
          </w:tcPr>
          <w:p w14:paraId="13A0A7F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6221 - Banking</w:t>
            </w:r>
          </w:p>
        </w:tc>
      </w:tr>
      <w:tr w:rsidR="00241ACB" w:rsidRPr="006B2F60" w14:paraId="286A9FBD"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0"/>
        </w:trPr>
        <w:tc>
          <w:tcPr>
            <w:tcW w:w="671" w:type="pct"/>
            <w:shd w:val="clear" w:color="auto" w:fill="auto"/>
            <w:hideMark/>
          </w:tcPr>
          <w:p w14:paraId="281F123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AuthorYear="1"&gt;&lt;Author&gt;Yegon&lt;/Author&gt;&lt;Year&gt;2023&lt;/Year&gt;&lt;RecNum&gt;1117&lt;/RecNum&gt;&lt;DisplayText&gt;Yegon and Kilonzi (2023)&lt;/DisplayText&gt;&lt;record&gt;&lt;rec-number&gt;1117&lt;/rec-number&gt;&lt;foreign-keys&gt;&lt;key app="EN" db-id="dptp5pfxc5f2t6exvwlx0ve0fp5zwfx0ptw2" timestamp="1717807251"&gt;1117&lt;/key&gt;&lt;/foreign-keys&gt;&lt;ref-type name="Journal Article"&gt;17&lt;/ref-type&gt;&lt;contributors&gt;&lt;authors&gt;&lt;author&gt;Yegon, Vincent Kiplangat&lt;/author&gt;&lt;author&gt;Kilonzi, Felix&lt;/author&gt;&lt;/authors&gt;&lt;/contributors&gt;&lt;titles&gt;&lt;title&gt;Effects of Control Systems on Revenue Collection in Kenya Revenue Authority Customs Administration&lt;/title&gt;&lt;secondary-title&gt;African Tax and Customs Review&lt;/secondary-title&gt;&lt;/titles&gt;&lt;periodical&gt;&lt;full-title&gt;African Tax and Customs Review&lt;/full-title&gt;&lt;/periodical&gt;&lt;pages&gt;p.1-27&lt;/pages&gt;&lt;volume&gt;6&lt;/volume&gt;&lt;number&gt;2&lt;/number&gt;&lt;dates&gt;&lt;year&gt;2023&lt;/year&gt;&lt;/dates&gt;&lt;isbn&gt;2664-9535&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Yegon and Kilonzi (2023)</w:t>
            </w:r>
            <w:r w:rsidRPr="006B2F60">
              <w:rPr>
                <w:rFonts w:eastAsia="Times New Roman" w:cstheme="minorHAnsi"/>
                <w:color w:val="000000"/>
                <w:sz w:val="16"/>
                <w:szCs w:val="16"/>
                <w:lang w:eastAsia="en-GB"/>
              </w:rPr>
              <w:fldChar w:fldCharType="end"/>
            </w:r>
          </w:p>
        </w:tc>
        <w:tc>
          <w:tcPr>
            <w:tcW w:w="1625" w:type="pct"/>
            <w:shd w:val="clear" w:color="auto" w:fill="auto"/>
            <w:hideMark/>
          </w:tcPr>
          <w:p w14:paraId="4B09B38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Effects of Control Systems on Revenue Collection in Kenya Revenue Authority Customs Administration</w:t>
            </w:r>
          </w:p>
        </w:tc>
        <w:tc>
          <w:tcPr>
            <w:tcW w:w="1095" w:type="pct"/>
            <w:shd w:val="clear" w:color="auto" w:fill="auto"/>
            <w:hideMark/>
          </w:tcPr>
          <w:p w14:paraId="4E39E23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African Tax and Customs Review</w:t>
            </w:r>
          </w:p>
        </w:tc>
        <w:tc>
          <w:tcPr>
            <w:tcW w:w="580" w:type="pct"/>
            <w:shd w:val="clear" w:color="auto" w:fill="auto"/>
            <w:hideMark/>
          </w:tcPr>
          <w:p w14:paraId="1DA8487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Kenya</w:t>
            </w:r>
          </w:p>
        </w:tc>
        <w:tc>
          <w:tcPr>
            <w:tcW w:w="1029" w:type="pct"/>
            <w:shd w:val="clear" w:color="auto" w:fill="auto"/>
            <w:hideMark/>
          </w:tcPr>
          <w:p w14:paraId="5BF02FE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7C77404E"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0"/>
        </w:trPr>
        <w:tc>
          <w:tcPr>
            <w:tcW w:w="671" w:type="pct"/>
            <w:shd w:val="clear" w:color="auto" w:fill="auto"/>
            <w:hideMark/>
          </w:tcPr>
          <w:p w14:paraId="1D7EE1F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AuthorYear="1"&gt;&lt;Author&gt;Mwesiga&lt;/Author&gt;&lt;Year&gt;2023&lt;/Year&gt;&lt;RecNum&gt;1066&lt;/RecNum&gt;&lt;DisplayText&gt;Mwesiga et al. (2023)&lt;/DisplayText&gt;&lt;record&gt;&lt;rec-number&gt;1066&lt;/rec-number&gt;&lt;foreign-keys&gt;&lt;key app="EN" db-id="dptp5pfxc5f2t6exvwlx0ve0fp5zwfx0ptw2" timestamp="1717289437"&gt;1066&lt;/key&gt;&lt;/foreign-keys&gt;&lt;ref-type name="Journal Article"&gt;17&lt;/ref-type&gt;&lt;contributors&gt;&lt;authors&gt;&lt;author&gt;Mwesiga, TR&lt;/author&gt;&lt;author&gt;Kaswamila, AL&lt;/author&gt;&lt;author&gt;Mwakipesile, AE&lt;/author&gt;&lt;/authors&gt;&lt;/contributors&gt;&lt;titles&gt;&lt;title&gt;The Implications of The Tanzania New Mining Legislation in Enhancing Revenue: A Case of Geita Gold Mine&lt;/title&gt;&lt;secondary-title&gt;African Journal of Applied Research&lt;/secondary-title&gt;&lt;/titles&gt;&lt;periodical&gt;&lt;full-title&gt;African Journal of Applied Research&lt;/full-title&gt;&lt;/periodical&gt;&lt;pages&gt;p.1-11&lt;/pages&gt;&lt;volume&gt;9&lt;/volume&gt;&lt;number&gt;2&lt;/number&gt;&lt;dates&gt;&lt;year&gt;2023&lt;/year&gt;&lt;/dates&gt;&lt;isbn&gt;2408-7920&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Mwesiga et al. (2023)</w:t>
            </w:r>
            <w:r w:rsidRPr="006B2F60">
              <w:rPr>
                <w:rFonts w:eastAsia="Times New Roman" w:cstheme="minorHAnsi"/>
                <w:color w:val="000000"/>
                <w:sz w:val="16"/>
                <w:szCs w:val="16"/>
                <w:lang w:eastAsia="en-GB"/>
              </w:rPr>
              <w:fldChar w:fldCharType="end"/>
            </w:r>
            <w:r w:rsidRPr="006B2F60">
              <w:rPr>
                <w:rFonts w:eastAsia="Times New Roman" w:cstheme="minorHAnsi"/>
                <w:color w:val="000000"/>
                <w:sz w:val="16"/>
                <w:szCs w:val="16"/>
                <w:lang w:eastAsia="en-GB"/>
              </w:rPr>
              <w:t xml:space="preserve"> </w:t>
            </w:r>
          </w:p>
        </w:tc>
        <w:tc>
          <w:tcPr>
            <w:tcW w:w="1625" w:type="pct"/>
            <w:shd w:val="clear" w:color="auto" w:fill="auto"/>
            <w:hideMark/>
          </w:tcPr>
          <w:p w14:paraId="27AE8A9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Implications of the Tanzania New Mining Legislation in Enhancing Revenue: A Case of Geita Gold Mine</w:t>
            </w:r>
          </w:p>
        </w:tc>
        <w:tc>
          <w:tcPr>
            <w:tcW w:w="1095" w:type="pct"/>
            <w:shd w:val="clear" w:color="auto" w:fill="auto"/>
            <w:hideMark/>
          </w:tcPr>
          <w:p w14:paraId="6E073A2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Journal of Applied Research</w:t>
            </w:r>
          </w:p>
        </w:tc>
        <w:tc>
          <w:tcPr>
            <w:tcW w:w="580" w:type="pct"/>
            <w:shd w:val="clear" w:color="auto" w:fill="auto"/>
            <w:hideMark/>
          </w:tcPr>
          <w:p w14:paraId="264F346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Tanzania</w:t>
            </w:r>
          </w:p>
        </w:tc>
        <w:tc>
          <w:tcPr>
            <w:tcW w:w="1029" w:type="pct"/>
            <w:shd w:val="clear" w:color="auto" w:fill="auto"/>
            <w:hideMark/>
          </w:tcPr>
          <w:p w14:paraId="479A107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6FAAB6B7"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0"/>
        </w:trPr>
        <w:tc>
          <w:tcPr>
            <w:tcW w:w="671" w:type="pct"/>
            <w:shd w:val="clear" w:color="auto" w:fill="auto"/>
          </w:tcPr>
          <w:p w14:paraId="05EAF9A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AuthorYear="1"&gt;&lt;Author&gt;Rodgers&lt;/Author&gt;&lt;Year&gt;2023&lt;/Year&gt;&lt;RecNum&gt;1132&lt;/RecNum&gt;&lt;DisplayText&gt;Rodgers et al. (2023)&lt;/DisplayText&gt;&lt;record&gt;&lt;rec-number&gt;1132&lt;/rec-number&gt;&lt;foreign-keys&gt;&lt;key app="EN" db-id="dptp5pfxc5f2t6exvwlx0ve0fp5zwfx0ptw2" timestamp="1717920551"&gt;1132&lt;/key&gt;&lt;/foreign-keys&gt;&lt;ref-type name="Journal Article"&gt;17&lt;/ref-type&gt;&lt;contributors&gt;&lt;authors&gt;&lt;author&gt;Rodgers, John Killian L&lt;/author&gt;&lt;author&gt;Francart, Suzanne J&lt;/author&gt;&lt;author&gt;Amerine, Lindsey B&lt;/author&gt;&lt;/authors&gt;&lt;/contributors&gt;&lt;titles&gt;&lt;title&gt;Establishing a pharmacy revenue integrity team: A blueprint for increasing pharmacy’s role in health-system revenue cycle&lt;/title&gt;&lt;secondary-title&gt;American Journal of Health-System Pharmacy&lt;/secondary-title&gt;&lt;/titles&gt;&lt;periodical&gt;&lt;full-title&gt;American Journal of Health-System Pharmacy&lt;/full-title&gt;&lt;/periodical&gt;&lt;pages&gt;p.931-938&lt;/pages&gt;&lt;volume&gt;80&lt;/volume&gt;&lt;number&gt;14&lt;/number&gt;&lt;dates&gt;&lt;year&gt;2023&lt;/year&gt;&lt;/dates&gt;&lt;isbn&gt;1079-2082&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Rodgers et al. (2023)</w:t>
            </w:r>
            <w:r w:rsidRPr="006B2F60">
              <w:rPr>
                <w:rFonts w:eastAsia="Times New Roman" w:cstheme="minorHAnsi"/>
                <w:color w:val="000000"/>
                <w:sz w:val="16"/>
                <w:szCs w:val="16"/>
                <w:lang w:eastAsia="en-GB"/>
              </w:rPr>
              <w:fldChar w:fldCharType="end"/>
            </w:r>
          </w:p>
        </w:tc>
        <w:tc>
          <w:tcPr>
            <w:tcW w:w="1625" w:type="pct"/>
            <w:shd w:val="clear" w:color="auto" w:fill="auto"/>
          </w:tcPr>
          <w:p w14:paraId="2279601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Establishing a Pharmacy Revenue Integrity Team: A Blueprint for Increasing Pharmacy’s Role in Health-System Revenue Cycle</w:t>
            </w:r>
          </w:p>
        </w:tc>
        <w:tc>
          <w:tcPr>
            <w:tcW w:w="1095" w:type="pct"/>
            <w:shd w:val="clear" w:color="auto" w:fill="auto"/>
          </w:tcPr>
          <w:p w14:paraId="2568A1C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American Journal of Health-System Pharmacy</w:t>
            </w:r>
          </w:p>
        </w:tc>
        <w:tc>
          <w:tcPr>
            <w:tcW w:w="580" w:type="pct"/>
            <w:shd w:val="clear" w:color="auto" w:fill="auto"/>
          </w:tcPr>
          <w:p w14:paraId="3A1260E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US</w:t>
            </w:r>
          </w:p>
        </w:tc>
        <w:tc>
          <w:tcPr>
            <w:tcW w:w="1029" w:type="pct"/>
            <w:shd w:val="clear" w:color="auto" w:fill="auto"/>
          </w:tcPr>
          <w:p w14:paraId="6E1D289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8401 - Hospitals (Except Psychiatric Hospitals)</w:t>
            </w:r>
          </w:p>
        </w:tc>
      </w:tr>
      <w:tr w:rsidR="00241ACB" w:rsidRPr="006B2F60" w14:paraId="3BBE4F9C"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0"/>
        </w:trPr>
        <w:tc>
          <w:tcPr>
            <w:tcW w:w="671" w:type="pct"/>
            <w:shd w:val="clear" w:color="auto" w:fill="auto"/>
          </w:tcPr>
          <w:p w14:paraId="03307B8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AuthorYear="1"&gt;&lt;Author&gt;Radhu&lt;/Author&gt;&lt;Year&gt;2023&lt;/Year&gt;&lt;RecNum&gt;1133&lt;/RecNum&gt;&lt;DisplayText&gt;Radhu (2023)&lt;/DisplayText&gt;&lt;record&gt;&lt;rec-number&gt;1133&lt;/rec-number&gt;&lt;foreign-keys&gt;&lt;key app="EN" db-id="dptp5pfxc5f2t6exvwlx0ve0fp5zwfx0ptw2" timestamp="1717920590"&gt;1133&lt;/key&gt;&lt;/foreign-keys&gt;&lt;ref-type name="Journal Article"&gt;17&lt;/ref-type&gt;&lt;contributors&gt;&lt;authors&gt;&lt;author&gt;Radhu, Sumeir&lt;/author&gt;&lt;/authors&gt;&lt;/contributors&gt;&lt;titles&gt;&lt;title&gt;A Study on The Socio-Economic Impacts of Eco Tourism in Ladakh, India&lt;/title&gt;&lt;secondary-title&gt;International Journal for Multidisciplinary Research (IJFMR)&lt;/secondary-title&gt;&lt;/titles&gt;&lt;periodical&gt;&lt;full-title&gt;International Journal for Multidisciplinary Research (IJFMR)&lt;/full-title&gt;&lt;/periodical&gt;&lt;pages&gt;p.1-9&lt;/pages&gt;&lt;volume&gt;5&lt;/volume&gt;&lt;number&gt;5&lt;/number&gt;&lt;dates&gt;&lt;year&gt;2023&lt;/year&gt;&lt;/dates&gt;&lt;urls&gt;&lt;/urls&gt;&lt;/record&gt;&lt;/Cite&gt;&lt;/EndNote&gt;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Radhu (2023)</w:t>
            </w:r>
            <w:r w:rsidRPr="006B2F60">
              <w:rPr>
                <w:rFonts w:eastAsia="Times New Roman" w:cstheme="minorHAnsi"/>
                <w:color w:val="000000"/>
                <w:sz w:val="16"/>
                <w:szCs w:val="16"/>
                <w:lang w:eastAsia="en-GB"/>
              </w:rPr>
              <w:fldChar w:fldCharType="end"/>
            </w:r>
          </w:p>
        </w:tc>
        <w:tc>
          <w:tcPr>
            <w:tcW w:w="1625" w:type="pct"/>
            <w:shd w:val="clear" w:color="auto" w:fill="auto"/>
          </w:tcPr>
          <w:p w14:paraId="7600877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 Study on the Socio-Economic Impacts of Eco Tourism in Ladakh, India</w:t>
            </w:r>
          </w:p>
        </w:tc>
        <w:tc>
          <w:tcPr>
            <w:tcW w:w="1095" w:type="pct"/>
            <w:shd w:val="clear" w:color="auto" w:fill="auto"/>
          </w:tcPr>
          <w:p w14:paraId="0D58F53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Journal for Multidisciplinary Research</w:t>
            </w:r>
          </w:p>
        </w:tc>
        <w:tc>
          <w:tcPr>
            <w:tcW w:w="580" w:type="pct"/>
            <w:shd w:val="clear" w:color="auto" w:fill="auto"/>
          </w:tcPr>
          <w:p w14:paraId="28C4E10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India</w:t>
            </w:r>
          </w:p>
        </w:tc>
        <w:tc>
          <w:tcPr>
            <w:tcW w:w="1029" w:type="pct"/>
            <w:shd w:val="clear" w:color="auto" w:fill="auto"/>
          </w:tcPr>
          <w:p w14:paraId="23F9A86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7220 - Travel Agency and Tour Arrangement Services</w:t>
            </w:r>
          </w:p>
        </w:tc>
      </w:tr>
      <w:tr w:rsidR="00241ACB" w:rsidRPr="006B2F60" w14:paraId="5EF2F429"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0"/>
        </w:trPr>
        <w:tc>
          <w:tcPr>
            <w:tcW w:w="671" w:type="pct"/>
            <w:shd w:val="clear" w:color="auto" w:fill="auto"/>
            <w:hideMark/>
          </w:tcPr>
          <w:p w14:paraId="0F00E57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AuthorYear="1"&gt;&lt;Author&gt;Abu&lt;/Author&gt;&lt;Year&gt;2023&lt;/Year&gt;&lt;RecNum&gt;1070&lt;/RecNum&gt;&lt;DisplayText&gt;Abu et al. (2023)&lt;/DisplayText&gt;&lt;record&gt;&lt;rec-number&gt;1070&lt;/rec-number&gt;&lt;foreign-keys&gt;&lt;key app="EN" db-id="dptp5pfxc5f2t6exvwlx0ve0fp5zwfx0ptw2" timestamp="1717289682"&gt;1070&lt;/key&gt;&lt;/foreign-keys&gt;&lt;ref-type name="Journal Article"&gt;17&lt;/ref-type&gt;&lt;contributors&gt;&lt;authors&gt;&lt;author&gt;Abu, Adegede Suleiman&lt;/author&gt;&lt;author&gt;Abdullahi, MS&lt;/author&gt;&lt;author&gt;Theophilus, Audu&lt;/author&gt;&lt;/authors&gt;&lt;/contributors&gt;&lt;titles&gt;&lt;title&gt;Transformation in tax revenue and the economy: The Nigerian experience&lt;/title&gt;&lt;secondary-title&gt;International Journal of Intellectual Discourse&lt;/secondary-title&gt;&lt;/titles&gt;&lt;periodical&gt;&lt;full-title&gt;International Journal of Intellectual Discourse&lt;/full-title&gt;&lt;/periodical&gt;&lt;pages&gt;p.88-100&lt;/pages&gt;&lt;volume&gt;6&lt;/volume&gt;&lt;number&gt;4&lt;/number&gt;&lt;dates&gt;&lt;year&gt;2023&lt;/year&gt;&lt;/dates&gt;&lt;isbn&gt;2636-4832&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Abu et al. (2023)</w:t>
            </w:r>
            <w:r w:rsidRPr="006B2F60">
              <w:rPr>
                <w:rFonts w:eastAsia="Times New Roman" w:cstheme="minorHAnsi"/>
                <w:color w:val="000000"/>
                <w:sz w:val="16"/>
                <w:szCs w:val="16"/>
                <w:lang w:eastAsia="en-GB"/>
              </w:rPr>
              <w:fldChar w:fldCharType="end"/>
            </w:r>
          </w:p>
        </w:tc>
        <w:tc>
          <w:tcPr>
            <w:tcW w:w="1625" w:type="pct"/>
            <w:shd w:val="clear" w:color="auto" w:fill="auto"/>
            <w:hideMark/>
          </w:tcPr>
          <w:p w14:paraId="3070FA1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Transformation in Tax Revenue and the Economy: The Nigerian Experience</w:t>
            </w:r>
          </w:p>
        </w:tc>
        <w:tc>
          <w:tcPr>
            <w:tcW w:w="1095" w:type="pct"/>
            <w:shd w:val="clear" w:color="auto" w:fill="auto"/>
            <w:hideMark/>
          </w:tcPr>
          <w:p w14:paraId="79377D6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International Journal of Intellectual Discourse</w:t>
            </w:r>
          </w:p>
        </w:tc>
        <w:tc>
          <w:tcPr>
            <w:tcW w:w="580" w:type="pct"/>
            <w:shd w:val="clear" w:color="auto" w:fill="auto"/>
            <w:hideMark/>
          </w:tcPr>
          <w:p w14:paraId="60D3B17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Nigeria</w:t>
            </w:r>
          </w:p>
        </w:tc>
        <w:tc>
          <w:tcPr>
            <w:tcW w:w="1029" w:type="pct"/>
            <w:shd w:val="clear" w:color="auto" w:fill="auto"/>
            <w:hideMark/>
          </w:tcPr>
          <w:p w14:paraId="344BE73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r>
      <w:tr w:rsidR="00241ACB" w:rsidRPr="006B2F60" w14:paraId="7EEFA042" w14:textId="77777777" w:rsidTr="00DE31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0"/>
        </w:trPr>
        <w:tc>
          <w:tcPr>
            <w:tcW w:w="671" w:type="pct"/>
            <w:shd w:val="clear" w:color="auto" w:fill="auto"/>
            <w:hideMark/>
          </w:tcPr>
          <w:p w14:paraId="298DC36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fldChar w:fldCharType="begin"/>
            </w:r>
            <w:r w:rsidRPr="006B2F60">
              <w:rPr>
                <w:rFonts w:eastAsia="Times New Roman" w:cstheme="minorHAnsi"/>
                <w:color w:val="000000"/>
                <w:sz w:val="16"/>
                <w:szCs w:val="16"/>
                <w:lang w:eastAsia="en-GB"/>
              </w:rPr>
              <w:instrText xml:space="preserve"> ADDIN EN.CITE &lt;EndNote&gt;&lt;Cite AuthorYear="1"&gt;&lt;Author&gt;Ogwang&lt;/Author&gt;&lt;Year&gt;2023&lt;/Year&gt;&lt;RecNum&gt;920&lt;/RecNum&gt;&lt;DisplayText&gt;Ogwang et al. (2023)&lt;/DisplayText&gt;&lt;record&gt;&lt;rec-number&gt;920&lt;/rec-number&gt;&lt;foreign-keys&gt;&lt;key app="EN" db-id="dptp5pfxc5f2t6exvwlx0ve0fp5zwfx0ptw2" timestamp="1704222122"&gt;920&lt;/key&gt;&lt;/foreign-keys&gt;&lt;ref-type name="Journal Article"&gt;17&lt;/ref-type&gt;&lt;contributors&gt;&lt;authors&gt;&lt;author&gt;Ogwang, Okello Godfrey&lt;/author&gt;&lt;author&gt;Obici, Gilbert Obici&lt;/author&gt;&lt;author&gt;Mwesigwa, David Mwesigwa&lt;/author&gt;&lt;/authors&gt;&lt;/contributors&gt;&lt;titles&gt;&lt;title&gt;The contribution of Civil Society Organizations in pro-poor budgeting processes: A review on Local Governments in Uganda&lt;/title&gt;&lt;secondary-title&gt;American Journal Of Strategic Studies&lt;/secondary-title&gt;&lt;/titles&gt;&lt;periodical&gt;&lt;full-title&gt;American Journal Of Strategic Studies&lt;/full-title&gt;&lt;/periodical&gt;&lt;pages&gt;p.1-16&lt;/pages&gt;&lt;volume&gt;5&lt;/volume&gt;&lt;number&gt;1&lt;/number&gt;&lt;dates&gt;&lt;year&gt;2023&lt;/year&gt;&lt;/dates&gt;&lt;isbn&gt;2790-6191&lt;/isbn&gt;&lt;urls&gt;&lt;/urls&gt;&lt;/record&gt;&lt;/Cite&gt;&lt;/EndNote&gt;</w:instrText>
            </w:r>
            <w:r w:rsidRPr="006B2F60">
              <w:rPr>
                <w:rFonts w:eastAsia="Times New Roman" w:cstheme="minorHAnsi"/>
                <w:color w:val="000000"/>
                <w:sz w:val="16"/>
                <w:szCs w:val="16"/>
                <w:lang w:eastAsia="en-GB"/>
              </w:rPr>
              <w:fldChar w:fldCharType="separate"/>
            </w:r>
            <w:r w:rsidRPr="006B2F60">
              <w:rPr>
                <w:rFonts w:eastAsia="Times New Roman" w:cstheme="minorHAnsi"/>
                <w:color w:val="000000"/>
                <w:sz w:val="16"/>
                <w:szCs w:val="16"/>
                <w:lang w:eastAsia="en-GB"/>
              </w:rPr>
              <w:t>Ogwang et al. (2023)</w:t>
            </w:r>
            <w:r w:rsidRPr="006B2F60">
              <w:rPr>
                <w:rFonts w:eastAsia="Times New Roman" w:cstheme="minorHAnsi"/>
                <w:color w:val="000000"/>
                <w:sz w:val="16"/>
                <w:szCs w:val="16"/>
                <w:lang w:eastAsia="en-GB"/>
              </w:rPr>
              <w:fldChar w:fldCharType="end"/>
            </w:r>
            <w:r w:rsidRPr="006B2F60">
              <w:rPr>
                <w:rFonts w:eastAsia="Times New Roman" w:cstheme="minorHAnsi"/>
                <w:color w:val="000000"/>
                <w:sz w:val="16"/>
                <w:szCs w:val="16"/>
                <w:lang w:eastAsia="en-GB"/>
              </w:rPr>
              <w:t xml:space="preserve"> </w:t>
            </w:r>
          </w:p>
        </w:tc>
        <w:tc>
          <w:tcPr>
            <w:tcW w:w="1625" w:type="pct"/>
            <w:shd w:val="clear" w:color="auto" w:fill="auto"/>
            <w:hideMark/>
          </w:tcPr>
          <w:p w14:paraId="3E8E1F9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The Contribution of Civil Society Organisations in Pro-poor Budgeting Processes: A Review on Local Governments in Uganda</w:t>
            </w:r>
          </w:p>
        </w:tc>
        <w:tc>
          <w:tcPr>
            <w:tcW w:w="1095" w:type="pct"/>
            <w:shd w:val="clear" w:color="auto" w:fill="auto"/>
            <w:hideMark/>
          </w:tcPr>
          <w:p w14:paraId="6D5E76C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American Journal of Strategic Studies</w:t>
            </w:r>
          </w:p>
        </w:tc>
        <w:tc>
          <w:tcPr>
            <w:tcW w:w="580" w:type="pct"/>
            <w:shd w:val="clear" w:color="auto" w:fill="auto"/>
            <w:hideMark/>
          </w:tcPr>
          <w:p w14:paraId="5C00E1A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Uganda</w:t>
            </w:r>
          </w:p>
        </w:tc>
        <w:tc>
          <w:tcPr>
            <w:tcW w:w="1029" w:type="pct"/>
            <w:shd w:val="clear" w:color="auto" w:fill="auto"/>
            <w:hideMark/>
          </w:tcPr>
          <w:p w14:paraId="28DE9B1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r>
    </w:tbl>
    <w:p w14:paraId="49E3EFF3" w14:textId="77777777" w:rsidR="00241ACB" w:rsidRPr="006B2F60" w:rsidRDefault="00241ACB" w:rsidP="00241ACB">
      <w:pPr>
        <w:spacing w:after="0" w:line="240" w:lineRule="auto"/>
        <w:jc w:val="center"/>
        <w:rPr>
          <w:rFonts w:cstheme="minorHAnsi"/>
          <w:sz w:val="16"/>
          <w:szCs w:val="16"/>
        </w:rPr>
      </w:pPr>
      <w:r w:rsidRPr="006B2F60">
        <w:rPr>
          <w:rFonts w:cstheme="minorHAnsi"/>
          <w:sz w:val="16"/>
          <w:szCs w:val="16"/>
        </w:rPr>
        <w:t>Source: Author's Compilation from the SLR</w:t>
      </w:r>
    </w:p>
    <w:p w14:paraId="48790D60" w14:textId="77777777" w:rsidR="00241ACB" w:rsidRPr="006B2F60" w:rsidRDefault="00241ACB" w:rsidP="00241ACB">
      <w:pPr>
        <w:spacing w:after="0" w:line="240" w:lineRule="auto"/>
        <w:jc w:val="both"/>
        <w:rPr>
          <w:rFonts w:cstheme="minorHAnsi"/>
          <w:b/>
          <w:bCs/>
          <w:color w:val="000000" w:themeColor="text1"/>
          <w:sz w:val="20"/>
          <w:szCs w:val="20"/>
        </w:rPr>
      </w:pPr>
    </w:p>
    <w:p w14:paraId="6702FC61" w14:textId="77777777" w:rsidR="00241ACB" w:rsidRPr="006B2F60" w:rsidRDefault="00241ACB" w:rsidP="00241ACB">
      <w:pPr>
        <w:rPr>
          <w:rFonts w:cstheme="minorHAnsi"/>
          <w:color w:val="000000" w:themeColor="text1"/>
          <w:sz w:val="20"/>
          <w:szCs w:val="20"/>
        </w:rPr>
      </w:pPr>
      <w:r w:rsidRPr="006B2F60">
        <w:rPr>
          <w:rFonts w:cstheme="minorHAnsi"/>
          <w:color w:val="000000" w:themeColor="text1"/>
          <w:sz w:val="20"/>
          <w:szCs w:val="20"/>
        </w:rPr>
        <w:br w:type="page"/>
      </w:r>
    </w:p>
    <w:p w14:paraId="789913A4" w14:textId="77777777" w:rsidR="00241ACB" w:rsidRPr="006B2F60" w:rsidRDefault="00241ACB" w:rsidP="00241ACB">
      <w:pPr>
        <w:spacing w:after="0" w:line="240" w:lineRule="auto"/>
        <w:jc w:val="both"/>
        <w:rPr>
          <w:rFonts w:cstheme="minorHAnsi"/>
          <w:color w:val="000000" w:themeColor="text1"/>
          <w:sz w:val="20"/>
          <w:szCs w:val="20"/>
        </w:rPr>
        <w:sectPr w:rsidR="00241ACB" w:rsidRPr="006B2F60" w:rsidSect="00241ACB">
          <w:pgSz w:w="15840" w:h="12240" w:orient="landscape"/>
          <w:pgMar w:top="1797" w:right="1440" w:bottom="1797" w:left="1440" w:header="720" w:footer="720" w:gutter="0"/>
          <w:cols w:space="720"/>
          <w:docGrid w:linePitch="360"/>
        </w:sectPr>
      </w:pPr>
    </w:p>
    <w:p w14:paraId="239364D4" w14:textId="77777777" w:rsidR="00241ACB" w:rsidRPr="006B2F60" w:rsidRDefault="00241ACB" w:rsidP="00241ACB">
      <w:pPr>
        <w:spacing w:after="0" w:line="240" w:lineRule="auto"/>
        <w:jc w:val="center"/>
        <w:rPr>
          <w:rFonts w:cstheme="minorHAnsi"/>
          <w:color w:val="000000" w:themeColor="text1"/>
          <w:sz w:val="16"/>
          <w:szCs w:val="16"/>
        </w:rPr>
      </w:pPr>
      <w:r w:rsidRPr="006B2F60">
        <w:rPr>
          <w:rFonts w:cstheme="minorHAnsi"/>
          <w:color w:val="292929"/>
          <w:sz w:val="16"/>
          <w:szCs w:val="16"/>
          <w:shd w:val="clear" w:color="auto" w:fill="FFFFFF"/>
        </w:rPr>
        <w:lastRenderedPageBreak/>
        <w:t>Table 3: Consolidated RL Definition Framework – A Multi-Layered Approach</w:t>
      </w:r>
    </w:p>
    <w:tbl>
      <w:tblPr>
        <w:tblW w:w="5000" w:type="pct"/>
        <w:tblLook w:val="04A0" w:firstRow="1" w:lastRow="0" w:firstColumn="1" w:lastColumn="0" w:noHBand="0" w:noVBand="1"/>
      </w:tblPr>
      <w:tblGrid>
        <w:gridCol w:w="1294"/>
        <w:gridCol w:w="1758"/>
        <w:gridCol w:w="3058"/>
        <w:gridCol w:w="1447"/>
        <w:gridCol w:w="1447"/>
        <w:gridCol w:w="1447"/>
        <w:gridCol w:w="2499"/>
      </w:tblGrid>
      <w:tr w:rsidR="00241ACB" w:rsidRPr="006B2F60" w14:paraId="5F58EAA8" w14:textId="77777777" w:rsidTr="00DE3143">
        <w:trPr>
          <w:trHeight w:val="220"/>
        </w:trPr>
        <w:tc>
          <w:tcPr>
            <w:tcW w:w="502" w:type="pct"/>
            <w:tcBorders>
              <w:top w:val="single" w:sz="4" w:space="0" w:color="auto"/>
              <w:left w:val="single" w:sz="4" w:space="0" w:color="auto"/>
              <w:bottom w:val="single" w:sz="4" w:space="0" w:color="auto"/>
              <w:right w:val="single" w:sz="4" w:space="0" w:color="auto"/>
            </w:tcBorders>
            <w:shd w:val="clear" w:color="000000" w:fill="BFBFBF"/>
            <w:hideMark/>
          </w:tcPr>
          <w:p w14:paraId="688FE25E"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Layer</w:t>
            </w:r>
          </w:p>
        </w:tc>
        <w:tc>
          <w:tcPr>
            <w:tcW w:w="623" w:type="pct"/>
            <w:tcBorders>
              <w:top w:val="single" w:sz="4" w:space="0" w:color="auto"/>
              <w:left w:val="nil"/>
              <w:bottom w:val="single" w:sz="4" w:space="0" w:color="auto"/>
              <w:right w:val="single" w:sz="4" w:space="0" w:color="auto"/>
            </w:tcBorders>
            <w:shd w:val="clear" w:color="000000" w:fill="BFBFBF"/>
            <w:hideMark/>
          </w:tcPr>
          <w:p w14:paraId="72EC29AE"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Sector (ANZSIC Code)</w:t>
            </w:r>
          </w:p>
        </w:tc>
        <w:tc>
          <w:tcPr>
            <w:tcW w:w="1197" w:type="pct"/>
            <w:tcBorders>
              <w:top w:val="single" w:sz="4" w:space="0" w:color="auto"/>
              <w:left w:val="nil"/>
              <w:bottom w:val="single" w:sz="4" w:space="0" w:color="auto"/>
              <w:right w:val="single" w:sz="4" w:space="0" w:color="auto"/>
            </w:tcBorders>
            <w:shd w:val="clear" w:color="000000" w:fill="BFBFBF"/>
            <w:hideMark/>
          </w:tcPr>
          <w:p w14:paraId="6907E9E0"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Consolidated RL Definition</w:t>
            </w:r>
          </w:p>
        </w:tc>
        <w:tc>
          <w:tcPr>
            <w:tcW w:w="568" w:type="pct"/>
            <w:tcBorders>
              <w:top w:val="single" w:sz="4" w:space="0" w:color="auto"/>
              <w:left w:val="nil"/>
              <w:bottom w:val="single" w:sz="4" w:space="0" w:color="auto"/>
              <w:right w:val="single" w:sz="4" w:space="0" w:color="auto"/>
            </w:tcBorders>
            <w:shd w:val="clear" w:color="000000" w:fill="BFBFBF"/>
            <w:hideMark/>
          </w:tcPr>
          <w:p w14:paraId="6FA42557"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Explicit Causes</w:t>
            </w:r>
          </w:p>
        </w:tc>
        <w:tc>
          <w:tcPr>
            <w:tcW w:w="568" w:type="pct"/>
            <w:tcBorders>
              <w:top w:val="single" w:sz="4" w:space="0" w:color="auto"/>
              <w:left w:val="nil"/>
              <w:bottom w:val="single" w:sz="4" w:space="0" w:color="auto"/>
              <w:right w:val="single" w:sz="4" w:space="0" w:color="auto"/>
            </w:tcBorders>
            <w:shd w:val="clear" w:color="000000" w:fill="BFBFBF"/>
            <w:hideMark/>
          </w:tcPr>
          <w:p w14:paraId="07397B30"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Implicit Causes</w:t>
            </w:r>
          </w:p>
        </w:tc>
        <w:tc>
          <w:tcPr>
            <w:tcW w:w="568" w:type="pct"/>
            <w:tcBorders>
              <w:top w:val="single" w:sz="4" w:space="0" w:color="auto"/>
              <w:left w:val="nil"/>
              <w:bottom w:val="single" w:sz="4" w:space="0" w:color="auto"/>
              <w:right w:val="single" w:sz="4" w:space="0" w:color="auto"/>
            </w:tcBorders>
            <w:shd w:val="clear" w:color="000000" w:fill="BFBFBF"/>
            <w:hideMark/>
          </w:tcPr>
          <w:p w14:paraId="43378839"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Sub Codes</w:t>
            </w:r>
          </w:p>
        </w:tc>
        <w:tc>
          <w:tcPr>
            <w:tcW w:w="974" w:type="pct"/>
            <w:tcBorders>
              <w:top w:val="single" w:sz="4" w:space="0" w:color="auto"/>
              <w:left w:val="nil"/>
              <w:bottom w:val="single" w:sz="4" w:space="0" w:color="auto"/>
              <w:right w:val="single" w:sz="4" w:space="0" w:color="auto"/>
            </w:tcBorders>
            <w:shd w:val="clear" w:color="000000" w:fill="BFBFBF"/>
            <w:hideMark/>
          </w:tcPr>
          <w:p w14:paraId="4471DDDB"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Supporting Citations with References</w:t>
            </w:r>
          </w:p>
        </w:tc>
      </w:tr>
      <w:tr w:rsidR="00241ACB" w:rsidRPr="006B2F60" w14:paraId="2DE219C3" w14:textId="77777777" w:rsidTr="00DE3143">
        <w:trPr>
          <w:trHeight w:val="1100"/>
        </w:trPr>
        <w:tc>
          <w:tcPr>
            <w:tcW w:w="502" w:type="pct"/>
            <w:tcBorders>
              <w:top w:val="nil"/>
              <w:left w:val="single" w:sz="4" w:space="0" w:color="auto"/>
              <w:bottom w:val="single" w:sz="4" w:space="0" w:color="auto"/>
              <w:right w:val="single" w:sz="4" w:space="0" w:color="auto"/>
            </w:tcBorders>
            <w:shd w:val="clear" w:color="auto" w:fill="auto"/>
            <w:hideMark/>
          </w:tcPr>
          <w:p w14:paraId="712F0F89"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1st Layer (Consolidated)</w:t>
            </w:r>
          </w:p>
        </w:tc>
        <w:tc>
          <w:tcPr>
            <w:tcW w:w="623" w:type="pct"/>
            <w:tcBorders>
              <w:top w:val="nil"/>
              <w:left w:val="nil"/>
              <w:bottom w:val="single" w:sz="4" w:space="0" w:color="auto"/>
              <w:right w:val="single" w:sz="4" w:space="0" w:color="auto"/>
            </w:tcBorders>
            <w:shd w:val="clear" w:color="auto" w:fill="auto"/>
            <w:hideMark/>
          </w:tcPr>
          <w:p w14:paraId="3573F92D"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All Sectors</w:t>
            </w:r>
          </w:p>
        </w:tc>
        <w:tc>
          <w:tcPr>
            <w:tcW w:w="1197" w:type="pct"/>
            <w:tcBorders>
              <w:top w:val="nil"/>
              <w:left w:val="nil"/>
              <w:bottom w:val="single" w:sz="4" w:space="0" w:color="auto"/>
              <w:right w:val="single" w:sz="4" w:space="0" w:color="auto"/>
            </w:tcBorders>
            <w:shd w:val="clear" w:color="auto" w:fill="auto"/>
            <w:hideMark/>
          </w:tcPr>
          <w:p w14:paraId="3D2AF74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Revenue leakage (RL) refers to the loss of expected revenue due to </w:t>
            </w:r>
            <w:r w:rsidRPr="006B2F60">
              <w:rPr>
                <w:rFonts w:eastAsia="Times New Roman" w:cstheme="minorHAnsi"/>
                <w:b/>
                <w:bCs/>
                <w:color w:val="000000"/>
                <w:sz w:val="16"/>
                <w:szCs w:val="16"/>
                <w:lang w:eastAsia="en-GB"/>
              </w:rPr>
              <w:t>explicit causes</w:t>
            </w:r>
            <w:r w:rsidRPr="006B2F60">
              <w:rPr>
                <w:rFonts w:eastAsia="Times New Roman" w:cstheme="minorHAnsi"/>
                <w:color w:val="000000"/>
                <w:sz w:val="16"/>
                <w:szCs w:val="16"/>
                <w:lang w:eastAsia="en-GB"/>
              </w:rPr>
              <w:t xml:space="preserve"> such as fraud, billing errors, misreporting, tax evasion, or corruption, as well as </w:t>
            </w:r>
            <w:r w:rsidRPr="006B2F60">
              <w:rPr>
                <w:rFonts w:eastAsia="Times New Roman" w:cstheme="minorHAnsi"/>
                <w:b/>
                <w:bCs/>
                <w:color w:val="000000"/>
                <w:sz w:val="16"/>
                <w:szCs w:val="16"/>
                <w:lang w:eastAsia="en-GB"/>
              </w:rPr>
              <w:t>implicit causes</w:t>
            </w:r>
            <w:r w:rsidRPr="006B2F60">
              <w:rPr>
                <w:rFonts w:eastAsia="Times New Roman" w:cstheme="minorHAnsi"/>
                <w:color w:val="000000"/>
                <w:sz w:val="16"/>
                <w:szCs w:val="16"/>
                <w:lang w:eastAsia="en-GB"/>
              </w:rPr>
              <w:t xml:space="preserve"> such as inefficiencies in operations, resource misallocation, and system failures.</w:t>
            </w:r>
          </w:p>
        </w:tc>
        <w:tc>
          <w:tcPr>
            <w:tcW w:w="568" w:type="pct"/>
            <w:tcBorders>
              <w:top w:val="nil"/>
              <w:left w:val="nil"/>
              <w:bottom w:val="single" w:sz="4" w:space="0" w:color="auto"/>
              <w:right w:val="single" w:sz="4" w:space="0" w:color="auto"/>
            </w:tcBorders>
            <w:shd w:val="clear" w:color="auto" w:fill="auto"/>
            <w:hideMark/>
          </w:tcPr>
          <w:p w14:paraId="345E61E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Fraud, Billing Errors, Misreporting, Tax Evasion, Corruption</w:t>
            </w:r>
          </w:p>
        </w:tc>
        <w:tc>
          <w:tcPr>
            <w:tcW w:w="568" w:type="pct"/>
            <w:tcBorders>
              <w:top w:val="nil"/>
              <w:left w:val="nil"/>
              <w:bottom w:val="single" w:sz="4" w:space="0" w:color="auto"/>
              <w:right w:val="single" w:sz="4" w:space="0" w:color="auto"/>
            </w:tcBorders>
            <w:shd w:val="clear" w:color="auto" w:fill="auto"/>
            <w:hideMark/>
          </w:tcPr>
          <w:p w14:paraId="23DD8F7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Inefficiencies in Operations, Resource Misallocation, System Failures</w:t>
            </w:r>
          </w:p>
        </w:tc>
        <w:tc>
          <w:tcPr>
            <w:tcW w:w="568" w:type="pct"/>
            <w:tcBorders>
              <w:top w:val="nil"/>
              <w:left w:val="nil"/>
              <w:bottom w:val="single" w:sz="4" w:space="0" w:color="auto"/>
              <w:right w:val="single" w:sz="4" w:space="0" w:color="auto"/>
            </w:tcBorders>
            <w:shd w:val="clear" w:color="auto" w:fill="auto"/>
            <w:hideMark/>
          </w:tcPr>
          <w:p w14:paraId="05D6825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Fraud, Billing Errors, Misreporting, Operational Inefficiencies, System Failures</w:t>
            </w:r>
          </w:p>
        </w:tc>
        <w:tc>
          <w:tcPr>
            <w:tcW w:w="974" w:type="pct"/>
            <w:tcBorders>
              <w:top w:val="nil"/>
              <w:left w:val="nil"/>
              <w:bottom w:val="single" w:sz="4" w:space="0" w:color="auto"/>
              <w:right w:val="single" w:sz="4" w:space="0" w:color="auto"/>
            </w:tcBorders>
            <w:shd w:val="clear" w:color="auto" w:fill="auto"/>
            <w:hideMark/>
          </w:tcPr>
          <w:p w14:paraId="1152BB2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Slemrod (1991), Satsangi (1977), Barkoczy (2000), Poddar (1988), Strange (2003), Eccleston (2007), Slemrod (2010), Devos (2013), Khan (2007).</w:t>
            </w:r>
          </w:p>
        </w:tc>
      </w:tr>
      <w:tr w:rsidR="00241ACB" w:rsidRPr="006B2F60" w14:paraId="721D7599" w14:textId="77777777" w:rsidTr="00DE3143">
        <w:trPr>
          <w:trHeight w:val="1100"/>
        </w:trPr>
        <w:tc>
          <w:tcPr>
            <w:tcW w:w="502" w:type="pct"/>
            <w:tcBorders>
              <w:top w:val="nil"/>
              <w:left w:val="single" w:sz="4" w:space="0" w:color="auto"/>
              <w:bottom w:val="single" w:sz="4" w:space="0" w:color="auto"/>
              <w:right w:val="single" w:sz="4" w:space="0" w:color="auto"/>
            </w:tcBorders>
            <w:shd w:val="clear" w:color="auto" w:fill="auto"/>
            <w:hideMark/>
          </w:tcPr>
          <w:p w14:paraId="560324D5"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2nd Layer (Sector-Specific)</w:t>
            </w:r>
          </w:p>
        </w:tc>
        <w:tc>
          <w:tcPr>
            <w:tcW w:w="623" w:type="pct"/>
            <w:tcBorders>
              <w:top w:val="nil"/>
              <w:left w:val="nil"/>
              <w:bottom w:val="single" w:sz="4" w:space="0" w:color="auto"/>
              <w:right w:val="single" w:sz="4" w:space="0" w:color="auto"/>
            </w:tcBorders>
            <w:shd w:val="clear" w:color="auto" w:fill="auto"/>
            <w:hideMark/>
          </w:tcPr>
          <w:p w14:paraId="51A8D4CC"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7510 - Central Government Administration</w:t>
            </w:r>
          </w:p>
        </w:tc>
        <w:tc>
          <w:tcPr>
            <w:tcW w:w="1197" w:type="pct"/>
            <w:tcBorders>
              <w:top w:val="nil"/>
              <w:left w:val="nil"/>
              <w:bottom w:val="single" w:sz="4" w:space="0" w:color="auto"/>
              <w:right w:val="single" w:sz="4" w:space="0" w:color="auto"/>
            </w:tcBorders>
            <w:shd w:val="clear" w:color="auto" w:fill="auto"/>
            <w:hideMark/>
          </w:tcPr>
          <w:p w14:paraId="54F872A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RL in this sector refers to the loss of tax revenues due to inefficiencies in tax collection, tax evasion and avoidance, jurisdictional challenges, and corruption.</w:t>
            </w:r>
          </w:p>
        </w:tc>
        <w:tc>
          <w:tcPr>
            <w:tcW w:w="568" w:type="pct"/>
            <w:tcBorders>
              <w:top w:val="nil"/>
              <w:left w:val="nil"/>
              <w:bottom w:val="single" w:sz="4" w:space="0" w:color="auto"/>
              <w:right w:val="single" w:sz="4" w:space="0" w:color="auto"/>
            </w:tcBorders>
            <w:shd w:val="clear" w:color="auto" w:fill="auto"/>
            <w:hideMark/>
          </w:tcPr>
          <w:p w14:paraId="5A530A4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Tax Evasion, Tax Avoidance, Corruption, Jurisdictional Challenges, Cross-Border Tax Shifting</w:t>
            </w:r>
          </w:p>
        </w:tc>
        <w:tc>
          <w:tcPr>
            <w:tcW w:w="568" w:type="pct"/>
            <w:tcBorders>
              <w:top w:val="nil"/>
              <w:left w:val="nil"/>
              <w:bottom w:val="single" w:sz="4" w:space="0" w:color="auto"/>
              <w:right w:val="single" w:sz="4" w:space="0" w:color="auto"/>
            </w:tcBorders>
            <w:shd w:val="clear" w:color="auto" w:fill="auto"/>
            <w:hideMark/>
          </w:tcPr>
          <w:p w14:paraId="3EBEBDB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Inefficiencies in Tax Systems, Mismanagement, Tax Law Abuse</w:t>
            </w:r>
          </w:p>
        </w:tc>
        <w:tc>
          <w:tcPr>
            <w:tcW w:w="568" w:type="pct"/>
            <w:tcBorders>
              <w:top w:val="nil"/>
              <w:left w:val="nil"/>
              <w:bottom w:val="single" w:sz="4" w:space="0" w:color="auto"/>
              <w:right w:val="single" w:sz="4" w:space="0" w:color="auto"/>
            </w:tcBorders>
            <w:shd w:val="clear" w:color="auto" w:fill="auto"/>
            <w:hideMark/>
          </w:tcPr>
          <w:p w14:paraId="36818AA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Tax Evasion and Avoidance, Corruption, Inefficiencies in Tax Systems, Jurisdictional Challenges, Cross-Border Tax Shifting</w:t>
            </w:r>
          </w:p>
        </w:tc>
        <w:tc>
          <w:tcPr>
            <w:tcW w:w="974" w:type="pct"/>
            <w:tcBorders>
              <w:top w:val="nil"/>
              <w:left w:val="nil"/>
              <w:bottom w:val="single" w:sz="4" w:space="0" w:color="auto"/>
              <w:right w:val="single" w:sz="4" w:space="0" w:color="auto"/>
            </w:tcBorders>
            <w:shd w:val="clear" w:color="auto" w:fill="auto"/>
            <w:hideMark/>
          </w:tcPr>
          <w:p w14:paraId="22B0C25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Poddar (1988), Slemrod (1991), Barkoczy (2000), Jenkins and Kuo (2000), Evans (2002), Strange (2003), Vijayakumar et al. (2005), Eccleston (2007), Khan (2007), Slemrod (2010), Devos (2013), Dimakou (2013), Schlenther (2013).</w:t>
            </w:r>
          </w:p>
        </w:tc>
      </w:tr>
      <w:tr w:rsidR="00241ACB" w:rsidRPr="006B2F60" w14:paraId="0A47E1A2" w14:textId="77777777" w:rsidTr="00DE3143">
        <w:trPr>
          <w:trHeight w:val="1320"/>
        </w:trPr>
        <w:tc>
          <w:tcPr>
            <w:tcW w:w="502" w:type="pct"/>
            <w:tcBorders>
              <w:top w:val="nil"/>
              <w:left w:val="single" w:sz="4" w:space="0" w:color="auto"/>
              <w:bottom w:val="single" w:sz="4" w:space="0" w:color="auto"/>
              <w:right w:val="single" w:sz="4" w:space="0" w:color="auto"/>
            </w:tcBorders>
            <w:shd w:val="clear" w:color="auto" w:fill="auto"/>
            <w:hideMark/>
          </w:tcPr>
          <w:p w14:paraId="6F356C89"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2nd Layer (Sector-Specific)</w:t>
            </w:r>
          </w:p>
        </w:tc>
        <w:tc>
          <w:tcPr>
            <w:tcW w:w="623" w:type="pct"/>
            <w:tcBorders>
              <w:top w:val="nil"/>
              <w:left w:val="nil"/>
              <w:bottom w:val="single" w:sz="4" w:space="0" w:color="auto"/>
              <w:right w:val="single" w:sz="4" w:space="0" w:color="auto"/>
            </w:tcBorders>
            <w:shd w:val="clear" w:color="auto" w:fill="auto"/>
            <w:hideMark/>
          </w:tcPr>
          <w:p w14:paraId="6F91AAA5"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7520 - State Government Administration</w:t>
            </w:r>
          </w:p>
        </w:tc>
        <w:tc>
          <w:tcPr>
            <w:tcW w:w="1197" w:type="pct"/>
            <w:tcBorders>
              <w:top w:val="nil"/>
              <w:left w:val="nil"/>
              <w:bottom w:val="single" w:sz="4" w:space="0" w:color="auto"/>
              <w:right w:val="single" w:sz="4" w:space="0" w:color="auto"/>
            </w:tcBorders>
            <w:shd w:val="clear" w:color="auto" w:fill="auto"/>
            <w:hideMark/>
          </w:tcPr>
          <w:p w14:paraId="424C64E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RL in this sector refers to the loss of revenue due to inefficiencies in tax collection, cross-border smuggling, tax evasion, and regulatory challenges.</w:t>
            </w:r>
          </w:p>
        </w:tc>
        <w:tc>
          <w:tcPr>
            <w:tcW w:w="568" w:type="pct"/>
            <w:tcBorders>
              <w:top w:val="nil"/>
              <w:left w:val="nil"/>
              <w:bottom w:val="single" w:sz="4" w:space="0" w:color="auto"/>
              <w:right w:val="single" w:sz="4" w:space="0" w:color="auto"/>
            </w:tcBorders>
            <w:shd w:val="clear" w:color="auto" w:fill="auto"/>
            <w:hideMark/>
          </w:tcPr>
          <w:p w14:paraId="07C8514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Tax Evasion, Smuggling, Inefficiencies in Tax Collection, Regulatory Challenges, Internal Control Issues</w:t>
            </w:r>
          </w:p>
        </w:tc>
        <w:tc>
          <w:tcPr>
            <w:tcW w:w="568" w:type="pct"/>
            <w:tcBorders>
              <w:top w:val="nil"/>
              <w:left w:val="nil"/>
              <w:bottom w:val="single" w:sz="4" w:space="0" w:color="auto"/>
              <w:right w:val="single" w:sz="4" w:space="0" w:color="auto"/>
            </w:tcBorders>
            <w:shd w:val="clear" w:color="auto" w:fill="auto"/>
            <w:hideMark/>
          </w:tcPr>
          <w:p w14:paraId="2AE2FCB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Fiscal Imbalances, Revenue Misallocation, Inefficiencies in Toll Systems</w:t>
            </w:r>
          </w:p>
        </w:tc>
        <w:tc>
          <w:tcPr>
            <w:tcW w:w="568" w:type="pct"/>
            <w:tcBorders>
              <w:top w:val="nil"/>
              <w:left w:val="nil"/>
              <w:bottom w:val="single" w:sz="4" w:space="0" w:color="auto"/>
              <w:right w:val="single" w:sz="4" w:space="0" w:color="auto"/>
            </w:tcBorders>
            <w:shd w:val="clear" w:color="auto" w:fill="auto"/>
            <w:hideMark/>
          </w:tcPr>
          <w:p w14:paraId="6104DB5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Tax Evasion, Smuggling, Regulatory Challenges, Internal Control Issues</w:t>
            </w:r>
          </w:p>
        </w:tc>
        <w:tc>
          <w:tcPr>
            <w:tcW w:w="974" w:type="pct"/>
            <w:tcBorders>
              <w:top w:val="nil"/>
              <w:left w:val="nil"/>
              <w:bottom w:val="single" w:sz="4" w:space="0" w:color="auto"/>
              <w:right w:val="single" w:sz="4" w:space="0" w:color="auto"/>
            </w:tcBorders>
            <w:shd w:val="clear" w:color="auto" w:fill="auto"/>
            <w:hideMark/>
          </w:tcPr>
          <w:p w14:paraId="12600FB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Goel and Nelson (2007), Haley (2010), Berry (2011), Sargent and Holmes (2014), Komen and Ngahu (2023), Nicholson et al. (2016), Piracha and Moore (2016), Goel and Saunoris (2019), Borbely (2021), Bandi et al. (2023), Chepkonga and Mbirithi (2023).</w:t>
            </w:r>
          </w:p>
        </w:tc>
      </w:tr>
      <w:tr w:rsidR="00241ACB" w:rsidRPr="006B2F60" w14:paraId="71C66DBF" w14:textId="77777777" w:rsidTr="00DE3143">
        <w:trPr>
          <w:trHeight w:val="1320"/>
        </w:trPr>
        <w:tc>
          <w:tcPr>
            <w:tcW w:w="502" w:type="pct"/>
            <w:tcBorders>
              <w:top w:val="nil"/>
              <w:left w:val="single" w:sz="4" w:space="0" w:color="auto"/>
              <w:bottom w:val="single" w:sz="4" w:space="0" w:color="auto"/>
              <w:right w:val="single" w:sz="4" w:space="0" w:color="auto"/>
            </w:tcBorders>
            <w:shd w:val="clear" w:color="auto" w:fill="auto"/>
            <w:hideMark/>
          </w:tcPr>
          <w:p w14:paraId="02A7CAE3"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2nd Layer (Sector-Specific)</w:t>
            </w:r>
          </w:p>
        </w:tc>
        <w:tc>
          <w:tcPr>
            <w:tcW w:w="623" w:type="pct"/>
            <w:tcBorders>
              <w:top w:val="nil"/>
              <w:left w:val="nil"/>
              <w:bottom w:val="single" w:sz="4" w:space="0" w:color="auto"/>
              <w:right w:val="single" w:sz="4" w:space="0" w:color="auto"/>
            </w:tcBorders>
            <w:shd w:val="clear" w:color="auto" w:fill="auto"/>
            <w:hideMark/>
          </w:tcPr>
          <w:p w14:paraId="7A1F216E"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7530 - Local Government Administration</w:t>
            </w:r>
          </w:p>
        </w:tc>
        <w:tc>
          <w:tcPr>
            <w:tcW w:w="1197" w:type="pct"/>
            <w:tcBorders>
              <w:top w:val="nil"/>
              <w:left w:val="nil"/>
              <w:bottom w:val="single" w:sz="4" w:space="0" w:color="auto"/>
              <w:right w:val="single" w:sz="4" w:space="0" w:color="auto"/>
            </w:tcBorders>
            <w:shd w:val="clear" w:color="auto" w:fill="auto"/>
            <w:hideMark/>
          </w:tcPr>
          <w:p w14:paraId="1752774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RL in this sector is due to inefficiencies in revenue collection systems, corruption, and underutilisation of resources.</w:t>
            </w:r>
          </w:p>
        </w:tc>
        <w:tc>
          <w:tcPr>
            <w:tcW w:w="568" w:type="pct"/>
            <w:tcBorders>
              <w:top w:val="nil"/>
              <w:left w:val="nil"/>
              <w:bottom w:val="single" w:sz="4" w:space="0" w:color="auto"/>
              <w:right w:val="single" w:sz="4" w:space="0" w:color="auto"/>
            </w:tcBorders>
            <w:shd w:val="clear" w:color="auto" w:fill="auto"/>
            <w:hideMark/>
          </w:tcPr>
          <w:p w14:paraId="51B74C3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Inefficiencies in Revenue Collection, Corruption, Underutilisation of Resources, Fraud</w:t>
            </w:r>
          </w:p>
        </w:tc>
        <w:tc>
          <w:tcPr>
            <w:tcW w:w="568" w:type="pct"/>
            <w:tcBorders>
              <w:top w:val="nil"/>
              <w:left w:val="nil"/>
              <w:bottom w:val="single" w:sz="4" w:space="0" w:color="auto"/>
              <w:right w:val="single" w:sz="4" w:space="0" w:color="auto"/>
            </w:tcBorders>
            <w:shd w:val="clear" w:color="auto" w:fill="auto"/>
            <w:hideMark/>
          </w:tcPr>
          <w:p w14:paraId="7FF4B1B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Manual and Cash-Based Systems, Poor Enforcement, Lack of Technology</w:t>
            </w:r>
          </w:p>
        </w:tc>
        <w:tc>
          <w:tcPr>
            <w:tcW w:w="568" w:type="pct"/>
            <w:tcBorders>
              <w:top w:val="nil"/>
              <w:left w:val="nil"/>
              <w:bottom w:val="single" w:sz="4" w:space="0" w:color="auto"/>
              <w:right w:val="single" w:sz="4" w:space="0" w:color="auto"/>
            </w:tcBorders>
            <w:shd w:val="clear" w:color="auto" w:fill="auto"/>
            <w:hideMark/>
          </w:tcPr>
          <w:p w14:paraId="6953FAA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Inefficiencies in Revenue Collection, Corruption, Fraud, Underutilisation of Resources</w:t>
            </w:r>
          </w:p>
        </w:tc>
        <w:tc>
          <w:tcPr>
            <w:tcW w:w="974" w:type="pct"/>
            <w:tcBorders>
              <w:top w:val="nil"/>
              <w:left w:val="nil"/>
              <w:bottom w:val="single" w:sz="4" w:space="0" w:color="auto"/>
              <w:right w:val="single" w:sz="4" w:space="0" w:color="auto"/>
            </w:tcBorders>
            <w:shd w:val="clear" w:color="auto" w:fill="auto"/>
            <w:hideMark/>
          </w:tcPr>
          <w:p w14:paraId="55C4964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Brueckner and Kim (2003), Ochuodho and Ngaba (2020), Chepkoech et al. (2022), Tashu and Makiva (2022), Odhiambo and Nyariki (2022), Chilunjika et al. (2023), Ombaba Kennedy and Ngugi (2023), Zaini and Yulianto (2023), Ogwang et al. (2023).</w:t>
            </w:r>
          </w:p>
        </w:tc>
      </w:tr>
      <w:tr w:rsidR="00241ACB" w:rsidRPr="006B2F60" w14:paraId="69804734" w14:textId="77777777" w:rsidTr="00DE3143">
        <w:trPr>
          <w:trHeight w:val="880"/>
        </w:trPr>
        <w:tc>
          <w:tcPr>
            <w:tcW w:w="502" w:type="pct"/>
            <w:tcBorders>
              <w:top w:val="nil"/>
              <w:left w:val="single" w:sz="4" w:space="0" w:color="auto"/>
              <w:bottom w:val="single" w:sz="4" w:space="0" w:color="auto"/>
              <w:right w:val="single" w:sz="4" w:space="0" w:color="auto"/>
            </w:tcBorders>
            <w:shd w:val="clear" w:color="auto" w:fill="auto"/>
            <w:hideMark/>
          </w:tcPr>
          <w:p w14:paraId="646D228F"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2nd Layer (Sector-Specific)</w:t>
            </w:r>
          </w:p>
        </w:tc>
        <w:tc>
          <w:tcPr>
            <w:tcW w:w="623" w:type="pct"/>
            <w:tcBorders>
              <w:top w:val="nil"/>
              <w:left w:val="nil"/>
              <w:bottom w:val="single" w:sz="4" w:space="0" w:color="auto"/>
              <w:right w:val="single" w:sz="4" w:space="0" w:color="auto"/>
            </w:tcBorders>
            <w:shd w:val="clear" w:color="auto" w:fill="auto"/>
            <w:hideMark/>
          </w:tcPr>
          <w:p w14:paraId="49D3B0A0"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5802 - Other Telecommunications Network Operation</w:t>
            </w:r>
          </w:p>
        </w:tc>
        <w:tc>
          <w:tcPr>
            <w:tcW w:w="1197" w:type="pct"/>
            <w:tcBorders>
              <w:top w:val="nil"/>
              <w:left w:val="nil"/>
              <w:bottom w:val="single" w:sz="4" w:space="0" w:color="auto"/>
              <w:right w:val="single" w:sz="4" w:space="0" w:color="auto"/>
            </w:tcBorders>
            <w:shd w:val="clear" w:color="auto" w:fill="auto"/>
            <w:hideMark/>
          </w:tcPr>
          <w:p w14:paraId="592BBA7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RL in this sector refers to losses due to inefficiencies in networks, fraud, system failures, and operational errors.</w:t>
            </w:r>
          </w:p>
        </w:tc>
        <w:tc>
          <w:tcPr>
            <w:tcW w:w="568" w:type="pct"/>
            <w:tcBorders>
              <w:top w:val="nil"/>
              <w:left w:val="nil"/>
              <w:bottom w:val="single" w:sz="4" w:space="0" w:color="auto"/>
              <w:right w:val="single" w:sz="4" w:space="0" w:color="auto"/>
            </w:tcBorders>
            <w:shd w:val="clear" w:color="auto" w:fill="auto"/>
            <w:hideMark/>
          </w:tcPr>
          <w:p w14:paraId="7D9C9CD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Fraud, Customer Churn, System Failures, Gaps in Fraud Management Systems</w:t>
            </w:r>
          </w:p>
        </w:tc>
        <w:tc>
          <w:tcPr>
            <w:tcW w:w="568" w:type="pct"/>
            <w:tcBorders>
              <w:top w:val="nil"/>
              <w:left w:val="nil"/>
              <w:bottom w:val="single" w:sz="4" w:space="0" w:color="auto"/>
              <w:right w:val="single" w:sz="4" w:space="0" w:color="auto"/>
            </w:tcBorders>
            <w:shd w:val="clear" w:color="auto" w:fill="auto"/>
            <w:hideMark/>
          </w:tcPr>
          <w:p w14:paraId="7C393CB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Unauthorized Access &amp; Licensing Issues, Operational Errors</w:t>
            </w:r>
          </w:p>
        </w:tc>
        <w:tc>
          <w:tcPr>
            <w:tcW w:w="568" w:type="pct"/>
            <w:tcBorders>
              <w:top w:val="nil"/>
              <w:left w:val="nil"/>
              <w:bottom w:val="single" w:sz="4" w:space="0" w:color="auto"/>
              <w:right w:val="single" w:sz="4" w:space="0" w:color="auto"/>
            </w:tcBorders>
            <w:shd w:val="clear" w:color="auto" w:fill="auto"/>
            <w:hideMark/>
          </w:tcPr>
          <w:p w14:paraId="3ADA3DD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Fraud, System Failures, Unauthorized Redistribution, Billing Errors, Customer Churn</w:t>
            </w:r>
          </w:p>
        </w:tc>
        <w:tc>
          <w:tcPr>
            <w:tcW w:w="974" w:type="pct"/>
            <w:tcBorders>
              <w:top w:val="nil"/>
              <w:left w:val="nil"/>
              <w:bottom w:val="single" w:sz="4" w:space="0" w:color="auto"/>
              <w:right w:val="single" w:sz="4" w:space="0" w:color="auto"/>
            </w:tcBorders>
            <w:shd w:val="clear" w:color="auto" w:fill="auto"/>
            <w:hideMark/>
          </w:tcPr>
          <w:p w14:paraId="6182944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Bella et al. (2009), Jadhav and Pawar (2011), Mohammed and Radcliffe (2013), Mushtaq and Shahid (2014), Idamakanti and Bhardwaj (2017), Tang et al. (2020).</w:t>
            </w:r>
          </w:p>
        </w:tc>
      </w:tr>
    </w:tbl>
    <w:p w14:paraId="7938920B" w14:textId="77777777" w:rsidR="00241ACB" w:rsidRPr="006B2F60" w:rsidRDefault="00241ACB" w:rsidP="00241ACB">
      <w:pPr>
        <w:rPr>
          <w:rFonts w:cstheme="minorHAnsi"/>
        </w:rPr>
      </w:pPr>
      <w:r w:rsidRPr="006B2F60">
        <w:rPr>
          <w:rFonts w:cstheme="minorHAnsi"/>
        </w:rPr>
        <w:br w:type="page"/>
      </w:r>
    </w:p>
    <w:tbl>
      <w:tblPr>
        <w:tblW w:w="5000" w:type="pct"/>
        <w:tblLook w:val="04A0" w:firstRow="1" w:lastRow="0" w:firstColumn="1" w:lastColumn="0" w:noHBand="0" w:noVBand="1"/>
      </w:tblPr>
      <w:tblGrid>
        <w:gridCol w:w="1300"/>
        <w:gridCol w:w="1614"/>
        <w:gridCol w:w="3100"/>
        <w:gridCol w:w="1471"/>
        <w:gridCol w:w="1471"/>
        <w:gridCol w:w="1471"/>
        <w:gridCol w:w="2523"/>
      </w:tblGrid>
      <w:tr w:rsidR="00241ACB" w:rsidRPr="006B2F60" w14:paraId="69497F1E" w14:textId="77777777" w:rsidTr="00DE3143">
        <w:trPr>
          <w:trHeight w:val="422"/>
        </w:trPr>
        <w:tc>
          <w:tcPr>
            <w:tcW w:w="502"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A47AF61"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lastRenderedPageBreak/>
              <w:t>Layer</w:t>
            </w:r>
          </w:p>
        </w:tc>
        <w:tc>
          <w:tcPr>
            <w:tcW w:w="623" w:type="pct"/>
            <w:tcBorders>
              <w:top w:val="single" w:sz="4" w:space="0" w:color="auto"/>
              <w:left w:val="nil"/>
              <w:bottom w:val="single" w:sz="4" w:space="0" w:color="auto"/>
              <w:right w:val="single" w:sz="4" w:space="0" w:color="auto"/>
            </w:tcBorders>
            <w:shd w:val="clear" w:color="auto" w:fill="BFBFBF" w:themeFill="background1" w:themeFillShade="BF"/>
          </w:tcPr>
          <w:p w14:paraId="7B1FC79E"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Sector (ANZSIC Code)</w:t>
            </w:r>
          </w:p>
        </w:tc>
        <w:tc>
          <w:tcPr>
            <w:tcW w:w="1197" w:type="pct"/>
            <w:tcBorders>
              <w:top w:val="single" w:sz="4" w:space="0" w:color="auto"/>
              <w:left w:val="nil"/>
              <w:bottom w:val="single" w:sz="4" w:space="0" w:color="auto"/>
              <w:right w:val="single" w:sz="4" w:space="0" w:color="auto"/>
            </w:tcBorders>
            <w:shd w:val="clear" w:color="auto" w:fill="BFBFBF" w:themeFill="background1" w:themeFillShade="BF"/>
          </w:tcPr>
          <w:p w14:paraId="0D39FF1F"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Consolidated RL Definition</w:t>
            </w:r>
          </w:p>
        </w:tc>
        <w:tc>
          <w:tcPr>
            <w:tcW w:w="568" w:type="pct"/>
            <w:tcBorders>
              <w:top w:val="single" w:sz="4" w:space="0" w:color="auto"/>
              <w:left w:val="nil"/>
              <w:bottom w:val="single" w:sz="4" w:space="0" w:color="auto"/>
              <w:right w:val="single" w:sz="4" w:space="0" w:color="auto"/>
            </w:tcBorders>
            <w:shd w:val="clear" w:color="auto" w:fill="BFBFBF" w:themeFill="background1" w:themeFillShade="BF"/>
          </w:tcPr>
          <w:p w14:paraId="04FD1285"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Explicit Causes</w:t>
            </w:r>
          </w:p>
        </w:tc>
        <w:tc>
          <w:tcPr>
            <w:tcW w:w="568" w:type="pct"/>
            <w:tcBorders>
              <w:top w:val="single" w:sz="4" w:space="0" w:color="auto"/>
              <w:left w:val="nil"/>
              <w:bottom w:val="single" w:sz="4" w:space="0" w:color="auto"/>
              <w:right w:val="single" w:sz="4" w:space="0" w:color="auto"/>
            </w:tcBorders>
            <w:shd w:val="clear" w:color="auto" w:fill="BFBFBF" w:themeFill="background1" w:themeFillShade="BF"/>
          </w:tcPr>
          <w:p w14:paraId="7BBC2C03"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Implicit Causes</w:t>
            </w:r>
          </w:p>
        </w:tc>
        <w:tc>
          <w:tcPr>
            <w:tcW w:w="568" w:type="pct"/>
            <w:tcBorders>
              <w:top w:val="single" w:sz="4" w:space="0" w:color="auto"/>
              <w:left w:val="nil"/>
              <w:bottom w:val="single" w:sz="4" w:space="0" w:color="auto"/>
              <w:right w:val="single" w:sz="4" w:space="0" w:color="auto"/>
            </w:tcBorders>
            <w:shd w:val="clear" w:color="auto" w:fill="BFBFBF" w:themeFill="background1" w:themeFillShade="BF"/>
          </w:tcPr>
          <w:p w14:paraId="7CF17C07"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Sub Codes</w:t>
            </w:r>
          </w:p>
        </w:tc>
        <w:tc>
          <w:tcPr>
            <w:tcW w:w="974" w:type="pct"/>
            <w:tcBorders>
              <w:top w:val="single" w:sz="4" w:space="0" w:color="auto"/>
              <w:left w:val="nil"/>
              <w:bottom w:val="single" w:sz="4" w:space="0" w:color="auto"/>
              <w:right w:val="single" w:sz="4" w:space="0" w:color="auto"/>
            </w:tcBorders>
            <w:shd w:val="clear" w:color="auto" w:fill="BFBFBF" w:themeFill="background1" w:themeFillShade="BF"/>
          </w:tcPr>
          <w:p w14:paraId="57300C0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Supporting Citations with References</w:t>
            </w:r>
          </w:p>
        </w:tc>
      </w:tr>
      <w:tr w:rsidR="00241ACB" w:rsidRPr="006B2F60" w14:paraId="3E27EF11" w14:textId="77777777" w:rsidTr="00DE3143">
        <w:trPr>
          <w:trHeight w:val="880"/>
        </w:trPr>
        <w:tc>
          <w:tcPr>
            <w:tcW w:w="502" w:type="pct"/>
            <w:tcBorders>
              <w:top w:val="nil"/>
              <w:left w:val="single" w:sz="4" w:space="0" w:color="auto"/>
              <w:bottom w:val="single" w:sz="4" w:space="0" w:color="auto"/>
              <w:right w:val="single" w:sz="4" w:space="0" w:color="auto"/>
            </w:tcBorders>
            <w:shd w:val="clear" w:color="auto" w:fill="auto"/>
            <w:hideMark/>
          </w:tcPr>
          <w:p w14:paraId="439E8C4C"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2nd Layer (Sector-Specific)</w:t>
            </w:r>
          </w:p>
        </w:tc>
        <w:tc>
          <w:tcPr>
            <w:tcW w:w="623" w:type="pct"/>
            <w:tcBorders>
              <w:top w:val="nil"/>
              <w:left w:val="nil"/>
              <w:bottom w:val="single" w:sz="4" w:space="0" w:color="auto"/>
              <w:right w:val="single" w:sz="4" w:space="0" w:color="auto"/>
            </w:tcBorders>
            <w:shd w:val="clear" w:color="auto" w:fill="auto"/>
            <w:hideMark/>
          </w:tcPr>
          <w:p w14:paraId="347916C1"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8401 - Hospitals (Except Psychiatric Hospitals)</w:t>
            </w:r>
          </w:p>
        </w:tc>
        <w:tc>
          <w:tcPr>
            <w:tcW w:w="1197" w:type="pct"/>
            <w:tcBorders>
              <w:top w:val="nil"/>
              <w:left w:val="nil"/>
              <w:bottom w:val="single" w:sz="4" w:space="0" w:color="auto"/>
              <w:right w:val="single" w:sz="4" w:space="0" w:color="auto"/>
            </w:tcBorders>
            <w:shd w:val="clear" w:color="auto" w:fill="auto"/>
            <w:hideMark/>
          </w:tcPr>
          <w:p w14:paraId="246AA71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RL in Hospitals arises from errors in charging, improper documentation, inefficiencies in administrative processes, and discrepancies in billed vs. actual revenue.</w:t>
            </w:r>
          </w:p>
        </w:tc>
        <w:tc>
          <w:tcPr>
            <w:tcW w:w="568" w:type="pct"/>
            <w:tcBorders>
              <w:top w:val="nil"/>
              <w:left w:val="nil"/>
              <w:bottom w:val="single" w:sz="4" w:space="0" w:color="auto"/>
              <w:right w:val="single" w:sz="4" w:space="0" w:color="auto"/>
            </w:tcBorders>
            <w:shd w:val="clear" w:color="auto" w:fill="auto"/>
            <w:hideMark/>
          </w:tcPr>
          <w:p w14:paraId="2A998B1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Charging Errors, Uncollected Revenue, Claim Denials, Billing Errors, Fraud</w:t>
            </w:r>
          </w:p>
        </w:tc>
        <w:tc>
          <w:tcPr>
            <w:tcW w:w="568" w:type="pct"/>
            <w:tcBorders>
              <w:top w:val="nil"/>
              <w:left w:val="nil"/>
              <w:bottom w:val="single" w:sz="4" w:space="0" w:color="auto"/>
              <w:right w:val="single" w:sz="4" w:space="0" w:color="auto"/>
            </w:tcBorders>
            <w:shd w:val="clear" w:color="auto" w:fill="auto"/>
            <w:hideMark/>
          </w:tcPr>
          <w:p w14:paraId="5F7A4B8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Inefficiencies in Documentation, Claim Denials, Fraud, Operational Inefficiencies</w:t>
            </w:r>
          </w:p>
        </w:tc>
        <w:tc>
          <w:tcPr>
            <w:tcW w:w="568" w:type="pct"/>
            <w:tcBorders>
              <w:top w:val="nil"/>
              <w:left w:val="nil"/>
              <w:bottom w:val="single" w:sz="4" w:space="0" w:color="auto"/>
              <w:right w:val="single" w:sz="4" w:space="0" w:color="auto"/>
            </w:tcBorders>
            <w:shd w:val="clear" w:color="auto" w:fill="auto"/>
            <w:hideMark/>
          </w:tcPr>
          <w:p w14:paraId="71B1114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Charging Errors, Uncollected Revenue, Billing Errors, Claim Denials, Fraud</w:t>
            </w:r>
          </w:p>
        </w:tc>
        <w:tc>
          <w:tcPr>
            <w:tcW w:w="974" w:type="pct"/>
            <w:tcBorders>
              <w:top w:val="nil"/>
              <w:left w:val="nil"/>
              <w:bottom w:val="single" w:sz="4" w:space="0" w:color="auto"/>
              <w:right w:val="single" w:sz="4" w:space="0" w:color="auto"/>
            </w:tcBorders>
            <w:shd w:val="clear" w:color="auto" w:fill="auto"/>
            <w:hideMark/>
          </w:tcPr>
          <w:p w14:paraId="30F18FD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Pan and Chou (2011), Mindel and Mathiassen (2015), Benson-Iyare and Soriyan (2018), Kilanko (2023), Rodgers et al. (2023).</w:t>
            </w:r>
          </w:p>
        </w:tc>
      </w:tr>
      <w:tr w:rsidR="00241ACB" w:rsidRPr="006B2F60" w14:paraId="08DA43DC" w14:textId="77777777" w:rsidTr="00DE3143">
        <w:trPr>
          <w:trHeight w:val="1100"/>
        </w:trPr>
        <w:tc>
          <w:tcPr>
            <w:tcW w:w="502" w:type="pct"/>
            <w:tcBorders>
              <w:top w:val="nil"/>
              <w:left w:val="single" w:sz="4" w:space="0" w:color="auto"/>
              <w:bottom w:val="single" w:sz="4" w:space="0" w:color="auto"/>
              <w:right w:val="single" w:sz="4" w:space="0" w:color="auto"/>
            </w:tcBorders>
            <w:shd w:val="clear" w:color="auto" w:fill="auto"/>
            <w:hideMark/>
          </w:tcPr>
          <w:p w14:paraId="1D0B2F5A"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2nd Layer (Sector-Specific)</w:t>
            </w:r>
          </w:p>
        </w:tc>
        <w:tc>
          <w:tcPr>
            <w:tcW w:w="623" w:type="pct"/>
            <w:tcBorders>
              <w:top w:val="nil"/>
              <w:left w:val="nil"/>
              <w:bottom w:val="single" w:sz="4" w:space="0" w:color="auto"/>
              <w:right w:val="single" w:sz="4" w:space="0" w:color="auto"/>
            </w:tcBorders>
            <w:shd w:val="clear" w:color="auto" w:fill="auto"/>
            <w:hideMark/>
          </w:tcPr>
          <w:p w14:paraId="512450CF"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7220 - Travel Agency and Tour Arrangement Services</w:t>
            </w:r>
          </w:p>
        </w:tc>
        <w:tc>
          <w:tcPr>
            <w:tcW w:w="1197" w:type="pct"/>
            <w:tcBorders>
              <w:top w:val="nil"/>
              <w:left w:val="nil"/>
              <w:bottom w:val="single" w:sz="4" w:space="0" w:color="auto"/>
              <w:right w:val="single" w:sz="4" w:space="0" w:color="auto"/>
            </w:tcBorders>
            <w:shd w:val="clear" w:color="auto" w:fill="auto"/>
            <w:hideMark/>
          </w:tcPr>
          <w:p w14:paraId="793CE91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RL arises when tourism revenue is diverted to non-local actors and external businesses.</w:t>
            </w:r>
          </w:p>
        </w:tc>
        <w:tc>
          <w:tcPr>
            <w:tcW w:w="568" w:type="pct"/>
            <w:tcBorders>
              <w:top w:val="nil"/>
              <w:left w:val="nil"/>
              <w:bottom w:val="single" w:sz="4" w:space="0" w:color="auto"/>
              <w:right w:val="single" w:sz="4" w:space="0" w:color="auto"/>
            </w:tcBorders>
            <w:shd w:val="clear" w:color="auto" w:fill="auto"/>
            <w:hideMark/>
          </w:tcPr>
          <w:p w14:paraId="30C80E8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External Spending, Economic Leakages, Revenue Diversion, Inefficiencies in Revenue-Sharing Mechanisms</w:t>
            </w:r>
          </w:p>
        </w:tc>
        <w:tc>
          <w:tcPr>
            <w:tcW w:w="568" w:type="pct"/>
            <w:tcBorders>
              <w:top w:val="nil"/>
              <w:left w:val="nil"/>
              <w:bottom w:val="single" w:sz="4" w:space="0" w:color="auto"/>
              <w:right w:val="single" w:sz="4" w:space="0" w:color="auto"/>
            </w:tcBorders>
            <w:shd w:val="clear" w:color="auto" w:fill="auto"/>
            <w:hideMark/>
          </w:tcPr>
          <w:p w14:paraId="05E1F07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Non-local Actors, Revenue Misallocation, Governance Issues</w:t>
            </w:r>
          </w:p>
        </w:tc>
        <w:tc>
          <w:tcPr>
            <w:tcW w:w="568" w:type="pct"/>
            <w:tcBorders>
              <w:top w:val="nil"/>
              <w:left w:val="nil"/>
              <w:bottom w:val="single" w:sz="4" w:space="0" w:color="auto"/>
              <w:right w:val="single" w:sz="4" w:space="0" w:color="auto"/>
            </w:tcBorders>
            <w:shd w:val="clear" w:color="auto" w:fill="auto"/>
            <w:hideMark/>
          </w:tcPr>
          <w:p w14:paraId="47D1D6A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Revenue Diversion, External Spending, Revenue Misallocation, Governance Issues</w:t>
            </w:r>
          </w:p>
        </w:tc>
        <w:tc>
          <w:tcPr>
            <w:tcW w:w="974" w:type="pct"/>
            <w:tcBorders>
              <w:top w:val="nil"/>
              <w:left w:val="nil"/>
              <w:bottom w:val="single" w:sz="4" w:space="0" w:color="auto"/>
              <w:right w:val="single" w:sz="4" w:space="0" w:color="auto"/>
            </w:tcBorders>
            <w:shd w:val="clear" w:color="auto" w:fill="auto"/>
            <w:hideMark/>
          </w:tcPr>
          <w:p w14:paraId="58246F9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Choudhury and Goswami (2013), Mensah (2017), Radhu (2023), Hussain (2022).</w:t>
            </w:r>
          </w:p>
        </w:tc>
      </w:tr>
      <w:tr w:rsidR="00241ACB" w:rsidRPr="006B2F60" w14:paraId="69B8F402" w14:textId="77777777" w:rsidTr="00DE3143">
        <w:trPr>
          <w:trHeight w:val="880"/>
        </w:trPr>
        <w:tc>
          <w:tcPr>
            <w:tcW w:w="502" w:type="pct"/>
            <w:tcBorders>
              <w:top w:val="nil"/>
              <w:left w:val="single" w:sz="4" w:space="0" w:color="auto"/>
              <w:bottom w:val="single" w:sz="4" w:space="0" w:color="auto"/>
              <w:right w:val="single" w:sz="4" w:space="0" w:color="auto"/>
            </w:tcBorders>
            <w:shd w:val="clear" w:color="auto" w:fill="auto"/>
            <w:hideMark/>
          </w:tcPr>
          <w:p w14:paraId="386A0B64"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2nd Layer (Sector-Specific)</w:t>
            </w:r>
          </w:p>
        </w:tc>
        <w:tc>
          <w:tcPr>
            <w:tcW w:w="623" w:type="pct"/>
            <w:tcBorders>
              <w:top w:val="nil"/>
              <w:left w:val="nil"/>
              <w:bottom w:val="single" w:sz="4" w:space="0" w:color="auto"/>
              <w:right w:val="single" w:sz="4" w:space="0" w:color="auto"/>
            </w:tcBorders>
            <w:shd w:val="clear" w:color="auto" w:fill="auto"/>
            <w:hideMark/>
          </w:tcPr>
          <w:p w14:paraId="5743C535"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6221 - Banking</w:t>
            </w:r>
          </w:p>
        </w:tc>
        <w:tc>
          <w:tcPr>
            <w:tcW w:w="1197" w:type="pct"/>
            <w:tcBorders>
              <w:top w:val="nil"/>
              <w:left w:val="nil"/>
              <w:bottom w:val="single" w:sz="4" w:space="0" w:color="auto"/>
              <w:right w:val="single" w:sz="4" w:space="0" w:color="auto"/>
            </w:tcBorders>
            <w:shd w:val="clear" w:color="auto" w:fill="auto"/>
            <w:hideMark/>
          </w:tcPr>
          <w:p w14:paraId="5DF15FD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RL in Banking refers to financial losses due to inefficiencies in operations, fraud, and improper management of customer service requests.</w:t>
            </w:r>
          </w:p>
        </w:tc>
        <w:tc>
          <w:tcPr>
            <w:tcW w:w="568" w:type="pct"/>
            <w:tcBorders>
              <w:top w:val="nil"/>
              <w:left w:val="nil"/>
              <w:bottom w:val="single" w:sz="4" w:space="0" w:color="auto"/>
              <w:right w:val="single" w:sz="4" w:space="0" w:color="auto"/>
            </w:tcBorders>
            <w:shd w:val="clear" w:color="auto" w:fill="auto"/>
            <w:hideMark/>
          </w:tcPr>
          <w:p w14:paraId="0FF68FE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Inefficiencies in Operations, Fraud, Technological Failures, Digital Adoption Issues</w:t>
            </w:r>
          </w:p>
        </w:tc>
        <w:tc>
          <w:tcPr>
            <w:tcW w:w="568" w:type="pct"/>
            <w:tcBorders>
              <w:top w:val="nil"/>
              <w:left w:val="nil"/>
              <w:bottom w:val="single" w:sz="4" w:space="0" w:color="auto"/>
              <w:right w:val="single" w:sz="4" w:space="0" w:color="auto"/>
            </w:tcBorders>
            <w:shd w:val="clear" w:color="auto" w:fill="auto"/>
            <w:hideMark/>
          </w:tcPr>
          <w:p w14:paraId="00FC424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Operational Risks, E-banking Failures</w:t>
            </w:r>
          </w:p>
        </w:tc>
        <w:tc>
          <w:tcPr>
            <w:tcW w:w="568" w:type="pct"/>
            <w:tcBorders>
              <w:top w:val="nil"/>
              <w:left w:val="nil"/>
              <w:bottom w:val="single" w:sz="4" w:space="0" w:color="auto"/>
              <w:right w:val="single" w:sz="4" w:space="0" w:color="auto"/>
            </w:tcBorders>
            <w:shd w:val="clear" w:color="auto" w:fill="auto"/>
            <w:hideMark/>
          </w:tcPr>
          <w:p w14:paraId="6886723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ATM Operations, Fraudulent Transactions, Technological Failures, E-banking Issues</w:t>
            </w:r>
          </w:p>
        </w:tc>
        <w:tc>
          <w:tcPr>
            <w:tcW w:w="974" w:type="pct"/>
            <w:tcBorders>
              <w:top w:val="nil"/>
              <w:left w:val="nil"/>
              <w:bottom w:val="single" w:sz="4" w:space="0" w:color="auto"/>
              <w:right w:val="single" w:sz="4" w:space="0" w:color="auto"/>
            </w:tcBorders>
            <w:shd w:val="clear" w:color="auto" w:fill="auto"/>
            <w:hideMark/>
          </w:tcPr>
          <w:p w14:paraId="08D836B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Yauri and Yauri (2016), Andrabi and Brindha (2021), Bouteraa et al. (2023).</w:t>
            </w:r>
          </w:p>
        </w:tc>
      </w:tr>
      <w:tr w:rsidR="00241ACB" w:rsidRPr="006B2F60" w14:paraId="44AE8532" w14:textId="77777777" w:rsidTr="00DE3143">
        <w:trPr>
          <w:trHeight w:val="1100"/>
        </w:trPr>
        <w:tc>
          <w:tcPr>
            <w:tcW w:w="502" w:type="pct"/>
            <w:tcBorders>
              <w:top w:val="nil"/>
              <w:left w:val="single" w:sz="4" w:space="0" w:color="auto"/>
              <w:bottom w:val="single" w:sz="4" w:space="0" w:color="auto"/>
              <w:right w:val="single" w:sz="4" w:space="0" w:color="auto"/>
            </w:tcBorders>
            <w:shd w:val="clear" w:color="auto" w:fill="auto"/>
            <w:hideMark/>
          </w:tcPr>
          <w:p w14:paraId="7775DA86"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2nd Layer (Sector-Specific)</w:t>
            </w:r>
          </w:p>
        </w:tc>
        <w:tc>
          <w:tcPr>
            <w:tcW w:w="623" w:type="pct"/>
            <w:tcBorders>
              <w:top w:val="nil"/>
              <w:left w:val="nil"/>
              <w:bottom w:val="single" w:sz="4" w:space="0" w:color="auto"/>
              <w:right w:val="single" w:sz="4" w:space="0" w:color="auto"/>
            </w:tcBorders>
            <w:shd w:val="clear" w:color="auto" w:fill="auto"/>
            <w:hideMark/>
          </w:tcPr>
          <w:p w14:paraId="7F4D32CC"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8102 - Higher Education</w:t>
            </w:r>
          </w:p>
        </w:tc>
        <w:tc>
          <w:tcPr>
            <w:tcW w:w="1197" w:type="pct"/>
            <w:tcBorders>
              <w:top w:val="nil"/>
              <w:left w:val="nil"/>
              <w:bottom w:val="single" w:sz="4" w:space="0" w:color="auto"/>
              <w:right w:val="single" w:sz="4" w:space="0" w:color="auto"/>
            </w:tcBorders>
            <w:shd w:val="clear" w:color="auto" w:fill="auto"/>
            <w:hideMark/>
          </w:tcPr>
          <w:p w14:paraId="4FA2C08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RL in Higher Education refers to the gap between actual and expected revenue due to misuse of funds, fraudulent activities, and operational inefficiencies.</w:t>
            </w:r>
          </w:p>
        </w:tc>
        <w:tc>
          <w:tcPr>
            <w:tcW w:w="568" w:type="pct"/>
            <w:tcBorders>
              <w:top w:val="nil"/>
              <w:left w:val="nil"/>
              <w:bottom w:val="single" w:sz="4" w:space="0" w:color="auto"/>
              <w:right w:val="single" w:sz="4" w:space="0" w:color="auto"/>
            </w:tcBorders>
            <w:shd w:val="clear" w:color="auto" w:fill="auto"/>
            <w:hideMark/>
          </w:tcPr>
          <w:p w14:paraId="31C0139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Misuse of Funds, Fraudulent Activities, Operational Inefficiencies, Misappropriation of Revenues</w:t>
            </w:r>
          </w:p>
        </w:tc>
        <w:tc>
          <w:tcPr>
            <w:tcW w:w="568" w:type="pct"/>
            <w:tcBorders>
              <w:top w:val="nil"/>
              <w:left w:val="nil"/>
              <w:bottom w:val="single" w:sz="4" w:space="0" w:color="auto"/>
              <w:right w:val="single" w:sz="4" w:space="0" w:color="auto"/>
            </w:tcBorders>
            <w:shd w:val="clear" w:color="auto" w:fill="auto"/>
            <w:hideMark/>
          </w:tcPr>
          <w:p w14:paraId="30BB816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Financial Mismanagement, Lack of Forensic Accounting</w:t>
            </w:r>
          </w:p>
        </w:tc>
        <w:tc>
          <w:tcPr>
            <w:tcW w:w="568" w:type="pct"/>
            <w:tcBorders>
              <w:top w:val="nil"/>
              <w:left w:val="nil"/>
              <w:bottom w:val="single" w:sz="4" w:space="0" w:color="auto"/>
              <w:right w:val="single" w:sz="4" w:space="0" w:color="auto"/>
            </w:tcBorders>
            <w:shd w:val="clear" w:color="auto" w:fill="auto"/>
            <w:hideMark/>
          </w:tcPr>
          <w:p w14:paraId="24615E6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Fund Misallocation, Misuse of Funds, Fraudulent Activities, Operational Inefficiencies</w:t>
            </w:r>
          </w:p>
        </w:tc>
        <w:tc>
          <w:tcPr>
            <w:tcW w:w="974" w:type="pct"/>
            <w:tcBorders>
              <w:top w:val="nil"/>
              <w:left w:val="nil"/>
              <w:bottom w:val="single" w:sz="4" w:space="0" w:color="auto"/>
              <w:right w:val="single" w:sz="4" w:space="0" w:color="auto"/>
            </w:tcBorders>
            <w:shd w:val="clear" w:color="auto" w:fill="auto"/>
            <w:hideMark/>
          </w:tcPr>
          <w:p w14:paraId="466FA8E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Milaham and Milaham (2020), Mbasiti et al. (2021).</w:t>
            </w:r>
          </w:p>
        </w:tc>
      </w:tr>
      <w:tr w:rsidR="00241ACB" w:rsidRPr="006B2F60" w14:paraId="2E352BC5" w14:textId="77777777" w:rsidTr="00DE3143">
        <w:trPr>
          <w:trHeight w:val="660"/>
        </w:trPr>
        <w:tc>
          <w:tcPr>
            <w:tcW w:w="502" w:type="pct"/>
            <w:tcBorders>
              <w:top w:val="nil"/>
              <w:left w:val="single" w:sz="4" w:space="0" w:color="auto"/>
              <w:bottom w:val="single" w:sz="4" w:space="0" w:color="auto"/>
              <w:right w:val="single" w:sz="4" w:space="0" w:color="auto"/>
            </w:tcBorders>
            <w:shd w:val="clear" w:color="auto" w:fill="auto"/>
            <w:hideMark/>
          </w:tcPr>
          <w:p w14:paraId="7638B79C"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2nd Layer (Sector-Specific)</w:t>
            </w:r>
          </w:p>
        </w:tc>
        <w:tc>
          <w:tcPr>
            <w:tcW w:w="623" w:type="pct"/>
            <w:tcBorders>
              <w:top w:val="nil"/>
              <w:left w:val="nil"/>
              <w:bottom w:val="single" w:sz="4" w:space="0" w:color="auto"/>
              <w:right w:val="single" w:sz="4" w:space="0" w:color="auto"/>
            </w:tcBorders>
            <w:shd w:val="clear" w:color="auto" w:fill="auto"/>
            <w:hideMark/>
          </w:tcPr>
          <w:p w14:paraId="78E8E3D0"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4400 - Accommodation</w:t>
            </w:r>
          </w:p>
        </w:tc>
        <w:tc>
          <w:tcPr>
            <w:tcW w:w="1197" w:type="pct"/>
            <w:tcBorders>
              <w:top w:val="nil"/>
              <w:left w:val="nil"/>
              <w:bottom w:val="single" w:sz="4" w:space="0" w:color="auto"/>
              <w:right w:val="single" w:sz="4" w:space="0" w:color="auto"/>
            </w:tcBorders>
            <w:shd w:val="clear" w:color="auto" w:fill="auto"/>
            <w:hideMark/>
          </w:tcPr>
          <w:p w14:paraId="1978A46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RL in Accommodation refers to losses from inefficiencies in internal control systems, weak communication, and inadequate risk assessments.</w:t>
            </w:r>
          </w:p>
        </w:tc>
        <w:tc>
          <w:tcPr>
            <w:tcW w:w="568" w:type="pct"/>
            <w:tcBorders>
              <w:top w:val="nil"/>
              <w:left w:val="nil"/>
              <w:bottom w:val="single" w:sz="4" w:space="0" w:color="auto"/>
              <w:right w:val="single" w:sz="4" w:space="0" w:color="auto"/>
            </w:tcBorders>
            <w:shd w:val="clear" w:color="auto" w:fill="auto"/>
            <w:hideMark/>
          </w:tcPr>
          <w:p w14:paraId="4448481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Inefficiencies in Internal Controls, Revenue Management Complexities</w:t>
            </w:r>
          </w:p>
        </w:tc>
        <w:tc>
          <w:tcPr>
            <w:tcW w:w="568" w:type="pct"/>
            <w:tcBorders>
              <w:top w:val="nil"/>
              <w:left w:val="nil"/>
              <w:bottom w:val="single" w:sz="4" w:space="0" w:color="auto"/>
              <w:right w:val="single" w:sz="4" w:space="0" w:color="auto"/>
            </w:tcBorders>
            <w:shd w:val="clear" w:color="auto" w:fill="auto"/>
            <w:hideMark/>
          </w:tcPr>
          <w:p w14:paraId="2403063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Weak Communication Systems, Inadequate Risk Assessments.</w:t>
            </w:r>
          </w:p>
        </w:tc>
        <w:tc>
          <w:tcPr>
            <w:tcW w:w="568" w:type="pct"/>
            <w:tcBorders>
              <w:top w:val="nil"/>
              <w:left w:val="nil"/>
              <w:bottom w:val="single" w:sz="4" w:space="0" w:color="auto"/>
              <w:right w:val="single" w:sz="4" w:space="0" w:color="auto"/>
            </w:tcBorders>
            <w:shd w:val="clear" w:color="auto" w:fill="auto"/>
            <w:hideMark/>
          </w:tcPr>
          <w:p w14:paraId="2312D7C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Operational Mismanagement, Fraud.</w:t>
            </w:r>
          </w:p>
        </w:tc>
        <w:tc>
          <w:tcPr>
            <w:tcW w:w="974" w:type="pct"/>
            <w:tcBorders>
              <w:top w:val="nil"/>
              <w:left w:val="nil"/>
              <w:bottom w:val="single" w:sz="4" w:space="0" w:color="auto"/>
              <w:right w:val="single" w:sz="4" w:space="0" w:color="auto"/>
            </w:tcBorders>
            <w:shd w:val="clear" w:color="auto" w:fill="auto"/>
            <w:hideMark/>
          </w:tcPr>
          <w:p w14:paraId="24ECDF0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Musango and Rusibana (2021), Biswas and Pal (2023).</w:t>
            </w:r>
          </w:p>
        </w:tc>
      </w:tr>
      <w:tr w:rsidR="00241ACB" w:rsidRPr="006B2F60" w14:paraId="781DDC35" w14:textId="77777777" w:rsidTr="00DE3143">
        <w:trPr>
          <w:trHeight w:val="660"/>
        </w:trPr>
        <w:tc>
          <w:tcPr>
            <w:tcW w:w="502" w:type="pct"/>
            <w:tcBorders>
              <w:top w:val="nil"/>
              <w:left w:val="single" w:sz="4" w:space="0" w:color="auto"/>
              <w:bottom w:val="single" w:sz="4" w:space="0" w:color="auto"/>
              <w:right w:val="single" w:sz="4" w:space="0" w:color="auto"/>
            </w:tcBorders>
            <w:shd w:val="clear" w:color="auto" w:fill="auto"/>
            <w:hideMark/>
          </w:tcPr>
          <w:p w14:paraId="48DCF3B1"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2nd Layer (Sector-Specific)</w:t>
            </w:r>
          </w:p>
        </w:tc>
        <w:tc>
          <w:tcPr>
            <w:tcW w:w="623" w:type="pct"/>
            <w:tcBorders>
              <w:top w:val="nil"/>
              <w:left w:val="nil"/>
              <w:bottom w:val="single" w:sz="4" w:space="0" w:color="auto"/>
              <w:right w:val="single" w:sz="4" w:space="0" w:color="auto"/>
            </w:tcBorders>
            <w:shd w:val="clear" w:color="auto" w:fill="auto"/>
            <w:hideMark/>
          </w:tcPr>
          <w:p w14:paraId="5F7D9FF2"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3610 - Electricity Supply</w:t>
            </w:r>
          </w:p>
        </w:tc>
        <w:tc>
          <w:tcPr>
            <w:tcW w:w="1197" w:type="pct"/>
            <w:tcBorders>
              <w:top w:val="nil"/>
              <w:left w:val="nil"/>
              <w:bottom w:val="single" w:sz="4" w:space="0" w:color="auto"/>
              <w:right w:val="single" w:sz="4" w:space="0" w:color="auto"/>
            </w:tcBorders>
            <w:shd w:val="clear" w:color="auto" w:fill="auto"/>
            <w:hideMark/>
          </w:tcPr>
          <w:p w14:paraId="716DEE2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RL in Electricity Supply refers to losses from inefficiencies in grid operations, theft, and energy distribution.</w:t>
            </w:r>
          </w:p>
        </w:tc>
        <w:tc>
          <w:tcPr>
            <w:tcW w:w="568" w:type="pct"/>
            <w:tcBorders>
              <w:top w:val="nil"/>
              <w:left w:val="nil"/>
              <w:bottom w:val="single" w:sz="4" w:space="0" w:color="auto"/>
              <w:right w:val="single" w:sz="4" w:space="0" w:color="auto"/>
            </w:tcBorders>
            <w:shd w:val="clear" w:color="auto" w:fill="auto"/>
            <w:hideMark/>
          </w:tcPr>
          <w:p w14:paraId="2156A6A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Electricity Theft, Energy Losses, Operational Inefficiencies</w:t>
            </w:r>
          </w:p>
        </w:tc>
        <w:tc>
          <w:tcPr>
            <w:tcW w:w="568" w:type="pct"/>
            <w:tcBorders>
              <w:top w:val="nil"/>
              <w:left w:val="nil"/>
              <w:bottom w:val="single" w:sz="4" w:space="0" w:color="auto"/>
              <w:right w:val="single" w:sz="4" w:space="0" w:color="auto"/>
            </w:tcBorders>
            <w:shd w:val="clear" w:color="auto" w:fill="auto"/>
            <w:hideMark/>
          </w:tcPr>
          <w:p w14:paraId="14438BE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Lack of Monitoring, Distribution Failures</w:t>
            </w:r>
          </w:p>
        </w:tc>
        <w:tc>
          <w:tcPr>
            <w:tcW w:w="568" w:type="pct"/>
            <w:tcBorders>
              <w:top w:val="nil"/>
              <w:left w:val="nil"/>
              <w:bottom w:val="single" w:sz="4" w:space="0" w:color="auto"/>
              <w:right w:val="single" w:sz="4" w:space="0" w:color="auto"/>
            </w:tcBorders>
            <w:shd w:val="clear" w:color="auto" w:fill="auto"/>
            <w:hideMark/>
          </w:tcPr>
          <w:p w14:paraId="7E5B5B8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Energy Theft, Suboptimal Grid Operations.</w:t>
            </w:r>
          </w:p>
        </w:tc>
        <w:tc>
          <w:tcPr>
            <w:tcW w:w="974" w:type="pct"/>
            <w:tcBorders>
              <w:top w:val="nil"/>
              <w:left w:val="nil"/>
              <w:bottom w:val="single" w:sz="4" w:space="0" w:color="auto"/>
              <w:right w:val="single" w:sz="4" w:space="0" w:color="auto"/>
            </w:tcBorders>
            <w:shd w:val="clear" w:color="auto" w:fill="auto"/>
            <w:hideMark/>
          </w:tcPr>
          <w:p w14:paraId="11D3743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Aslam et al. (2015), Musungwini (2016).</w:t>
            </w:r>
          </w:p>
        </w:tc>
      </w:tr>
      <w:tr w:rsidR="00241ACB" w:rsidRPr="006B2F60" w14:paraId="7B1AAA48" w14:textId="77777777" w:rsidTr="00DE3143">
        <w:trPr>
          <w:trHeight w:val="440"/>
        </w:trPr>
        <w:tc>
          <w:tcPr>
            <w:tcW w:w="502" w:type="pct"/>
            <w:tcBorders>
              <w:top w:val="nil"/>
              <w:left w:val="single" w:sz="4" w:space="0" w:color="auto"/>
              <w:bottom w:val="single" w:sz="4" w:space="0" w:color="auto"/>
              <w:right w:val="single" w:sz="4" w:space="0" w:color="auto"/>
            </w:tcBorders>
            <w:shd w:val="clear" w:color="auto" w:fill="auto"/>
            <w:hideMark/>
          </w:tcPr>
          <w:p w14:paraId="2C95DDFB"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2nd Layer (Sector-Specific)</w:t>
            </w:r>
          </w:p>
        </w:tc>
        <w:tc>
          <w:tcPr>
            <w:tcW w:w="623" w:type="pct"/>
            <w:tcBorders>
              <w:top w:val="nil"/>
              <w:left w:val="nil"/>
              <w:bottom w:val="single" w:sz="4" w:space="0" w:color="auto"/>
              <w:right w:val="single" w:sz="4" w:space="0" w:color="auto"/>
            </w:tcBorders>
            <w:shd w:val="clear" w:color="auto" w:fill="auto"/>
            <w:hideMark/>
          </w:tcPr>
          <w:p w14:paraId="0C71C26C"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5512 - Motion Picture and Video Distribution</w:t>
            </w:r>
          </w:p>
        </w:tc>
        <w:tc>
          <w:tcPr>
            <w:tcW w:w="1197" w:type="pct"/>
            <w:tcBorders>
              <w:top w:val="nil"/>
              <w:left w:val="nil"/>
              <w:bottom w:val="single" w:sz="4" w:space="0" w:color="auto"/>
              <w:right w:val="single" w:sz="4" w:space="0" w:color="auto"/>
            </w:tcBorders>
            <w:shd w:val="clear" w:color="auto" w:fill="auto"/>
            <w:hideMark/>
          </w:tcPr>
          <w:p w14:paraId="033C73B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RL in Motion Picture and Video Distribution refers to losses from inefficiencies and piracy in digital content distribution.</w:t>
            </w:r>
          </w:p>
        </w:tc>
        <w:tc>
          <w:tcPr>
            <w:tcW w:w="568" w:type="pct"/>
            <w:tcBorders>
              <w:top w:val="nil"/>
              <w:left w:val="nil"/>
              <w:bottom w:val="single" w:sz="4" w:space="0" w:color="auto"/>
              <w:right w:val="single" w:sz="4" w:space="0" w:color="auto"/>
            </w:tcBorders>
            <w:shd w:val="clear" w:color="auto" w:fill="auto"/>
            <w:hideMark/>
          </w:tcPr>
          <w:p w14:paraId="412FFC1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Piracy, Inefficiencies in Distribution</w:t>
            </w:r>
          </w:p>
        </w:tc>
        <w:tc>
          <w:tcPr>
            <w:tcW w:w="568" w:type="pct"/>
            <w:tcBorders>
              <w:top w:val="nil"/>
              <w:left w:val="nil"/>
              <w:bottom w:val="single" w:sz="4" w:space="0" w:color="auto"/>
              <w:right w:val="single" w:sz="4" w:space="0" w:color="auto"/>
            </w:tcBorders>
            <w:shd w:val="clear" w:color="auto" w:fill="auto"/>
            <w:hideMark/>
          </w:tcPr>
          <w:p w14:paraId="68E6B23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Content Protection Failures, </w:t>
            </w:r>
            <w:r w:rsidRPr="006B2F60">
              <w:rPr>
                <w:rFonts w:eastAsia="Times New Roman" w:cstheme="minorHAnsi"/>
                <w:color w:val="000000"/>
                <w:sz w:val="16"/>
                <w:szCs w:val="16"/>
                <w:lang w:eastAsia="en-GB"/>
              </w:rPr>
              <w:lastRenderedPageBreak/>
              <w:t>Distribution System Failures.</w:t>
            </w:r>
          </w:p>
        </w:tc>
        <w:tc>
          <w:tcPr>
            <w:tcW w:w="568" w:type="pct"/>
            <w:tcBorders>
              <w:top w:val="nil"/>
              <w:left w:val="nil"/>
              <w:bottom w:val="single" w:sz="4" w:space="0" w:color="auto"/>
              <w:right w:val="single" w:sz="4" w:space="0" w:color="auto"/>
            </w:tcBorders>
            <w:shd w:val="clear" w:color="auto" w:fill="auto"/>
            <w:hideMark/>
          </w:tcPr>
          <w:p w14:paraId="754F806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lastRenderedPageBreak/>
              <w:t>Unauthorized Redistribution, Operational Failures.</w:t>
            </w:r>
          </w:p>
        </w:tc>
        <w:tc>
          <w:tcPr>
            <w:tcW w:w="974" w:type="pct"/>
            <w:tcBorders>
              <w:top w:val="nil"/>
              <w:left w:val="nil"/>
              <w:bottom w:val="single" w:sz="4" w:space="0" w:color="auto"/>
              <w:right w:val="single" w:sz="4" w:space="0" w:color="auto"/>
            </w:tcBorders>
            <w:shd w:val="clear" w:color="auto" w:fill="auto"/>
            <w:hideMark/>
          </w:tcPr>
          <w:p w14:paraId="05FDF7D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White (2004).</w:t>
            </w:r>
          </w:p>
        </w:tc>
      </w:tr>
    </w:tbl>
    <w:p w14:paraId="4903738F" w14:textId="77777777" w:rsidR="00241ACB" w:rsidRPr="006B2F60" w:rsidRDefault="00241ACB" w:rsidP="00241ACB">
      <w:pPr>
        <w:rPr>
          <w:rFonts w:cstheme="minorHAnsi"/>
        </w:rPr>
      </w:pPr>
      <w:r w:rsidRPr="006B2F60">
        <w:rPr>
          <w:rFonts w:cstheme="minorHAnsi"/>
        </w:rPr>
        <w:br w:type="page"/>
      </w:r>
    </w:p>
    <w:tbl>
      <w:tblPr>
        <w:tblW w:w="5000" w:type="pct"/>
        <w:tblLook w:val="04A0" w:firstRow="1" w:lastRow="0" w:firstColumn="1" w:lastColumn="0" w:noHBand="0" w:noVBand="1"/>
      </w:tblPr>
      <w:tblGrid>
        <w:gridCol w:w="1276"/>
        <w:gridCol w:w="1758"/>
        <w:gridCol w:w="3076"/>
        <w:gridCol w:w="1447"/>
        <w:gridCol w:w="1447"/>
        <w:gridCol w:w="1447"/>
        <w:gridCol w:w="2499"/>
      </w:tblGrid>
      <w:tr w:rsidR="00241ACB" w:rsidRPr="006B2F60" w14:paraId="35D8F518" w14:textId="77777777" w:rsidTr="00DE3143">
        <w:trPr>
          <w:trHeight w:val="440"/>
        </w:trPr>
        <w:tc>
          <w:tcPr>
            <w:tcW w:w="502"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47501E7"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lastRenderedPageBreak/>
              <w:t>Layer</w:t>
            </w:r>
          </w:p>
        </w:tc>
        <w:tc>
          <w:tcPr>
            <w:tcW w:w="623" w:type="pct"/>
            <w:tcBorders>
              <w:top w:val="single" w:sz="4" w:space="0" w:color="auto"/>
              <w:left w:val="nil"/>
              <w:bottom w:val="single" w:sz="4" w:space="0" w:color="auto"/>
              <w:right w:val="single" w:sz="4" w:space="0" w:color="auto"/>
            </w:tcBorders>
            <w:shd w:val="clear" w:color="auto" w:fill="BFBFBF" w:themeFill="background1" w:themeFillShade="BF"/>
          </w:tcPr>
          <w:p w14:paraId="37D6C34D"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Sector (ANZSIC Code)</w:t>
            </w:r>
          </w:p>
        </w:tc>
        <w:tc>
          <w:tcPr>
            <w:tcW w:w="1197" w:type="pct"/>
            <w:tcBorders>
              <w:top w:val="single" w:sz="4" w:space="0" w:color="auto"/>
              <w:left w:val="nil"/>
              <w:bottom w:val="single" w:sz="4" w:space="0" w:color="auto"/>
              <w:right w:val="single" w:sz="4" w:space="0" w:color="auto"/>
            </w:tcBorders>
            <w:shd w:val="clear" w:color="auto" w:fill="BFBFBF" w:themeFill="background1" w:themeFillShade="BF"/>
          </w:tcPr>
          <w:p w14:paraId="450F2648"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Consolidated RL Definition</w:t>
            </w:r>
          </w:p>
        </w:tc>
        <w:tc>
          <w:tcPr>
            <w:tcW w:w="568" w:type="pct"/>
            <w:tcBorders>
              <w:top w:val="single" w:sz="4" w:space="0" w:color="auto"/>
              <w:left w:val="nil"/>
              <w:bottom w:val="single" w:sz="4" w:space="0" w:color="auto"/>
              <w:right w:val="single" w:sz="4" w:space="0" w:color="auto"/>
            </w:tcBorders>
            <w:shd w:val="clear" w:color="auto" w:fill="BFBFBF" w:themeFill="background1" w:themeFillShade="BF"/>
          </w:tcPr>
          <w:p w14:paraId="713C72AB"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Explicit Causes</w:t>
            </w:r>
          </w:p>
        </w:tc>
        <w:tc>
          <w:tcPr>
            <w:tcW w:w="568" w:type="pct"/>
            <w:tcBorders>
              <w:top w:val="single" w:sz="4" w:space="0" w:color="auto"/>
              <w:left w:val="nil"/>
              <w:bottom w:val="single" w:sz="4" w:space="0" w:color="auto"/>
              <w:right w:val="single" w:sz="4" w:space="0" w:color="auto"/>
            </w:tcBorders>
            <w:shd w:val="clear" w:color="auto" w:fill="BFBFBF" w:themeFill="background1" w:themeFillShade="BF"/>
          </w:tcPr>
          <w:p w14:paraId="3707F425"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Implicit Causes</w:t>
            </w:r>
          </w:p>
        </w:tc>
        <w:tc>
          <w:tcPr>
            <w:tcW w:w="568" w:type="pct"/>
            <w:tcBorders>
              <w:top w:val="single" w:sz="4" w:space="0" w:color="auto"/>
              <w:left w:val="nil"/>
              <w:bottom w:val="single" w:sz="4" w:space="0" w:color="auto"/>
              <w:right w:val="single" w:sz="4" w:space="0" w:color="auto"/>
            </w:tcBorders>
            <w:shd w:val="clear" w:color="auto" w:fill="BFBFBF" w:themeFill="background1" w:themeFillShade="BF"/>
          </w:tcPr>
          <w:p w14:paraId="472E0A2E"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Sub Codes</w:t>
            </w:r>
          </w:p>
        </w:tc>
        <w:tc>
          <w:tcPr>
            <w:tcW w:w="974" w:type="pct"/>
            <w:tcBorders>
              <w:top w:val="single" w:sz="4" w:space="0" w:color="auto"/>
              <w:left w:val="nil"/>
              <w:bottom w:val="single" w:sz="4" w:space="0" w:color="auto"/>
              <w:right w:val="single" w:sz="4" w:space="0" w:color="auto"/>
            </w:tcBorders>
            <w:shd w:val="clear" w:color="auto" w:fill="BFBFBF" w:themeFill="background1" w:themeFillShade="BF"/>
          </w:tcPr>
          <w:p w14:paraId="4C495F47"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Supporting Citations with References</w:t>
            </w:r>
          </w:p>
        </w:tc>
      </w:tr>
      <w:tr w:rsidR="00241ACB" w:rsidRPr="006B2F60" w14:paraId="127C9D72" w14:textId="77777777" w:rsidTr="00DE3143">
        <w:trPr>
          <w:trHeight w:val="440"/>
        </w:trPr>
        <w:tc>
          <w:tcPr>
            <w:tcW w:w="502" w:type="pct"/>
            <w:tcBorders>
              <w:top w:val="nil"/>
              <w:left w:val="single" w:sz="4" w:space="0" w:color="auto"/>
              <w:bottom w:val="single" w:sz="4" w:space="0" w:color="auto"/>
              <w:right w:val="single" w:sz="4" w:space="0" w:color="auto"/>
            </w:tcBorders>
            <w:shd w:val="clear" w:color="auto" w:fill="auto"/>
            <w:hideMark/>
          </w:tcPr>
          <w:p w14:paraId="5F3F6C70"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2nd Layer (Sector-Specific)</w:t>
            </w:r>
          </w:p>
        </w:tc>
        <w:tc>
          <w:tcPr>
            <w:tcW w:w="623" w:type="pct"/>
            <w:tcBorders>
              <w:top w:val="nil"/>
              <w:left w:val="nil"/>
              <w:bottom w:val="single" w:sz="4" w:space="0" w:color="auto"/>
              <w:right w:val="single" w:sz="4" w:space="0" w:color="auto"/>
            </w:tcBorders>
            <w:shd w:val="clear" w:color="auto" w:fill="auto"/>
            <w:hideMark/>
          </w:tcPr>
          <w:p w14:paraId="1F2FF2E9"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4720 - Rail Passenger Transport</w:t>
            </w:r>
          </w:p>
        </w:tc>
        <w:tc>
          <w:tcPr>
            <w:tcW w:w="1197" w:type="pct"/>
            <w:tcBorders>
              <w:top w:val="nil"/>
              <w:left w:val="nil"/>
              <w:bottom w:val="single" w:sz="4" w:space="0" w:color="auto"/>
              <w:right w:val="single" w:sz="4" w:space="0" w:color="auto"/>
            </w:tcBorders>
            <w:shd w:val="clear" w:color="auto" w:fill="auto"/>
            <w:hideMark/>
          </w:tcPr>
          <w:p w14:paraId="0D868F8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RL in Rail Passenger Transport occurs due to inefficiencies in e-ticketing, fraud, and unauthorized ticket usage.</w:t>
            </w:r>
          </w:p>
        </w:tc>
        <w:tc>
          <w:tcPr>
            <w:tcW w:w="568" w:type="pct"/>
            <w:tcBorders>
              <w:top w:val="nil"/>
              <w:left w:val="nil"/>
              <w:bottom w:val="single" w:sz="4" w:space="0" w:color="auto"/>
              <w:right w:val="single" w:sz="4" w:space="0" w:color="auto"/>
            </w:tcBorders>
            <w:shd w:val="clear" w:color="auto" w:fill="auto"/>
            <w:hideMark/>
          </w:tcPr>
          <w:p w14:paraId="7E3D722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Fraud, Unauthorized Ticket Usage, System Inefficiencies</w:t>
            </w:r>
          </w:p>
        </w:tc>
        <w:tc>
          <w:tcPr>
            <w:tcW w:w="568" w:type="pct"/>
            <w:tcBorders>
              <w:top w:val="nil"/>
              <w:left w:val="nil"/>
              <w:bottom w:val="single" w:sz="4" w:space="0" w:color="auto"/>
              <w:right w:val="single" w:sz="4" w:space="0" w:color="auto"/>
            </w:tcBorders>
            <w:shd w:val="clear" w:color="auto" w:fill="auto"/>
            <w:hideMark/>
          </w:tcPr>
          <w:p w14:paraId="1650436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Verification Failures, Ticket Tracking Issues</w:t>
            </w:r>
          </w:p>
        </w:tc>
        <w:tc>
          <w:tcPr>
            <w:tcW w:w="568" w:type="pct"/>
            <w:tcBorders>
              <w:top w:val="nil"/>
              <w:left w:val="nil"/>
              <w:bottom w:val="single" w:sz="4" w:space="0" w:color="auto"/>
              <w:right w:val="single" w:sz="4" w:space="0" w:color="auto"/>
            </w:tcBorders>
            <w:shd w:val="clear" w:color="auto" w:fill="auto"/>
            <w:hideMark/>
          </w:tcPr>
          <w:p w14:paraId="2036204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Fraudulent Ticketing, System Gaps.</w:t>
            </w:r>
          </w:p>
        </w:tc>
        <w:tc>
          <w:tcPr>
            <w:tcW w:w="974" w:type="pct"/>
            <w:tcBorders>
              <w:top w:val="nil"/>
              <w:left w:val="nil"/>
              <w:bottom w:val="single" w:sz="4" w:space="0" w:color="auto"/>
              <w:right w:val="single" w:sz="4" w:space="0" w:color="auto"/>
            </w:tcBorders>
            <w:shd w:val="clear" w:color="auto" w:fill="auto"/>
            <w:hideMark/>
          </w:tcPr>
          <w:p w14:paraId="5781328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Ng-Kruelle et al. (2006).</w:t>
            </w:r>
          </w:p>
        </w:tc>
      </w:tr>
      <w:tr w:rsidR="00241ACB" w:rsidRPr="006B2F60" w14:paraId="3B1025B2" w14:textId="77777777" w:rsidTr="00DE3143">
        <w:trPr>
          <w:trHeight w:val="660"/>
        </w:trPr>
        <w:tc>
          <w:tcPr>
            <w:tcW w:w="502" w:type="pct"/>
            <w:tcBorders>
              <w:top w:val="nil"/>
              <w:left w:val="single" w:sz="4" w:space="0" w:color="auto"/>
              <w:bottom w:val="single" w:sz="4" w:space="0" w:color="auto"/>
              <w:right w:val="single" w:sz="4" w:space="0" w:color="auto"/>
            </w:tcBorders>
            <w:shd w:val="clear" w:color="auto" w:fill="auto"/>
            <w:hideMark/>
          </w:tcPr>
          <w:p w14:paraId="51B0D290"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2nd Layer (Sector-Specific)</w:t>
            </w:r>
          </w:p>
        </w:tc>
        <w:tc>
          <w:tcPr>
            <w:tcW w:w="623" w:type="pct"/>
            <w:tcBorders>
              <w:top w:val="nil"/>
              <w:left w:val="nil"/>
              <w:bottom w:val="single" w:sz="4" w:space="0" w:color="auto"/>
              <w:right w:val="single" w:sz="4" w:space="0" w:color="auto"/>
            </w:tcBorders>
            <w:shd w:val="clear" w:color="auto" w:fill="auto"/>
            <w:hideMark/>
          </w:tcPr>
          <w:p w14:paraId="078AC857"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1351 - Clothing Manufacturing</w:t>
            </w:r>
          </w:p>
        </w:tc>
        <w:tc>
          <w:tcPr>
            <w:tcW w:w="1197" w:type="pct"/>
            <w:tcBorders>
              <w:top w:val="nil"/>
              <w:left w:val="nil"/>
              <w:bottom w:val="single" w:sz="4" w:space="0" w:color="auto"/>
              <w:right w:val="single" w:sz="4" w:space="0" w:color="auto"/>
            </w:tcBorders>
            <w:shd w:val="clear" w:color="auto" w:fill="auto"/>
            <w:hideMark/>
          </w:tcPr>
          <w:p w14:paraId="723465E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RL in Clothing Manufacturing refers to losses from poor resource allocation and operational issues in the supply chain.</w:t>
            </w:r>
          </w:p>
        </w:tc>
        <w:tc>
          <w:tcPr>
            <w:tcW w:w="568" w:type="pct"/>
            <w:tcBorders>
              <w:top w:val="nil"/>
              <w:left w:val="nil"/>
              <w:bottom w:val="single" w:sz="4" w:space="0" w:color="auto"/>
              <w:right w:val="single" w:sz="4" w:space="0" w:color="auto"/>
            </w:tcBorders>
            <w:shd w:val="clear" w:color="auto" w:fill="auto"/>
            <w:hideMark/>
          </w:tcPr>
          <w:p w14:paraId="5F3646E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Poor Resource Allocation, Inefficiencies in Supply Chain</w:t>
            </w:r>
          </w:p>
        </w:tc>
        <w:tc>
          <w:tcPr>
            <w:tcW w:w="568" w:type="pct"/>
            <w:tcBorders>
              <w:top w:val="nil"/>
              <w:left w:val="nil"/>
              <w:bottom w:val="single" w:sz="4" w:space="0" w:color="auto"/>
              <w:right w:val="single" w:sz="4" w:space="0" w:color="auto"/>
            </w:tcBorders>
            <w:shd w:val="clear" w:color="auto" w:fill="auto"/>
            <w:hideMark/>
          </w:tcPr>
          <w:p w14:paraId="4049F83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Operational Issues, Delays.</w:t>
            </w:r>
          </w:p>
        </w:tc>
        <w:tc>
          <w:tcPr>
            <w:tcW w:w="568" w:type="pct"/>
            <w:tcBorders>
              <w:top w:val="nil"/>
              <w:left w:val="nil"/>
              <w:bottom w:val="single" w:sz="4" w:space="0" w:color="auto"/>
              <w:right w:val="single" w:sz="4" w:space="0" w:color="auto"/>
            </w:tcBorders>
            <w:shd w:val="clear" w:color="auto" w:fill="auto"/>
            <w:hideMark/>
          </w:tcPr>
          <w:p w14:paraId="70C4EF1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Supply Chain Mismanagement, Inefficient Resource Utilization.</w:t>
            </w:r>
          </w:p>
        </w:tc>
        <w:tc>
          <w:tcPr>
            <w:tcW w:w="974" w:type="pct"/>
            <w:tcBorders>
              <w:top w:val="nil"/>
              <w:left w:val="nil"/>
              <w:bottom w:val="single" w:sz="4" w:space="0" w:color="auto"/>
              <w:right w:val="single" w:sz="4" w:space="0" w:color="auto"/>
            </w:tcBorders>
            <w:shd w:val="clear" w:color="auto" w:fill="auto"/>
            <w:hideMark/>
          </w:tcPr>
          <w:p w14:paraId="4E15F2C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Ibrahim and Kennedy (2007).</w:t>
            </w:r>
          </w:p>
        </w:tc>
      </w:tr>
      <w:tr w:rsidR="00241ACB" w:rsidRPr="006B2F60" w14:paraId="290AC719" w14:textId="77777777" w:rsidTr="00DE3143">
        <w:trPr>
          <w:trHeight w:val="660"/>
        </w:trPr>
        <w:tc>
          <w:tcPr>
            <w:tcW w:w="502" w:type="pct"/>
            <w:tcBorders>
              <w:top w:val="nil"/>
              <w:left w:val="single" w:sz="4" w:space="0" w:color="auto"/>
              <w:bottom w:val="single" w:sz="4" w:space="0" w:color="auto"/>
              <w:right w:val="single" w:sz="4" w:space="0" w:color="auto"/>
            </w:tcBorders>
            <w:shd w:val="clear" w:color="auto" w:fill="auto"/>
            <w:hideMark/>
          </w:tcPr>
          <w:p w14:paraId="7582F03B"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2nd Layer (Sector-Specific)</w:t>
            </w:r>
          </w:p>
        </w:tc>
        <w:tc>
          <w:tcPr>
            <w:tcW w:w="623" w:type="pct"/>
            <w:tcBorders>
              <w:top w:val="nil"/>
              <w:left w:val="nil"/>
              <w:bottom w:val="single" w:sz="4" w:space="0" w:color="auto"/>
              <w:right w:val="single" w:sz="4" w:space="0" w:color="auto"/>
            </w:tcBorders>
            <w:shd w:val="clear" w:color="auto" w:fill="auto"/>
            <w:hideMark/>
          </w:tcPr>
          <w:p w14:paraId="3B470E15"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4900 - Air Passenger Transport Services</w:t>
            </w:r>
          </w:p>
        </w:tc>
        <w:tc>
          <w:tcPr>
            <w:tcW w:w="1197" w:type="pct"/>
            <w:tcBorders>
              <w:top w:val="nil"/>
              <w:left w:val="nil"/>
              <w:bottom w:val="single" w:sz="4" w:space="0" w:color="auto"/>
              <w:right w:val="single" w:sz="4" w:space="0" w:color="auto"/>
            </w:tcBorders>
            <w:shd w:val="clear" w:color="auto" w:fill="auto"/>
            <w:hideMark/>
          </w:tcPr>
          <w:p w14:paraId="2FF3FED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RL in Air Passenger Transport Services arises from customer buy-down behaviour when customers select lower-priced tickets than they are willing to pay.</w:t>
            </w:r>
          </w:p>
        </w:tc>
        <w:tc>
          <w:tcPr>
            <w:tcW w:w="568" w:type="pct"/>
            <w:tcBorders>
              <w:top w:val="nil"/>
              <w:left w:val="nil"/>
              <w:bottom w:val="single" w:sz="4" w:space="0" w:color="auto"/>
              <w:right w:val="single" w:sz="4" w:space="0" w:color="auto"/>
            </w:tcBorders>
            <w:shd w:val="clear" w:color="auto" w:fill="auto"/>
            <w:hideMark/>
          </w:tcPr>
          <w:p w14:paraId="3E84555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Customer Buy-down Behaviour</w:t>
            </w:r>
          </w:p>
        </w:tc>
        <w:tc>
          <w:tcPr>
            <w:tcW w:w="568" w:type="pct"/>
            <w:tcBorders>
              <w:top w:val="nil"/>
              <w:left w:val="nil"/>
              <w:bottom w:val="single" w:sz="4" w:space="0" w:color="auto"/>
              <w:right w:val="single" w:sz="4" w:space="0" w:color="auto"/>
            </w:tcBorders>
            <w:shd w:val="clear" w:color="auto" w:fill="auto"/>
            <w:hideMark/>
          </w:tcPr>
          <w:p w14:paraId="75CA151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w:t>
            </w:r>
          </w:p>
        </w:tc>
        <w:tc>
          <w:tcPr>
            <w:tcW w:w="568" w:type="pct"/>
            <w:tcBorders>
              <w:top w:val="nil"/>
              <w:left w:val="nil"/>
              <w:bottom w:val="single" w:sz="4" w:space="0" w:color="auto"/>
              <w:right w:val="single" w:sz="4" w:space="0" w:color="auto"/>
            </w:tcBorders>
            <w:shd w:val="clear" w:color="auto" w:fill="auto"/>
            <w:hideMark/>
          </w:tcPr>
          <w:p w14:paraId="6498C9B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w:t>
            </w:r>
          </w:p>
        </w:tc>
        <w:tc>
          <w:tcPr>
            <w:tcW w:w="974" w:type="pct"/>
            <w:tcBorders>
              <w:top w:val="nil"/>
              <w:left w:val="nil"/>
              <w:bottom w:val="single" w:sz="4" w:space="0" w:color="auto"/>
              <w:right w:val="single" w:sz="4" w:space="0" w:color="auto"/>
            </w:tcBorders>
            <w:shd w:val="clear" w:color="auto" w:fill="auto"/>
            <w:hideMark/>
          </w:tcPr>
          <w:p w14:paraId="547F0C6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Sri Vanamalla and Parthasarathy (2011).</w:t>
            </w:r>
          </w:p>
        </w:tc>
      </w:tr>
      <w:tr w:rsidR="00241ACB" w:rsidRPr="006B2F60" w14:paraId="57CDDC5E" w14:textId="77777777" w:rsidTr="00DE3143">
        <w:trPr>
          <w:trHeight w:val="660"/>
        </w:trPr>
        <w:tc>
          <w:tcPr>
            <w:tcW w:w="502" w:type="pct"/>
            <w:tcBorders>
              <w:top w:val="nil"/>
              <w:left w:val="single" w:sz="4" w:space="0" w:color="auto"/>
              <w:bottom w:val="single" w:sz="4" w:space="0" w:color="auto"/>
              <w:right w:val="single" w:sz="4" w:space="0" w:color="auto"/>
            </w:tcBorders>
            <w:shd w:val="clear" w:color="auto" w:fill="auto"/>
            <w:hideMark/>
          </w:tcPr>
          <w:p w14:paraId="1D84C61A"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2nd Layer (Sector-Specific)</w:t>
            </w:r>
          </w:p>
        </w:tc>
        <w:tc>
          <w:tcPr>
            <w:tcW w:w="623" w:type="pct"/>
            <w:tcBorders>
              <w:top w:val="nil"/>
              <w:left w:val="nil"/>
              <w:bottom w:val="single" w:sz="4" w:space="0" w:color="auto"/>
              <w:right w:val="single" w:sz="4" w:space="0" w:color="auto"/>
            </w:tcBorders>
            <w:shd w:val="clear" w:color="auto" w:fill="auto"/>
            <w:hideMark/>
          </w:tcPr>
          <w:p w14:paraId="09B099E2"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5809 - Other Telecommunications Services</w:t>
            </w:r>
          </w:p>
        </w:tc>
        <w:tc>
          <w:tcPr>
            <w:tcW w:w="1197" w:type="pct"/>
            <w:tcBorders>
              <w:top w:val="nil"/>
              <w:left w:val="nil"/>
              <w:bottom w:val="single" w:sz="4" w:space="0" w:color="auto"/>
              <w:right w:val="single" w:sz="4" w:space="0" w:color="auto"/>
            </w:tcBorders>
            <w:shd w:val="clear" w:color="auto" w:fill="auto"/>
            <w:hideMark/>
          </w:tcPr>
          <w:p w14:paraId="570C1CB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RL in Telecommunications Services arises due to piracy and unauthorized distribution of media.</w:t>
            </w:r>
          </w:p>
        </w:tc>
        <w:tc>
          <w:tcPr>
            <w:tcW w:w="568" w:type="pct"/>
            <w:tcBorders>
              <w:top w:val="nil"/>
              <w:left w:val="nil"/>
              <w:bottom w:val="single" w:sz="4" w:space="0" w:color="auto"/>
              <w:right w:val="single" w:sz="4" w:space="0" w:color="auto"/>
            </w:tcBorders>
            <w:shd w:val="clear" w:color="auto" w:fill="auto"/>
            <w:hideMark/>
          </w:tcPr>
          <w:p w14:paraId="06B55E8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Piracy, Unauthorized Distribution</w:t>
            </w:r>
          </w:p>
        </w:tc>
        <w:tc>
          <w:tcPr>
            <w:tcW w:w="568" w:type="pct"/>
            <w:tcBorders>
              <w:top w:val="nil"/>
              <w:left w:val="nil"/>
              <w:bottom w:val="single" w:sz="4" w:space="0" w:color="auto"/>
              <w:right w:val="single" w:sz="4" w:space="0" w:color="auto"/>
            </w:tcBorders>
            <w:shd w:val="clear" w:color="auto" w:fill="auto"/>
            <w:hideMark/>
          </w:tcPr>
          <w:p w14:paraId="76F7818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w:t>
            </w:r>
          </w:p>
        </w:tc>
        <w:tc>
          <w:tcPr>
            <w:tcW w:w="568" w:type="pct"/>
            <w:tcBorders>
              <w:top w:val="nil"/>
              <w:left w:val="nil"/>
              <w:bottom w:val="single" w:sz="4" w:space="0" w:color="auto"/>
              <w:right w:val="single" w:sz="4" w:space="0" w:color="auto"/>
            </w:tcBorders>
            <w:shd w:val="clear" w:color="auto" w:fill="auto"/>
            <w:hideMark/>
          </w:tcPr>
          <w:p w14:paraId="103041B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w:t>
            </w:r>
          </w:p>
        </w:tc>
        <w:tc>
          <w:tcPr>
            <w:tcW w:w="974" w:type="pct"/>
            <w:tcBorders>
              <w:top w:val="nil"/>
              <w:left w:val="nil"/>
              <w:bottom w:val="single" w:sz="4" w:space="0" w:color="auto"/>
              <w:right w:val="single" w:sz="4" w:space="0" w:color="auto"/>
            </w:tcBorders>
            <w:shd w:val="clear" w:color="auto" w:fill="auto"/>
            <w:hideMark/>
          </w:tcPr>
          <w:p w14:paraId="26564CD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Lobato and Thomas (2012).</w:t>
            </w:r>
          </w:p>
        </w:tc>
      </w:tr>
      <w:tr w:rsidR="00241ACB" w:rsidRPr="006B2F60" w14:paraId="10380AFD" w14:textId="77777777" w:rsidTr="00DE3143">
        <w:trPr>
          <w:trHeight w:val="660"/>
        </w:trPr>
        <w:tc>
          <w:tcPr>
            <w:tcW w:w="502" w:type="pct"/>
            <w:tcBorders>
              <w:top w:val="nil"/>
              <w:left w:val="single" w:sz="4" w:space="0" w:color="auto"/>
              <w:bottom w:val="single" w:sz="4" w:space="0" w:color="auto"/>
              <w:right w:val="single" w:sz="4" w:space="0" w:color="auto"/>
            </w:tcBorders>
            <w:shd w:val="clear" w:color="auto" w:fill="auto"/>
            <w:hideMark/>
          </w:tcPr>
          <w:p w14:paraId="0F8BF850"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2nd Layer (Sector-Specific)</w:t>
            </w:r>
          </w:p>
        </w:tc>
        <w:tc>
          <w:tcPr>
            <w:tcW w:w="623" w:type="pct"/>
            <w:tcBorders>
              <w:top w:val="nil"/>
              <w:left w:val="nil"/>
              <w:bottom w:val="single" w:sz="4" w:space="0" w:color="auto"/>
              <w:right w:val="single" w:sz="4" w:space="0" w:color="auto"/>
            </w:tcBorders>
            <w:shd w:val="clear" w:color="auto" w:fill="auto"/>
            <w:hideMark/>
          </w:tcPr>
          <w:p w14:paraId="07C1D9B3"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6020 - Other Information Services</w:t>
            </w:r>
          </w:p>
        </w:tc>
        <w:tc>
          <w:tcPr>
            <w:tcW w:w="1197" w:type="pct"/>
            <w:tcBorders>
              <w:top w:val="nil"/>
              <w:left w:val="nil"/>
              <w:bottom w:val="single" w:sz="4" w:space="0" w:color="auto"/>
              <w:right w:val="single" w:sz="4" w:space="0" w:color="auto"/>
            </w:tcBorders>
            <w:shd w:val="clear" w:color="auto" w:fill="auto"/>
            <w:hideMark/>
          </w:tcPr>
          <w:p w14:paraId="32C96A3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RL in Other Information Services arises due to inefficiencies and missed opportunities in creating value propositions for customers.</w:t>
            </w:r>
          </w:p>
        </w:tc>
        <w:tc>
          <w:tcPr>
            <w:tcW w:w="568" w:type="pct"/>
            <w:tcBorders>
              <w:top w:val="nil"/>
              <w:left w:val="nil"/>
              <w:bottom w:val="single" w:sz="4" w:space="0" w:color="auto"/>
              <w:right w:val="single" w:sz="4" w:space="0" w:color="auto"/>
            </w:tcBorders>
            <w:shd w:val="clear" w:color="auto" w:fill="auto"/>
            <w:hideMark/>
          </w:tcPr>
          <w:p w14:paraId="73FB9C2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Inefficiencies in Resource Integration, Poor Service Alignment</w:t>
            </w:r>
          </w:p>
        </w:tc>
        <w:tc>
          <w:tcPr>
            <w:tcW w:w="568" w:type="pct"/>
            <w:tcBorders>
              <w:top w:val="nil"/>
              <w:left w:val="nil"/>
              <w:bottom w:val="single" w:sz="4" w:space="0" w:color="auto"/>
              <w:right w:val="single" w:sz="4" w:space="0" w:color="auto"/>
            </w:tcBorders>
            <w:shd w:val="clear" w:color="auto" w:fill="auto"/>
            <w:hideMark/>
          </w:tcPr>
          <w:p w14:paraId="16A3B4B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Limited Customer Involvement</w:t>
            </w:r>
          </w:p>
        </w:tc>
        <w:tc>
          <w:tcPr>
            <w:tcW w:w="568" w:type="pct"/>
            <w:tcBorders>
              <w:top w:val="nil"/>
              <w:left w:val="nil"/>
              <w:bottom w:val="single" w:sz="4" w:space="0" w:color="auto"/>
              <w:right w:val="single" w:sz="4" w:space="0" w:color="auto"/>
            </w:tcBorders>
            <w:shd w:val="clear" w:color="auto" w:fill="auto"/>
            <w:hideMark/>
          </w:tcPr>
          <w:p w14:paraId="215934F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w:t>
            </w:r>
          </w:p>
        </w:tc>
        <w:tc>
          <w:tcPr>
            <w:tcW w:w="974" w:type="pct"/>
            <w:tcBorders>
              <w:top w:val="nil"/>
              <w:left w:val="nil"/>
              <w:bottom w:val="single" w:sz="4" w:space="0" w:color="auto"/>
              <w:right w:val="single" w:sz="4" w:space="0" w:color="auto"/>
            </w:tcBorders>
            <w:shd w:val="clear" w:color="auto" w:fill="auto"/>
            <w:hideMark/>
          </w:tcPr>
          <w:p w14:paraId="7650AE3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Skålén et al. (2015).</w:t>
            </w:r>
          </w:p>
        </w:tc>
      </w:tr>
      <w:tr w:rsidR="00241ACB" w:rsidRPr="006B2F60" w14:paraId="067DDEC2" w14:textId="77777777" w:rsidTr="00DE3143">
        <w:trPr>
          <w:trHeight w:val="440"/>
        </w:trPr>
        <w:tc>
          <w:tcPr>
            <w:tcW w:w="502" w:type="pct"/>
            <w:tcBorders>
              <w:top w:val="nil"/>
              <w:left w:val="single" w:sz="4" w:space="0" w:color="auto"/>
              <w:bottom w:val="single" w:sz="4" w:space="0" w:color="auto"/>
              <w:right w:val="single" w:sz="4" w:space="0" w:color="auto"/>
            </w:tcBorders>
            <w:shd w:val="clear" w:color="auto" w:fill="auto"/>
            <w:hideMark/>
          </w:tcPr>
          <w:p w14:paraId="510A3665"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2nd Layer (Sector-Specific)</w:t>
            </w:r>
          </w:p>
        </w:tc>
        <w:tc>
          <w:tcPr>
            <w:tcW w:w="623" w:type="pct"/>
            <w:tcBorders>
              <w:top w:val="nil"/>
              <w:left w:val="nil"/>
              <w:bottom w:val="single" w:sz="4" w:space="0" w:color="auto"/>
              <w:right w:val="single" w:sz="4" w:space="0" w:color="auto"/>
            </w:tcBorders>
            <w:shd w:val="clear" w:color="auto" w:fill="auto"/>
            <w:hideMark/>
          </w:tcPr>
          <w:p w14:paraId="0FD59A29"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4511 - Cafes and Restaurants</w:t>
            </w:r>
          </w:p>
        </w:tc>
        <w:tc>
          <w:tcPr>
            <w:tcW w:w="1197" w:type="pct"/>
            <w:tcBorders>
              <w:top w:val="nil"/>
              <w:left w:val="nil"/>
              <w:bottom w:val="single" w:sz="4" w:space="0" w:color="auto"/>
              <w:right w:val="single" w:sz="4" w:space="0" w:color="auto"/>
            </w:tcBorders>
            <w:shd w:val="clear" w:color="auto" w:fill="auto"/>
            <w:hideMark/>
          </w:tcPr>
          <w:p w14:paraId="1087C5B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RL in Cafes and Restaurants occurs due to inefficiencies in manual order-taking and human errors.</w:t>
            </w:r>
          </w:p>
        </w:tc>
        <w:tc>
          <w:tcPr>
            <w:tcW w:w="568" w:type="pct"/>
            <w:tcBorders>
              <w:top w:val="nil"/>
              <w:left w:val="nil"/>
              <w:bottom w:val="single" w:sz="4" w:space="0" w:color="auto"/>
              <w:right w:val="single" w:sz="4" w:space="0" w:color="auto"/>
            </w:tcBorders>
            <w:shd w:val="clear" w:color="auto" w:fill="auto"/>
            <w:hideMark/>
          </w:tcPr>
          <w:p w14:paraId="43B9383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Inefficiencies in Manual Processes, Human Errors</w:t>
            </w:r>
          </w:p>
        </w:tc>
        <w:tc>
          <w:tcPr>
            <w:tcW w:w="568" w:type="pct"/>
            <w:tcBorders>
              <w:top w:val="nil"/>
              <w:left w:val="nil"/>
              <w:bottom w:val="single" w:sz="4" w:space="0" w:color="auto"/>
              <w:right w:val="single" w:sz="4" w:space="0" w:color="auto"/>
            </w:tcBorders>
            <w:shd w:val="clear" w:color="auto" w:fill="auto"/>
            <w:hideMark/>
          </w:tcPr>
          <w:p w14:paraId="33ADEF3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Inability to Track Inventory and Sales Data</w:t>
            </w:r>
          </w:p>
        </w:tc>
        <w:tc>
          <w:tcPr>
            <w:tcW w:w="568" w:type="pct"/>
            <w:tcBorders>
              <w:top w:val="nil"/>
              <w:left w:val="nil"/>
              <w:bottom w:val="single" w:sz="4" w:space="0" w:color="auto"/>
              <w:right w:val="single" w:sz="4" w:space="0" w:color="auto"/>
            </w:tcBorders>
            <w:shd w:val="clear" w:color="auto" w:fill="auto"/>
            <w:hideMark/>
          </w:tcPr>
          <w:p w14:paraId="32BFFAE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w:t>
            </w:r>
          </w:p>
        </w:tc>
        <w:tc>
          <w:tcPr>
            <w:tcW w:w="974" w:type="pct"/>
            <w:tcBorders>
              <w:top w:val="nil"/>
              <w:left w:val="nil"/>
              <w:bottom w:val="single" w:sz="4" w:space="0" w:color="auto"/>
              <w:right w:val="single" w:sz="4" w:space="0" w:color="auto"/>
            </w:tcBorders>
            <w:shd w:val="clear" w:color="auto" w:fill="auto"/>
            <w:hideMark/>
          </w:tcPr>
          <w:p w14:paraId="0A08966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Ingle et al. (2022).</w:t>
            </w:r>
          </w:p>
        </w:tc>
      </w:tr>
      <w:tr w:rsidR="00241ACB" w:rsidRPr="006B2F60" w14:paraId="71D25E44" w14:textId="77777777" w:rsidTr="00DE3143">
        <w:trPr>
          <w:trHeight w:val="660"/>
        </w:trPr>
        <w:tc>
          <w:tcPr>
            <w:tcW w:w="502" w:type="pct"/>
            <w:tcBorders>
              <w:top w:val="nil"/>
              <w:left w:val="single" w:sz="4" w:space="0" w:color="auto"/>
              <w:bottom w:val="single" w:sz="4" w:space="0" w:color="auto"/>
              <w:right w:val="single" w:sz="4" w:space="0" w:color="auto"/>
            </w:tcBorders>
            <w:shd w:val="clear" w:color="auto" w:fill="auto"/>
            <w:hideMark/>
          </w:tcPr>
          <w:p w14:paraId="25D771F3"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2nd Layer (Sector-Specific)</w:t>
            </w:r>
          </w:p>
        </w:tc>
        <w:tc>
          <w:tcPr>
            <w:tcW w:w="623" w:type="pct"/>
            <w:tcBorders>
              <w:top w:val="nil"/>
              <w:left w:val="nil"/>
              <w:bottom w:val="single" w:sz="4" w:space="0" w:color="auto"/>
              <w:right w:val="single" w:sz="4" w:space="0" w:color="auto"/>
            </w:tcBorders>
            <w:shd w:val="clear" w:color="auto" w:fill="auto"/>
            <w:hideMark/>
          </w:tcPr>
          <w:p w14:paraId="553B36F7"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4622 - Urban Bus Transport</w:t>
            </w:r>
          </w:p>
        </w:tc>
        <w:tc>
          <w:tcPr>
            <w:tcW w:w="1197" w:type="pct"/>
            <w:tcBorders>
              <w:top w:val="nil"/>
              <w:left w:val="nil"/>
              <w:bottom w:val="single" w:sz="4" w:space="0" w:color="auto"/>
              <w:right w:val="single" w:sz="4" w:space="0" w:color="auto"/>
            </w:tcBorders>
            <w:shd w:val="clear" w:color="auto" w:fill="auto"/>
            <w:hideMark/>
          </w:tcPr>
          <w:p w14:paraId="5BB88AB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RL in Urban Bus Transport occurs due to inefficiencies in the transportation system’s operations and economic resource allocation.</w:t>
            </w:r>
          </w:p>
        </w:tc>
        <w:tc>
          <w:tcPr>
            <w:tcW w:w="568" w:type="pct"/>
            <w:tcBorders>
              <w:top w:val="nil"/>
              <w:left w:val="nil"/>
              <w:bottom w:val="single" w:sz="4" w:space="0" w:color="auto"/>
              <w:right w:val="single" w:sz="4" w:space="0" w:color="auto"/>
            </w:tcBorders>
            <w:shd w:val="clear" w:color="auto" w:fill="auto"/>
            <w:hideMark/>
          </w:tcPr>
          <w:p w14:paraId="51AE079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Inefficiencies in Operations, Economic Resource Allocation</w:t>
            </w:r>
          </w:p>
        </w:tc>
        <w:tc>
          <w:tcPr>
            <w:tcW w:w="568" w:type="pct"/>
            <w:tcBorders>
              <w:top w:val="nil"/>
              <w:left w:val="nil"/>
              <w:bottom w:val="single" w:sz="4" w:space="0" w:color="auto"/>
              <w:right w:val="single" w:sz="4" w:space="0" w:color="auto"/>
            </w:tcBorders>
            <w:shd w:val="clear" w:color="auto" w:fill="auto"/>
            <w:hideMark/>
          </w:tcPr>
          <w:p w14:paraId="1C65EA6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w:t>
            </w:r>
          </w:p>
        </w:tc>
        <w:tc>
          <w:tcPr>
            <w:tcW w:w="568" w:type="pct"/>
            <w:tcBorders>
              <w:top w:val="nil"/>
              <w:left w:val="nil"/>
              <w:bottom w:val="single" w:sz="4" w:space="0" w:color="auto"/>
              <w:right w:val="single" w:sz="4" w:space="0" w:color="auto"/>
            </w:tcBorders>
            <w:shd w:val="clear" w:color="auto" w:fill="auto"/>
            <w:hideMark/>
          </w:tcPr>
          <w:p w14:paraId="0CDEFE6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w:t>
            </w:r>
          </w:p>
        </w:tc>
        <w:tc>
          <w:tcPr>
            <w:tcW w:w="974" w:type="pct"/>
            <w:tcBorders>
              <w:top w:val="nil"/>
              <w:left w:val="nil"/>
              <w:bottom w:val="single" w:sz="4" w:space="0" w:color="auto"/>
              <w:right w:val="single" w:sz="4" w:space="0" w:color="auto"/>
            </w:tcBorders>
            <w:shd w:val="clear" w:color="auto" w:fill="auto"/>
            <w:hideMark/>
          </w:tcPr>
          <w:p w14:paraId="61D2DF6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Satsangi (1977).</w:t>
            </w:r>
          </w:p>
        </w:tc>
      </w:tr>
    </w:tbl>
    <w:p w14:paraId="2E7758B5" w14:textId="77777777" w:rsidR="00241ACB" w:rsidRPr="006B2F60" w:rsidRDefault="00241ACB" w:rsidP="00241ACB">
      <w:pPr>
        <w:spacing w:after="0" w:line="240" w:lineRule="auto"/>
        <w:jc w:val="center"/>
        <w:rPr>
          <w:rFonts w:cstheme="minorHAnsi"/>
          <w:sz w:val="16"/>
          <w:szCs w:val="16"/>
        </w:rPr>
      </w:pPr>
      <w:r w:rsidRPr="006B2F60">
        <w:rPr>
          <w:rFonts w:cstheme="minorHAnsi"/>
          <w:sz w:val="16"/>
          <w:szCs w:val="16"/>
        </w:rPr>
        <w:t>Source: Author's Compilation from the SLR</w:t>
      </w:r>
    </w:p>
    <w:p w14:paraId="3392D0ED" w14:textId="77777777" w:rsidR="00241ACB" w:rsidRPr="006B2F60" w:rsidRDefault="00241ACB" w:rsidP="00241ACB">
      <w:pPr>
        <w:spacing w:after="0" w:line="240" w:lineRule="auto"/>
        <w:jc w:val="both"/>
        <w:rPr>
          <w:rFonts w:cstheme="minorHAnsi"/>
          <w:color w:val="000000" w:themeColor="text1"/>
          <w:sz w:val="20"/>
          <w:szCs w:val="20"/>
        </w:rPr>
      </w:pPr>
    </w:p>
    <w:p w14:paraId="2265DE47" w14:textId="77777777" w:rsidR="00241ACB" w:rsidRPr="006B2F60" w:rsidRDefault="00241ACB" w:rsidP="00241ACB">
      <w:pPr>
        <w:spacing w:after="0" w:line="240" w:lineRule="auto"/>
        <w:jc w:val="both"/>
        <w:rPr>
          <w:rFonts w:cstheme="minorHAnsi"/>
          <w:color w:val="000000" w:themeColor="text1"/>
          <w:sz w:val="20"/>
          <w:szCs w:val="20"/>
        </w:rPr>
      </w:pPr>
    </w:p>
    <w:p w14:paraId="390D1CE4" w14:textId="77777777" w:rsidR="00241ACB" w:rsidRPr="006B2F60" w:rsidRDefault="00241ACB" w:rsidP="00241ACB">
      <w:pPr>
        <w:rPr>
          <w:rFonts w:cstheme="minorHAnsi"/>
          <w:color w:val="000000" w:themeColor="text1"/>
          <w:sz w:val="20"/>
          <w:szCs w:val="20"/>
        </w:rPr>
      </w:pPr>
      <w:r w:rsidRPr="006B2F60">
        <w:rPr>
          <w:rFonts w:cstheme="minorHAnsi"/>
          <w:color w:val="000000" w:themeColor="text1"/>
          <w:sz w:val="20"/>
          <w:szCs w:val="20"/>
        </w:rPr>
        <w:br w:type="page"/>
      </w:r>
    </w:p>
    <w:p w14:paraId="471A1B2A" w14:textId="77777777" w:rsidR="00241ACB" w:rsidRPr="006B2F60" w:rsidRDefault="00241ACB" w:rsidP="00241ACB">
      <w:pPr>
        <w:spacing w:after="0" w:line="240" w:lineRule="auto"/>
        <w:jc w:val="center"/>
        <w:rPr>
          <w:rFonts w:cstheme="minorHAnsi"/>
          <w:color w:val="000000" w:themeColor="text1"/>
          <w:sz w:val="20"/>
          <w:szCs w:val="20"/>
        </w:rPr>
      </w:pPr>
      <w:r w:rsidRPr="006B2F60">
        <w:rPr>
          <w:rFonts w:cstheme="minorHAnsi"/>
          <w:sz w:val="16"/>
          <w:szCs w:val="16"/>
        </w:rPr>
        <w:lastRenderedPageBreak/>
        <w:t>Table 4: Sources of Revenue Leakage Across Industry Sectors</w:t>
      </w:r>
    </w:p>
    <w:tbl>
      <w:tblPr>
        <w:tblW w:w="5000" w:type="pct"/>
        <w:tblLook w:val="04A0" w:firstRow="1" w:lastRow="0" w:firstColumn="1" w:lastColumn="0" w:noHBand="0" w:noVBand="1"/>
      </w:tblPr>
      <w:tblGrid>
        <w:gridCol w:w="1952"/>
        <w:gridCol w:w="937"/>
        <w:gridCol w:w="1026"/>
        <w:gridCol w:w="2567"/>
        <w:gridCol w:w="938"/>
        <w:gridCol w:w="5530"/>
      </w:tblGrid>
      <w:tr w:rsidR="00241ACB" w:rsidRPr="006B2F60" w14:paraId="56081380" w14:textId="77777777" w:rsidTr="00DE3143">
        <w:trPr>
          <w:trHeight w:val="840"/>
        </w:trPr>
        <w:tc>
          <w:tcPr>
            <w:tcW w:w="754" w:type="pct"/>
            <w:tcBorders>
              <w:top w:val="single" w:sz="4" w:space="0" w:color="auto"/>
              <w:left w:val="single" w:sz="4" w:space="0" w:color="auto"/>
              <w:bottom w:val="single" w:sz="4" w:space="0" w:color="auto"/>
              <w:right w:val="single" w:sz="4" w:space="0" w:color="auto"/>
            </w:tcBorders>
            <w:shd w:val="clear" w:color="000000" w:fill="BFBFBF"/>
            <w:hideMark/>
          </w:tcPr>
          <w:p w14:paraId="4F90E6E9"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Sources of RL</w:t>
            </w:r>
          </w:p>
        </w:tc>
        <w:tc>
          <w:tcPr>
            <w:tcW w:w="362" w:type="pct"/>
            <w:tcBorders>
              <w:top w:val="single" w:sz="4" w:space="0" w:color="auto"/>
              <w:left w:val="nil"/>
              <w:bottom w:val="single" w:sz="4" w:space="0" w:color="auto"/>
              <w:right w:val="single" w:sz="4" w:space="0" w:color="auto"/>
            </w:tcBorders>
            <w:shd w:val="clear" w:color="000000" w:fill="BFBFBF"/>
            <w:hideMark/>
          </w:tcPr>
          <w:p w14:paraId="04F74B85"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Total Research Count</w:t>
            </w:r>
          </w:p>
        </w:tc>
        <w:tc>
          <w:tcPr>
            <w:tcW w:w="396" w:type="pct"/>
            <w:tcBorders>
              <w:top w:val="single" w:sz="4" w:space="0" w:color="auto"/>
              <w:left w:val="nil"/>
              <w:bottom w:val="single" w:sz="4" w:space="0" w:color="auto"/>
              <w:right w:val="single" w:sz="4" w:space="0" w:color="auto"/>
            </w:tcBorders>
            <w:shd w:val="clear" w:color="000000" w:fill="BFBFBF"/>
            <w:hideMark/>
          </w:tcPr>
          <w:p w14:paraId="1E18DCC0"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Reporting Frequency (%)</w:t>
            </w:r>
          </w:p>
        </w:tc>
        <w:tc>
          <w:tcPr>
            <w:tcW w:w="991" w:type="pct"/>
            <w:tcBorders>
              <w:top w:val="single" w:sz="4" w:space="0" w:color="auto"/>
              <w:left w:val="nil"/>
              <w:bottom w:val="single" w:sz="4" w:space="0" w:color="auto"/>
              <w:right w:val="single" w:sz="4" w:space="0" w:color="auto"/>
            </w:tcBorders>
            <w:shd w:val="clear" w:color="000000" w:fill="BFBFBF"/>
            <w:hideMark/>
          </w:tcPr>
          <w:p w14:paraId="3AD96467"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Industry Sector (ANZSIC Code)</w:t>
            </w:r>
          </w:p>
        </w:tc>
        <w:tc>
          <w:tcPr>
            <w:tcW w:w="362" w:type="pct"/>
            <w:tcBorders>
              <w:top w:val="single" w:sz="4" w:space="0" w:color="auto"/>
              <w:left w:val="nil"/>
              <w:bottom w:val="single" w:sz="4" w:space="0" w:color="auto"/>
              <w:right w:val="single" w:sz="4" w:space="0" w:color="auto"/>
            </w:tcBorders>
            <w:shd w:val="clear" w:color="000000" w:fill="BFBFBF"/>
            <w:hideMark/>
          </w:tcPr>
          <w:p w14:paraId="40ED952A"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Research Count by ANZSIC Code</w:t>
            </w:r>
          </w:p>
        </w:tc>
        <w:tc>
          <w:tcPr>
            <w:tcW w:w="2135" w:type="pct"/>
            <w:tcBorders>
              <w:top w:val="single" w:sz="4" w:space="0" w:color="auto"/>
              <w:left w:val="nil"/>
              <w:bottom w:val="single" w:sz="4" w:space="0" w:color="auto"/>
              <w:right w:val="single" w:sz="4" w:space="0" w:color="auto"/>
            </w:tcBorders>
            <w:shd w:val="clear" w:color="000000" w:fill="BFBFBF"/>
            <w:hideMark/>
          </w:tcPr>
          <w:p w14:paraId="75804C9D"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 xml:space="preserve">Author </w:t>
            </w:r>
          </w:p>
        </w:tc>
      </w:tr>
      <w:tr w:rsidR="00241ACB" w:rsidRPr="006B2F60" w14:paraId="38F156AB" w14:textId="77777777" w:rsidTr="00DE3143">
        <w:trPr>
          <w:trHeight w:val="1470"/>
        </w:trPr>
        <w:tc>
          <w:tcPr>
            <w:tcW w:w="754" w:type="pct"/>
            <w:vMerge w:val="restart"/>
            <w:tcBorders>
              <w:top w:val="nil"/>
              <w:left w:val="single" w:sz="4" w:space="0" w:color="auto"/>
              <w:bottom w:val="single" w:sz="4" w:space="0" w:color="000000"/>
              <w:right w:val="single" w:sz="4" w:space="0" w:color="auto"/>
            </w:tcBorders>
            <w:shd w:val="clear" w:color="auto" w:fill="auto"/>
            <w:hideMark/>
          </w:tcPr>
          <w:p w14:paraId="0EE1081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Fraudulent Practices </w:t>
            </w:r>
          </w:p>
        </w:tc>
        <w:tc>
          <w:tcPr>
            <w:tcW w:w="362" w:type="pct"/>
            <w:vMerge w:val="restart"/>
            <w:tcBorders>
              <w:top w:val="nil"/>
              <w:left w:val="single" w:sz="4" w:space="0" w:color="auto"/>
              <w:bottom w:val="single" w:sz="4" w:space="0" w:color="000000"/>
              <w:right w:val="single" w:sz="4" w:space="0" w:color="auto"/>
            </w:tcBorders>
            <w:shd w:val="clear" w:color="auto" w:fill="auto"/>
            <w:hideMark/>
          </w:tcPr>
          <w:p w14:paraId="69FF4399"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36</w:t>
            </w:r>
          </w:p>
        </w:tc>
        <w:tc>
          <w:tcPr>
            <w:tcW w:w="396" w:type="pct"/>
            <w:vMerge w:val="restart"/>
            <w:tcBorders>
              <w:top w:val="nil"/>
              <w:left w:val="single" w:sz="4" w:space="0" w:color="auto"/>
              <w:bottom w:val="single" w:sz="4" w:space="0" w:color="000000"/>
              <w:right w:val="single" w:sz="4" w:space="0" w:color="auto"/>
            </w:tcBorders>
            <w:shd w:val="clear" w:color="auto" w:fill="auto"/>
            <w:hideMark/>
          </w:tcPr>
          <w:p w14:paraId="00D1331B"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34%</w:t>
            </w:r>
          </w:p>
        </w:tc>
        <w:tc>
          <w:tcPr>
            <w:tcW w:w="991" w:type="pct"/>
            <w:tcBorders>
              <w:top w:val="nil"/>
              <w:left w:val="nil"/>
              <w:bottom w:val="single" w:sz="4" w:space="0" w:color="auto"/>
              <w:right w:val="single" w:sz="4" w:space="0" w:color="auto"/>
            </w:tcBorders>
            <w:shd w:val="clear" w:color="auto" w:fill="auto"/>
            <w:hideMark/>
          </w:tcPr>
          <w:p w14:paraId="74A2433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c>
          <w:tcPr>
            <w:tcW w:w="362" w:type="pct"/>
            <w:tcBorders>
              <w:top w:val="nil"/>
              <w:left w:val="nil"/>
              <w:bottom w:val="single" w:sz="4" w:space="0" w:color="auto"/>
              <w:right w:val="single" w:sz="4" w:space="0" w:color="auto"/>
            </w:tcBorders>
            <w:shd w:val="clear" w:color="auto" w:fill="auto"/>
            <w:hideMark/>
          </w:tcPr>
          <w:p w14:paraId="0FF95580"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24</w:t>
            </w:r>
          </w:p>
        </w:tc>
        <w:tc>
          <w:tcPr>
            <w:tcW w:w="2135" w:type="pct"/>
            <w:tcBorders>
              <w:top w:val="nil"/>
              <w:left w:val="nil"/>
              <w:bottom w:val="single" w:sz="4" w:space="0" w:color="auto"/>
              <w:right w:val="single" w:sz="4" w:space="0" w:color="auto"/>
            </w:tcBorders>
            <w:shd w:val="clear" w:color="auto" w:fill="auto"/>
            <w:hideMark/>
          </w:tcPr>
          <w:p w14:paraId="6B51B74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Slemrod (1998), Barkoczy (2000), Jenkins and Kuo (2000), Vijayakumar et al. (2005), Eccleston (2007), Slemrod (2010), Devos (2013), Schlenther (2013), Radon and Achuthan (2017), Olaniyi et al. (2019), KAREEM et al. (2020), Angok et al. (2021), Obiomachukwu et al. (2023), Khan (2007), Everhart et al. (2009), Dimakou (2013), Yeboah</w:t>
            </w:r>
            <w:r w:rsidRPr="006B2F60">
              <w:rPr>
                <w:rFonts w:ascii="Cambria Math" w:eastAsia="Times New Roman" w:hAnsi="Cambria Math" w:cs="Cambria Math"/>
                <w:color w:val="000000"/>
                <w:sz w:val="16"/>
                <w:szCs w:val="16"/>
                <w:lang w:eastAsia="en-GB"/>
              </w:rPr>
              <w:t>‐</w:t>
            </w:r>
            <w:r w:rsidRPr="006B2F60">
              <w:rPr>
                <w:rFonts w:eastAsia="Times New Roman" w:cstheme="minorHAnsi"/>
                <w:color w:val="000000"/>
                <w:sz w:val="16"/>
                <w:szCs w:val="16"/>
                <w:lang w:eastAsia="en-GB"/>
              </w:rPr>
              <w:t>Assiamah and Alesu</w:t>
            </w:r>
            <w:r w:rsidRPr="006B2F60">
              <w:rPr>
                <w:rFonts w:ascii="Cambria Math" w:eastAsia="Times New Roman" w:hAnsi="Cambria Math" w:cs="Cambria Math"/>
                <w:color w:val="000000"/>
                <w:sz w:val="16"/>
                <w:szCs w:val="16"/>
                <w:lang w:eastAsia="en-GB"/>
              </w:rPr>
              <w:t>‐</w:t>
            </w:r>
            <w:r w:rsidRPr="006B2F60">
              <w:rPr>
                <w:rFonts w:eastAsia="Times New Roman" w:cstheme="minorHAnsi"/>
                <w:color w:val="000000"/>
                <w:sz w:val="16"/>
                <w:szCs w:val="16"/>
                <w:lang w:eastAsia="en-GB"/>
              </w:rPr>
              <w:t>Dordzi (2016), Devos and Kenny (2017), Solanke (2018), Al-Shbail (2020), Thyaka and Kavale (2021), Sani et al. (2021), Yegon and Kilonzi (2023), and Abu et al. (2023)</w:t>
            </w:r>
          </w:p>
        </w:tc>
      </w:tr>
      <w:tr w:rsidR="00241ACB" w:rsidRPr="006B2F60" w14:paraId="1570CB80" w14:textId="77777777" w:rsidTr="00DE3143">
        <w:trPr>
          <w:trHeight w:val="420"/>
        </w:trPr>
        <w:tc>
          <w:tcPr>
            <w:tcW w:w="754" w:type="pct"/>
            <w:vMerge/>
            <w:tcBorders>
              <w:top w:val="nil"/>
              <w:left w:val="single" w:sz="4" w:space="0" w:color="auto"/>
              <w:bottom w:val="single" w:sz="4" w:space="0" w:color="000000"/>
              <w:right w:val="single" w:sz="4" w:space="0" w:color="auto"/>
            </w:tcBorders>
            <w:vAlign w:val="center"/>
            <w:hideMark/>
          </w:tcPr>
          <w:p w14:paraId="1D96AE5F"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38AC3A98"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4250A904"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2B70E97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c>
          <w:tcPr>
            <w:tcW w:w="362" w:type="pct"/>
            <w:tcBorders>
              <w:top w:val="nil"/>
              <w:left w:val="nil"/>
              <w:bottom w:val="single" w:sz="4" w:space="0" w:color="auto"/>
              <w:right w:val="single" w:sz="4" w:space="0" w:color="auto"/>
            </w:tcBorders>
            <w:shd w:val="clear" w:color="auto" w:fill="auto"/>
            <w:hideMark/>
          </w:tcPr>
          <w:p w14:paraId="25B8C94E"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3</w:t>
            </w:r>
          </w:p>
        </w:tc>
        <w:tc>
          <w:tcPr>
            <w:tcW w:w="2135" w:type="pct"/>
            <w:tcBorders>
              <w:top w:val="nil"/>
              <w:left w:val="nil"/>
              <w:bottom w:val="single" w:sz="4" w:space="0" w:color="auto"/>
              <w:right w:val="single" w:sz="4" w:space="0" w:color="auto"/>
            </w:tcBorders>
            <w:shd w:val="clear" w:color="auto" w:fill="auto"/>
            <w:hideMark/>
          </w:tcPr>
          <w:p w14:paraId="3D0F77B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Goel and Nelson (2007), Chepkonga and Mbirithi (2023), and Komen and Ngahu (2023) </w:t>
            </w:r>
          </w:p>
        </w:tc>
      </w:tr>
      <w:tr w:rsidR="00241ACB" w:rsidRPr="006B2F60" w14:paraId="65B1D101" w14:textId="77777777" w:rsidTr="00DE3143">
        <w:trPr>
          <w:trHeight w:val="420"/>
        </w:trPr>
        <w:tc>
          <w:tcPr>
            <w:tcW w:w="754" w:type="pct"/>
            <w:vMerge/>
            <w:tcBorders>
              <w:top w:val="nil"/>
              <w:left w:val="single" w:sz="4" w:space="0" w:color="auto"/>
              <w:bottom w:val="single" w:sz="4" w:space="0" w:color="000000"/>
              <w:right w:val="single" w:sz="4" w:space="0" w:color="auto"/>
            </w:tcBorders>
            <w:vAlign w:val="center"/>
            <w:hideMark/>
          </w:tcPr>
          <w:p w14:paraId="233BB86E"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451F2003"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561BFAF0"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0A76BFF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c>
          <w:tcPr>
            <w:tcW w:w="362" w:type="pct"/>
            <w:tcBorders>
              <w:top w:val="nil"/>
              <w:left w:val="nil"/>
              <w:bottom w:val="single" w:sz="4" w:space="0" w:color="auto"/>
              <w:right w:val="single" w:sz="4" w:space="0" w:color="auto"/>
            </w:tcBorders>
            <w:shd w:val="clear" w:color="auto" w:fill="auto"/>
            <w:hideMark/>
          </w:tcPr>
          <w:p w14:paraId="08AEA34C"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3</w:t>
            </w:r>
          </w:p>
        </w:tc>
        <w:tc>
          <w:tcPr>
            <w:tcW w:w="2135" w:type="pct"/>
            <w:tcBorders>
              <w:top w:val="nil"/>
              <w:left w:val="nil"/>
              <w:bottom w:val="single" w:sz="4" w:space="0" w:color="auto"/>
              <w:right w:val="single" w:sz="4" w:space="0" w:color="auto"/>
            </w:tcBorders>
            <w:shd w:val="clear" w:color="auto" w:fill="auto"/>
            <w:hideMark/>
          </w:tcPr>
          <w:p w14:paraId="2EBB622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Chilunjika et al. (2023), Ombaba Kennedy and Ngugi (2023), and Ogwang et al. (2023)</w:t>
            </w:r>
          </w:p>
        </w:tc>
      </w:tr>
      <w:tr w:rsidR="00241ACB" w:rsidRPr="006B2F60" w14:paraId="1E32BC2D" w14:textId="77777777" w:rsidTr="00DE3143">
        <w:trPr>
          <w:trHeight w:val="210"/>
        </w:trPr>
        <w:tc>
          <w:tcPr>
            <w:tcW w:w="754" w:type="pct"/>
            <w:vMerge/>
            <w:tcBorders>
              <w:top w:val="nil"/>
              <w:left w:val="single" w:sz="4" w:space="0" w:color="auto"/>
              <w:bottom w:val="single" w:sz="4" w:space="0" w:color="000000"/>
              <w:right w:val="single" w:sz="4" w:space="0" w:color="auto"/>
            </w:tcBorders>
            <w:vAlign w:val="center"/>
            <w:hideMark/>
          </w:tcPr>
          <w:p w14:paraId="71ABF4D8"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6CDCE85E"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71CB5F8C"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221D726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8102 - Higher Education</w:t>
            </w:r>
          </w:p>
        </w:tc>
        <w:tc>
          <w:tcPr>
            <w:tcW w:w="362" w:type="pct"/>
            <w:tcBorders>
              <w:top w:val="nil"/>
              <w:left w:val="nil"/>
              <w:bottom w:val="single" w:sz="4" w:space="0" w:color="auto"/>
              <w:right w:val="single" w:sz="4" w:space="0" w:color="auto"/>
            </w:tcBorders>
            <w:shd w:val="clear" w:color="auto" w:fill="auto"/>
            <w:hideMark/>
          </w:tcPr>
          <w:p w14:paraId="5EB991BC"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2135" w:type="pct"/>
            <w:tcBorders>
              <w:top w:val="nil"/>
              <w:left w:val="nil"/>
              <w:bottom w:val="single" w:sz="4" w:space="0" w:color="auto"/>
              <w:right w:val="single" w:sz="4" w:space="0" w:color="auto"/>
            </w:tcBorders>
            <w:shd w:val="clear" w:color="auto" w:fill="auto"/>
            <w:hideMark/>
          </w:tcPr>
          <w:p w14:paraId="1018B05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Milaham and Milaham (2020),  Mbasiti et al. (2021)</w:t>
            </w:r>
          </w:p>
        </w:tc>
      </w:tr>
      <w:tr w:rsidR="00241ACB" w:rsidRPr="006B2F60" w14:paraId="51BD28CE" w14:textId="77777777" w:rsidTr="00DE3143">
        <w:trPr>
          <w:trHeight w:val="420"/>
        </w:trPr>
        <w:tc>
          <w:tcPr>
            <w:tcW w:w="754" w:type="pct"/>
            <w:vMerge/>
            <w:tcBorders>
              <w:top w:val="nil"/>
              <w:left w:val="single" w:sz="4" w:space="0" w:color="auto"/>
              <w:bottom w:val="single" w:sz="4" w:space="0" w:color="000000"/>
              <w:right w:val="single" w:sz="4" w:space="0" w:color="auto"/>
            </w:tcBorders>
            <w:vAlign w:val="center"/>
            <w:hideMark/>
          </w:tcPr>
          <w:p w14:paraId="1B69BC67"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426D7BC8"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7D32829E"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15C9D4D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8401 - Hospitals (Except Psychiatric Hospitals)</w:t>
            </w:r>
          </w:p>
        </w:tc>
        <w:tc>
          <w:tcPr>
            <w:tcW w:w="362" w:type="pct"/>
            <w:tcBorders>
              <w:top w:val="nil"/>
              <w:left w:val="nil"/>
              <w:bottom w:val="single" w:sz="4" w:space="0" w:color="auto"/>
              <w:right w:val="single" w:sz="4" w:space="0" w:color="auto"/>
            </w:tcBorders>
            <w:shd w:val="clear" w:color="auto" w:fill="auto"/>
            <w:hideMark/>
          </w:tcPr>
          <w:p w14:paraId="7AF83105"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135" w:type="pct"/>
            <w:tcBorders>
              <w:top w:val="nil"/>
              <w:left w:val="nil"/>
              <w:bottom w:val="single" w:sz="4" w:space="0" w:color="auto"/>
              <w:right w:val="single" w:sz="4" w:space="0" w:color="auto"/>
            </w:tcBorders>
            <w:shd w:val="clear" w:color="auto" w:fill="auto"/>
            <w:hideMark/>
          </w:tcPr>
          <w:p w14:paraId="1E7D8DF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Kilanko (2023)</w:t>
            </w:r>
          </w:p>
        </w:tc>
      </w:tr>
      <w:tr w:rsidR="00241ACB" w:rsidRPr="006B2F60" w14:paraId="56B7C1D5" w14:textId="77777777" w:rsidTr="00DE3143">
        <w:trPr>
          <w:trHeight w:val="210"/>
        </w:trPr>
        <w:tc>
          <w:tcPr>
            <w:tcW w:w="754" w:type="pct"/>
            <w:vMerge/>
            <w:tcBorders>
              <w:top w:val="nil"/>
              <w:left w:val="single" w:sz="4" w:space="0" w:color="auto"/>
              <w:bottom w:val="single" w:sz="4" w:space="0" w:color="000000"/>
              <w:right w:val="single" w:sz="4" w:space="0" w:color="auto"/>
            </w:tcBorders>
            <w:vAlign w:val="center"/>
            <w:hideMark/>
          </w:tcPr>
          <w:p w14:paraId="60D35760"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26CBF756"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79DC6293"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16BE946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3610 - Electricity Supply</w:t>
            </w:r>
          </w:p>
        </w:tc>
        <w:tc>
          <w:tcPr>
            <w:tcW w:w="362" w:type="pct"/>
            <w:tcBorders>
              <w:top w:val="nil"/>
              <w:left w:val="nil"/>
              <w:bottom w:val="single" w:sz="4" w:space="0" w:color="auto"/>
              <w:right w:val="single" w:sz="4" w:space="0" w:color="auto"/>
            </w:tcBorders>
            <w:shd w:val="clear" w:color="auto" w:fill="auto"/>
            <w:hideMark/>
          </w:tcPr>
          <w:p w14:paraId="28509FD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135" w:type="pct"/>
            <w:tcBorders>
              <w:top w:val="nil"/>
              <w:left w:val="nil"/>
              <w:bottom w:val="single" w:sz="4" w:space="0" w:color="auto"/>
              <w:right w:val="single" w:sz="4" w:space="0" w:color="auto"/>
            </w:tcBorders>
            <w:shd w:val="clear" w:color="auto" w:fill="auto"/>
            <w:hideMark/>
          </w:tcPr>
          <w:p w14:paraId="380FF1B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Musungwini (2016)</w:t>
            </w:r>
          </w:p>
        </w:tc>
      </w:tr>
      <w:tr w:rsidR="00241ACB" w:rsidRPr="006B2F60" w14:paraId="0416B9B3" w14:textId="77777777" w:rsidTr="00DE3143">
        <w:trPr>
          <w:trHeight w:val="420"/>
        </w:trPr>
        <w:tc>
          <w:tcPr>
            <w:tcW w:w="754" w:type="pct"/>
            <w:vMerge/>
            <w:tcBorders>
              <w:top w:val="nil"/>
              <w:left w:val="single" w:sz="4" w:space="0" w:color="auto"/>
              <w:bottom w:val="single" w:sz="4" w:space="0" w:color="000000"/>
              <w:right w:val="single" w:sz="4" w:space="0" w:color="auto"/>
            </w:tcBorders>
            <w:vAlign w:val="center"/>
            <w:hideMark/>
          </w:tcPr>
          <w:p w14:paraId="6293DA80"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5D323D56"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6B67E81A"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0C4021D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5512 - Motion Picture and Video Distribution</w:t>
            </w:r>
          </w:p>
        </w:tc>
        <w:tc>
          <w:tcPr>
            <w:tcW w:w="362" w:type="pct"/>
            <w:tcBorders>
              <w:top w:val="nil"/>
              <w:left w:val="nil"/>
              <w:bottom w:val="single" w:sz="4" w:space="0" w:color="auto"/>
              <w:right w:val="single" w:sz="4" w:space="0" w:color="auto"/>
            </w:tcBorders>
            <w:shd w:val="clear" w:color="auto" w:fill="auto"/>
            <w:hideMark/>
          </w:tcPr>
          <w:p w14:paraId="135DDF7D"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135" w:type="pct"/>
            <w:tcBorders>
              <w:top w:val="nil"/>
              <w:left w:val="nil"/>
              <w:bottom w:val="single" w:sz="4" w:space="0" w:color="auto"/>
              <w:right w:val="single" w:sz="4" w:space="0" w:color="auto"/>
            </w:tcBorders>
            <w:shd w:val="clear" w:color="auto" w:fill="auto"/>
            <w:hideMark/>
          </w:tcPr>
          <w:p w14:paraId="1353775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White (2004)</w:t>
            </w:r>
          </w:p>
        </w:tc>
      </w:tr>
      <w:tr w:rsidR="00241ACB" w:rsidRPr="006B2F60" w14:paraId="0BA64AF3" w14:textId="77777777" w:rsidTr="00DE3143">
        <w:trPr>
          <w:trHeight w:val="420"/>
        </w:trPr>
        <w:tc>
          <w:tcPr>
            <w:tcW w:w="754" w:type="pct"/>
            <w:vMerge/>
            <w:tcBorders>
              <w:top w:val="nil"/>
              <w:left w:val="single" w:sz="4" w:space="0" w:color="auto"/>
              <w:bottom w:val="single" w:sz="4" w:space="0" w:color="000000"/>
              <w:right w:val="single" w:sz="4" w:space="0" w:color="auto"/>
            </w:tcBorders>
            <w:vAlign w:val="center"/>
            <w:hideMark/>
          </w:tcPr>
          <w:p w14:paraId="76DEC11F"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5AA3ABD6"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54040808"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39B50C3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5809 - Other Telecommunications Services</w:t>
            </w:r>
          </w:p>
        </w:tc>
        <w:tc>
          <w:tcPr>
            <w:tcW w:w="362" w:type="pct"/>
            <w:tcBorders>
              <w:top w:val="nil"/>
              <w:left w:val="nil"/>
              <w:bottom w:val="single" w:sz="4" w:space="0" w:color="auto"/>
              <w:right w:val="single" w:sz="4" w:space="0" w:color="auto"/>
            </w:tcBorders>
            <w:shd w:val="clear" w:color="auto" w:fill="auto"/>
            <w:hideMark/>
          </w:tcPr>
          <w:p w14:paraId="71A1CC9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135" w:type="pct"/>
            <w:tcBorders>
              <w:top w:val="nil"/>
              <w:left w:val="nil"/>
              <w:bottom w:val="single" w:sz="4" w:space="0" w:color="auto"/>
              <w:right w:val="single" w:sz="4" w:space="0" w:color="auto"/>
            </w:tcBorders>
            <w:shd w:val="clear" w:color="auto" w:fill="auto"/>
            <w:hideMark/>
          </w:tcPr>
          <w:p w14:paraId="6732319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Lobato and Thomas (2012)</w:t>
            </w:r>
          </w:p>
        </w:tc>
      </w:tr>
      <w:tr w:rsidR="00241ACB" w:rsidRPr="006B2F60" w14:paraId="2A7C2706" w14:textId="77777777" w:rsidTr="00DE3143">
        <w:trPr>
          <w:trHeight w:val="630"/>
        </w:trPr>
        <w:tc>
          <w:tcPr>
            <w:tcW w:w="754" w:type="pct"/>
            <w:vMerge w:val="restart"/>
            <w:tcBorders>
              <w:top w:val="nil"/>
              <w:left w:val="single" w:sz="4" w:space="0" w:color="auto"/>
              <w:bottom w:val="single" w:sz="4" w:space="0" w:color="000000"/>
              <w:right w:val="single" w:sz="4" w:space="0" w:color="auto"/>
            </w:tcBorders>
            <w:shd w:val="clear" w:color="auto" w:fill="auto"/>
            <w:hideMark/>
          </w:tcPr>
          <w:p w14:paraId="059609D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Systems Inefficiencies </w:t>
            </w:r>
          </w:p>
        </w:tc>
        <w:tc>
          <w:tcPr>
            <w:tcW w:w="362" w:type="pct"/>
            <w:vMerge w:val="restart"/>
            <w:tcBorders>
              <w:top w:val="nil"/>
              <w:left w:val="single" w:sz="4" w:space="0" w:color="auto"/>
              <w:bottom w:val="single" w:sz="4" w:space="0" w:color="000000"/>
              <w:right w:val="single" w:sz="4" w:space="0" w:color="auto"/>
            </w:tcBorders>
            <w:shd w:val="clear" w:color="auto" w:fill="auto"/>
            <w:hideMark/>
          </w:tcPr>
          <w:p w14:paraId="68056F53"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20</w:t>
            </w:r>
          </w:p>
        </w:tc>
        <w:tc>
          <w:tcPr>
            <w:tcW w:w="396" w:type="pct"/>
            <w:vMerge w:val="restart"/>
            <w:tcBorders>
              <w:top w:val="nil"/>
              <w:left w:val="single" w:sz="4" w:space="0" w:color="auto"/>
              <w:bottom w:val="single" w:sz="4" w:space="0" w:color="000000"/>
              <w:right w:val="single" w:sz="4" w:space="0" w:color="auto"/>
            </w:tcBorders>
            <w:shd w:val="clear" w:color="auto" w:fill="auto"/>
            <w:hideMark/>
          </w:tcPr>
          <w:p w14:paraId="338CAFA6"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19%</w:t>
            </w:r>
          </w:p>
        </w:tc>
        <w:tc>
          <w:tcPr>
            <w:tcW w:w="991" w:type="pct"/>
            <w:tcBorders>
              <w:top w:val="nil"/>
              <w:left w:val="nil"/>
              <w:bottom w:val="single" w:sz="4" w:space="0" w:color="auto"/>
              <w:right w:val="single" w:sz="4" w:space="0" w:color="auto"/>
            </w:tcBorders>
            <w:shd w:val="clear" w:color="auto" w:fill="auto"/>
            <w:hideMark/>
          </w:tcPr>
          <w:p w14:paraId="373B4DB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c>
          <w:tcPr>
            <w:tcW w:w="362" w:type="pct"/>
            <w:tcBorders>
              <w:top w:val="nil"/>
              <w:left w:val="nil"/>
              <w:bottom w:val="single" w:sz="4" w:space="0" w:color="auto"/>
              <w:right w:val="single" w:sz="4" w:space="0" w:color="auto"/>
            </w:tcBorders>
            <w:shd w:val="clear" w:color="auto" w:fill="auto"/>
            <w:hideMark/>
          </w:tcPr>
          <w:p w14:paraId="79225513"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8</w:t>
            </w:r>
          </w:p>
        </w:tc>
        <w:tc>
          <w:tcPr>
            <w:tcW w:w="2135" w:type="pct"/>
            <w:tcBorders>
              <w:top w:val="nil"/>
              <w:left w:val="nil"/>
              <w:bottom w:val="single" w:sz="4" w:space="0" w:color="auto"/>
              <w:right w:val="single" w:sz="4" w:space="0" w:color="auto"/>
            </w:tcBorders>
            <w:shd w:val="clear" w:color="auto" w:fill="auto"/>
            <w:hideMark/>
          </w:tcPr>
          <w:p w14:paraId="3526BF0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Poddar (1988), Slemrod (1998), Olaniyi et al. (2019), Angok et al. (2021), Bagudu and Okolie (2022), Adhikari (2022), Egwuatu et al. (2023), and Yegon and Kilonzi (2023)</w:t>
            </w:r>
          </w:p>
        </w:tc>
      </w:tr>
      <w:tr w:rsidR="00241ACB" w:rsidRPr="006B2F60" w14:paraId="1A735A5B" w14:textId="77777777" w:rsidTr="00DE3143">
        <w:trPr>
          <w:trHeight w:val="420"/>
        </w:trPr>
        <w:tc>
          <w:tcPr>
            <w:tcW w:w="754" w:type="pct"/>
            <w:vMerge/>
            <w:tcBorders>
              <w:top w:val="nil"/>
              <w:left w:val="single" w:sz="4" w:space="0" w:color="auto"/>
              <w:bottom w:val="single" w:sz="4" w:space="0" w:color="000000"/>
              <w:right w:val="single" w:sz="4" w:space="0" w:color="auto"/>
            </w:tcBorders>
            <w:vAlign w:val="center"/>
            <w:hideMark/>
          </w:tcPr>
          <w:p w14:paraId="77F1C7B9"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11880D67"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2B76F260"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0D3D0B1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c>
          <w:tcPr>
            <w:tcW w:w="362" w:type="pct"/>
            <w:tcBorders>
              <w:top w:val="nil"/>
              <w:left w:val="nil"/>
              <w:bottom w:val="single" w:sz="4" w:space="0" w:color="auto"/>
              <w:right w:val="single" w:sz="4" w:space="0" w:color="auto"/>
            </w:tcBorders>
            <w:shd w:val="clear" w:color="auto" w:fill="auto"/>
            <w:hideMark/>
          </w:tcPr>
          <w:p w14:paraId="79DE5BDF"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4</w:t>
            </w:r>
          </w:p>
        </w:tc>
        <w:tc>
          <w:tcPr>
            <w:tcW w:w="2135" w:type="pct"/>
            <w:tcBorders>
              <w:top w:val="nil"/>
              <w:left w:val="nil"/>
              <w:bottom w:val="single" w:sz="4" w:space="0" w:color="auto"/>
              <w:right w:val="single" w:sz="4" w:space="0" w:color="auto"/>
            </w:tcBorders>
            <w:shd w:val="clear" w:color="auto" w:fill="auto"/>
            <w:hideMark/>
          </w:tcPr>
          <w:p w14:paraId="62776BE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Piracha and Moore (2016), Borbely (2021), and Bandi et al. (2023) </w:t>
            </w:r>
          </w:p>
        </w:tc>
      </w:tr>
      <w:tr w:rsidR="00241ACB" w:rsidRPr="006B2F60" w14:paraId="231C95A2" w14:textId="77777777" w:rsidTr="00DE3143">
        <w:trPr>
          <w:trHeight w:val="420"/>
        </w:trPr>
        <w:tc>
          <w:tcPr>
            <w:tcW w:w="754" w:type="pct"/>
            <w:vMerge/>
            <w:tcBorders>
              <w:top w:val="nil"/>
              <w:left w:val="single" w:sz="4" w:space="0" w:color="auto"/>
              <w:bottom w:val="single" w:sz="4" w:space="0" w:color="000000"/>
              <w:right w:val="single" w:sz="4" w:space="0" w:color="auto"/>
            </w:tcBorders>
            <w:vAlign w:val="center"/>
            <w:hideMark/>
          </w:tcPr>
          <w:p w14:paraId="565E1BF1"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7362BFF1"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2E6A8720"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47CE92C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c>
          <w:tcPr>
            <w:tcW w:w="362" w:type="pct"/>
            <w:tcBorders>
              <w:top w:val="nil"/>
              <w:left w:val="nil"/>
              <w:bottom w:val="single" w:sz="4" w:space="0" w:color="auto"/>
              <w:right w:val="single" w:sz="4" w:space="0" w:color="auto"/>
            </w:tcBorders>
            <w:shd w:val="clear" w:color="auto" w:fill="auto"/>
            <w:hideMark/>
          </w:tcPr>
          <w:p w14:paraId="5AE24A1D"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4</w:t>
            </w:r>
          </w:p>
        </w:tc>
        <w:tc>
          <w:tcPr>
            <w:tcW w:w="2135" w:type="pct"/>
            <w:tcBorders>
              <w:top w:val="nil"/>
              <w:left w:val="nil"/>
              <w:bottom w:val="single" w:sz="4" w:space="0" w:color="auto"/>
              <w:right w:val="single" w:sz="4" w:space="0" w:color="auto"/>
            </w:tcBorders>
            <w:shd w:val="clear" w:color="auto" w:fill="auto"/>
            <w:hideMark/>
          </w:tcPr>
          <w:p w14:paraId="3642289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Ochuodho and Ngaba (2020), Chepkoech et al. (2022), Odhiambo and Nyariki (2022), and Ombaba Kennedy and Ngugi (2023)</w:t>
            </w:r>
          </w:p>
        </w:tc>
      </w:tr>
      <w:tr w:rsidR="00241ACB" w:rsidRPr="006B2F60" w14:paraId="3624F237" w14:textId="77777777" w:rsidTr="00DE3143">
        <w:trPr>
          <w:trHeight w:val="210"/>
        </w:trPr>
        <w:tc>
          <w:tcPr>
            <w:tcW w:w="754" w:type="pct"/>
            <w:vMerge/>
            <w:tcBorders>
              <w:top w:val="nil"/>
              <w:left w:val="single" w:sz="4" w:space="0" w:color="auto"/>
              <w:bottom w:val="single" w:sz="4" w:space="0" w:color="000000"/>
              <w:right w:val="single" w:sz="4" w:space="0" w:color="auto"/>
            </w:tcBorders>
            <w:vAlign w:val="center"/>
            <w:hideMark/>
          </w:tcPr>
          <w:p w14:paraId="1AA51ABB"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4AFF3839"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3C1CB6B4"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3499E29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3610 - Electricity Supply</w:t>
            </w:r>
          </w:p>
        </w:tc>
        <w:tc>
          <w:tcPr>
            <w:tcW w:w="362" w:type="pct"/>
            <w:tcBorders>
              <w:top w:val="nil"/>
              <w:left w:val="nil"/>
              <w:bottom w:val="single" w:sz="4" w:space="0" w:color="auto"/>
              <w:right w:val="single" w:sz="4" w:space="0" w:color="auto"/>
            </w:tcBorders>
            <w:shd w:val="clear" w:color="auto" w:fill="auto"/>
            <w:hideMark/>
          </w:tcPr>
          <w:p w14:paraId="0E97AF5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2135" w:type="pct"/>
            <w:tcBorders>
              <w:top w:val="nil"/>
              <w:left w:val="nil"/>
              <w:bottom w:val="single" w:sz="4" w:space="0" w:color="auto"/>
              <w:right w:val="single" w:sz="4" w:space="0" w:color="auto"/>
            </w:tcBorders>
            <w:shd w:val="clear" w:color="auto" w:fill="auto"/>
            <w:hideMark/>
          </w:tcPr>
          <w:p w14:paraId="6C2DDA8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Aslam et al. (2015), Musungwini (2016)</w:t>
            </w:r>
          </w:p>
        </w:tc>
      </w:tr>
      <w:tr w:rsidR="00241ACB" w:rsidRPr="006B2F60" w14:paraId="16C230FF" w14:textId="77777777" w:rsidTr="00DE3143">
        <w:trPr>
          <w:trHeight w:val="420"/>
        </w:trPr>
        <w:tc>
          <w:tcPr>
            <w:tcW w:w="754" w:type="pct"/>
            <w:vMerge/>
            <w:tcBorders>
              <w:top w:val="nil"/>
              <w:left w:val="single" w:sz="4" w:space="0" w:color="auto"/>
              <w:bottom w:val="single" w:sz="4" w:space="0" w:color="000000"/>
              <w:right w:val="single" w:sz="4" w:space="0" w:color="auto"/>
            </w:tcBorders>
            <w:vAlign w:val="center"/>
            <w:hideMark/>
          </w:tcPr>
          <w:p w14:paraId="426CEFFD"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683F85BD"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67FA92C7"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12DDC47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5802 - Other Telecommunications Network Operation</w:t>
            </w:r>
          </w:p>
        </w:tc>
        <w:tc>
          <w:tcPr>
            <w:tcW w:w="362" w:type="pct"/>
            <w:tcBorders>
              <w:top w:val="nil"/>
              <w:left w:val="nil"/>
              <w:bottom w:val="single" w:sz="4" w:space="0" w:color="auto"/>
              <w:right w:val="single" w:sz="4" w:space="0" w:color="auto"/>
            </w:tcBorders>
            <w:shd w:val="clear" w:color="auto" w:fill="auto"/>
            <w:hideMark/>
          </w:tcPr>
          <w:p w14:paraId="60C60F5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2135" w:type="pct"/>
            <w:tcBorders>
              <w:top w:val="nil"/>
              <w:left w:val="nil"/>
              <w:bottom w:val="single" w:sz="4" w:space="0" w:color="auto"/>
              <w:right w:val="single" w:sz="4" w:space="0" w:color="auto"/>
            </w:tcBorders>
            <w:shd w:val="clear" w:color="auto" w:fill="auto"/>
            <w:hideMark/>
          </w:tcPr>
          <w:p w14:paraId="2946A8B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Mohammed and Radcliffe (2013), Mushtaq and Shahid (2014)</w:t>
            </w:r>
          </w:p>
        </w:tc>
      </w:tr>
    </w:tbl>
    <w:p w14:paraId="32DE5DEF" w14:textId="77777777" w:rsidR="00241ACB" w:rsidRPr="006B2F60" w:rsidRDefault="00241ACB" w:rsidP="00241ACB">
      <w:pPr>
        <w:rPr>
          <w:rFonts w:cstheme="minorHAnsi"/>
        </w:rPr>
      </w:pPr>
      <w:r w:rsidRPr="006B2F60">
        <w:rPr>
          <w:rFonts w:cstheme="minorHAnsi"/>
        </w:rPr>
        <w:br w:type="page"/>
      </w:r>
    </w:p>
    <w:tbl>
      <w:tblPr>
        <w:tblW w:w="5000" w:type="pct"/>
        <w:tblLook w:val="04A0" w:firstRow="1" w:lastRow="0" w:firstColumn="1" w:lastColumn="0" w:noHBand="0" w:noVBand="1"/>
      </w:tblPr>
      <w:tblGrid>
        <w:gridCol w:w="1952"/>
        <w:gridCol w:w="937"/>
        <w:gridCol w:w="1026"/>
        <w:gridCol w:w="2567"/>
        <w:gridCol w:w="938"/>
        <w:gridCol w:w="5530"/>
      </w:tblGrid>
      <w:tr w:rsidR="00241ACB" w:rsidRPr="006B2F60" w14:paraId="4B9ED7BC" w14:textId="77777777" w:rsidTr="00DE3143">
        <w:trPr>
          <w:trHeight w:val="563"/>
        </w:trPr>
        <w:tc>
          <w:tcPr>
            <w:tcW w:w="754"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7C6759D"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lastRenderedPageBreak/>
              <w:t>Sources of RL</w:t>
            </w:r>
          </w:p>
        </w:tc>
        <w:tc>
          <w:tcPr>
            <w:tcW w:w="362"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39ACF11"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Total Research Count</w:t>
            </w:r>
          </w:p>
        </w:tc>
        <w:tc>
          <w:tcPr>
            <w:tcW w:w="396"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506A08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Reporting Frequency (%)</w:t>
            </w:r>
          </w:p>
        </w:tc>
        <w:tc>
          <w:tcPr>
            <w:tcW w:w="991" w:type="pct"/>
            <w:tcBorders>
              <w:top w:val="single" w:sz="4" w:space="0" w:color="auto"/>
              <w:left w:val="nil"/>
              <w:bottom w:val="single" w:sz="4" w:space="0" w:color="auto"/>
              <w:right w:val="single" w:sz="4" w:space="0" w:color="auto"/>
            </w:tcBorders>
            <w:shd w:val="clear" w:color="auto" w:fill="BFBFBF" w:themeFill="background1" w:themeFillShade="BF"/>
          </w:tcPr>
          <w:p w14:paraId="7A487330"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Industry Sector (ANZSIC Code)</w:t>
            </w:r>
          </w:p>
        </w:tc>
        <w:tc>
          <w:tcPr>
            <w:tcW w:w="362" w:type="pct"/>
            <w:tcBorders>
              <w:top w:val="single" w:sz="4" w:space="0" w:color="auto"/>
              <w:left w:val="nil"/>
              <w:bottom w:val="single" w:sz="4" w:space="0" w:color="auto"/>
              <w:right w:val="single" w:sz="4" w:space="0" w:color="auto"/>
            </w:tcBorders>
            <w:shd w:val="clear" w:color="auto" w:fill="BFBFBF" w:themeFill="background1" w:themeFillShade="BF"/>
          </w:tcPr>
          <w:p w14:paraId="48780215"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Research Count by ANZSIC Code</w:t>
            </w:r>
          </w:p>
        </w:tc>
        <w:tc>
          <w:tcPr>
            <w:tcW w:w="2135" w:type="pct"/>
            <w:tcBorders>
              <w:top w:val="single" w:sz="4" w:space="0" w:color="auto"/>
              <w:left w:val="nil"/>
              <w:bottom w:val="single" w:sz="4" w:space="0" w:color="auto"/>
              <w:right w:val="single" w:sz="4" w:space="0" w:color="auto"/>
            </w:tcBorders>
            <w:shd w:val="clear" w:color="auto" w:fill="BFBFBF" w:themeFill="background1" w:themeFillShade="BF"/>
          </w:tcPr>
          <w:p w14:paraId="3EF4AD08"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Author</w:t>
            </w:r>
          </w:p>
        </w:tc>
      </w:tr>
      <w:tr w:rsidR="00241ACB" w:rsidRPr="006B2F60" w14:paraId="38EE8653" w14:textId="77777777" w:rsidTr="00DE3143">
        <w:trPr>
          <w:trHeight w:val="840"/>
        </w:trPr>
        <w:tc>
          <w:tcPr>
            <w:tcW w:w="754" w:type="pct"/>
            <w:vMerge w:val="restart"/>
            <w:tcBorders>
              <w:top w:val="single" w:sz="4" w:space="0" w:color="auto"/>
              <w:left w:val="single" w:sz="4" w:space="0" w:color="auto"/>
              <w:bottom w:val="single" w:sz="4" w:space="0" w:color="000000"/>
              <w:right w:val="single" w:sz="4" w:space="0" w:color="auto"/>
            </w:tcBorders>
            <w:shd w:val="clear" w:color="auto" w:fill="auto"/>
            <w:hideMark/>
          </w:tcPr>
          <w:p w14:paraId="27C71A3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Operational Inefficiencies </w:t>
            </w:r>
          </w:p>
        </w:tc>
        <w:tc>
          <w:tcPr>
            <w:tcW w:w="362" w:type="pct"/>
            <w:vMerge w:val="restart"/>
            <w:tcBorders>
              <w:top w:val="single" w:sz="4" w:space="0" w:color="auto"/>
              <w:left w:val="single" w:sz="4" w:space="0" w:color="auto"/>
              <w:bottom w:val="single" w:sz="4" w:space="0" w:color="000000"/>
              <w:right w:val="single" w:sz="4" w:space="0" w:color="auto"/>
            </w:tcBorders>
            <w:shd w:val="clear" w:color="auto" w:fill="auto"/>
            <w:hideMark/>
          </w:tcPr>
          <w:p w14:paraId="1C46994A"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20</w:t>
            </w:r>
          </w:p>
        </w:tc>
        <w:tc>
          <w:tcPr>
            <w:tcW w:w="396" w:type="pct"/>
            <w:vMerge w:val="restart"/>
            <w:tcBorders>
              <w:top w:val="single" w:sz="4" w:space="0" w:color="auto"/>
              <w:left w:val="single" w:sz="4" w:space="0" w:color="auto"/>
              <w:bottom w:val="single" w:sz="4" w:space="0" w:color="000000"/>
              <w:right w:val="single" w:sz="4" w:space="0" w:color="auto"/>
            </w:tcBorders>
            <w:shd w:val="clear" w:color="auto" w:fill="auto"/>
            <w:hideMark/>
          </w:tcPr>
          <w:p w14:paraId="5B735A69"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19%</w:t>
            </w:r>
          </w:p>
        </w:tc>
        <w:tc>
          <w:tcPr>
            <w:tcW w:w="991" w:type="pct"/>
            <w:tcBorders>
              <w:top w:val="single" w:sz="4" w:space="0" w:color="auto"/>
              <w:left w:val="nil"/>
              <w:bottom w:val="single" w:sz="4" w:space="0" w:color="auto"/>
              <w:right w:val="single" w:sz="4" w:space="0" w:color="auto"/>
            </w:tcBorders>
            <w:shd w:val="clear" w:color="auto" w:fill="auto"/>
            <w:hideMark/>
          </w:tcPr>
          <w:p w14:paraId="736066A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c>
          <w:tcPr>
            <w:tcW w:w="362" w:type="pct"/>
            <w:tcBorders>
              <w:top w:val="single" w:sz="4" w:space="0" w:color="auto"/>
              <w:left w:val="nil"/>
              <w:bottom w:val="single" w:sz="4" w:space="0" w:color="auto"/>
              <w:right w:val="single" w:sz="4" w:space="0" w:color="auto"/>
            </w:tcBorders>
            <w:shd w:val="clear" w:color="auto" w:fill="auto"/>
            <w:hideMark/>
          </w:tcPr>
          <w:p w14:paraId="544E0B53"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12</w:t>
            </w:r>
          </w:p>
        </w:tc>
        <w:tc>
          <w:tcPr>
            <w:tcW w:w="2135" w:type="pct"/>
            <w:tcBorders>
              <w:top w:val="single" w:sz="4" w:space="0" w:color="auto"/>
              <w:left w:val="nil"/>
              <w:bottom w:val="single" w:sz="4" w:space="0" w:color="auto"/>
              <w:right w:val="single" w:sz="4" w:space="0" w:color="auto"/>
            </w:tcBorders>
            <w:shd w:val="clear" w:color="auto" w:fill="auto"/>
            <w:hideMark/>
          </w:tcPr>
          <w:p w14:paraId="51154B1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Khan (2007), Vijayakumar et al. (2005), Yeboah</w:t>
            </w:r>
            <w:r w:rsidRPr="006B2F60">
              <w:rPr>
                <w:rFonts w:ascii="Cambria Math" w:eastAsia="Times New Roman" w:hAnsi="Cambria Math" w:cs="Cambria Math"/>
                <w:color w:val="000000"/>
                <w:sz w:val="16"/>
                <w:szCs w:val="16"/>
                <w:lang w:eastAsia="en-GB"/>
              </w:rPr>
              <w:t>‐</w:t>
            </w:r>
            <w:r w:rsidRPr="006B2F60">
              <w:rPr>
                <w:rFonts w:eastAsia="Times New Roman" w:cstheme="minorHAnsi"/>
                <w:color w:val="000000"/>
                <w:sz w:val="16"/>
                <w:szCs w:val="16"/>
                <w:lang w:eastAsia="en-GB"/>
              </w:rPr>
              <w:t>Assiamah and Alesu</w:t>
            </w:r>
            <w:r w:rsidRPr="006B2F60">
              <w:rPr>
                <w:rFonts w:ascii="Cambria Math" w:eastAsia="Times New Roman" w:hAnsi="Cambria Math" w:cs="Cambria Math"/>
                <w:color w:val="000000"/>
                <w:sz w:val="16"/>
                <w:szCs w:val="16"/>
                <w:lang w:eastAsia="en-GB"/>
              </w:rPr>
              <w:t>‐</w:t>
            </w:r>
            <w:r w:rsidRPr="006B2F60">
              <w:rPr>
                <w:rFonts w:eastAsia="Times New Roman" w:cstheme="minorHAnsi"/>
                <w:color w:val="000000"/>
                <w:sz w:val="16"/>
                <w:szCs w:val="16"/>
                <w:lang w:eastAsia="en-GB"/>
              </w:rPr>
              <w:t>Dordzi (2016), Julius and Christabel (2020), KAREEM et al. (2020), Kazemi Zaroomi et al. (2020), Thyaka and Kavale (2021), Sani et al. (2021), López (2022), Obiomachukwu et al. (2023), Mwesiga et al. (2023), and Abu et al. (2023)</w:t>
            </w:r>
          </w:p>
        </w:tc>
      </w:tr>
      <w:tr w:rsidR="00241ACB" w:rsidRPr="006B2F60" w14:paraId="31C76EB6" w14:textId="77777777" w:rsidTr="00DE3143">
        <w:trPr>
          <w:trHeight w:val="420"/>
        </w:trPr>
        <w:tc>
          <w:tcPr>
            <w:tcW w:w="754" w:type="pct"/>
            <w:vMerge/>
            <w:tcBorders>
              <w:top w:val="nil"/>
              <w:left w:val="single" w:sz="4" w:space="0" w:color="auto"/>
              <w:bottom w:val="single" w:sz="4" w:space="0" w:color="000000"/>
              <w:right w:val="single" w:sz="4" w:space="0" w:color="auto"/>
            </w:tcBorders>
            <w:vAlign w:val="center"/>
            <w:hideMark/>
          </w:tcPr>
          <w:p w14:paraId="31A3F73E"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7A50DE3C"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0B6AA667"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157E619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c>
          <w:tcPr>
            <w:tcW w:w="362" w:type="pct"/>
            <w:tcBorders>
              <w:top w:val="nil"/>
              <w:left w:val="nil"/>
              <w:bottom w:val="single" w:sz="4" w:space="0" w:color="auto"/>
              <w:right w:val="single" w:sz="4" w:space="0" w:color="auto"/>
            </w:tcBorders>
            <w:shd w:val="clear" w:color="auto" w:fill="auto"/>
            <w:hideMark/>
          </w:tcPr>
          <w:p w14:paraId="2C736D3F"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135" w:type="pct"/>
            <w:tcBorders>
              <w:top w:val="nil"/>
              <w:left w:val="nil"/>
              <w:bottom w:val="single" w:sz="4" w:space="0" w:color="auto"/>
              <w:right w:val="single" w:sz="4" w:space="0" w:color="auto"/>
            </w:tcBorders>
            <w:shd w:val="clear" w:color="auto" w:fill="auto"/>
            <w:hideMark/>
          </w:tcPr>
          <w:p w14:paraId="6332DFF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Sargent and Holmes (2014)</w:t>
            </w:r>
          </w:p>
        </w:tc>
      </w:tr>
      <w:tr w:rsidR="00241ACB" w:rsidRPr="006B2F60" w14:paraId="30B8EA62" w14:textId="77777777" w:rsidTr="00DE3143">
        <w:trPr>
          <w:trHeight w:val="420"/>
        </w:trPr>
        <w:tc>
          <w:tcPr>
            <w:tcW w:w="754" w:type="pct"/>
            <w:vMerge/>
            <w:tcBorders>
              <w:top w:val="nil"/>
              <w:left w:val="single" w:sz="4" w:space="0" w:color="auto"/>
              <w:bottom w:val="single" w:sz="4" w:space="0" w:color="000000"/>
              <w:right w:val="single" w:sz="4" w:space="0" w:color="auto"/>
            </w:tcBorders>
            <w:vAlign w:val="center"/>
            <w:hideMark/>
          </w:tcPr>
          <w:p w14:paraId="4AEEFD61"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4D7B5418"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0F55FF1A"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71284EE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c>
          <w:tcPr>
            <w:tcW w:w="362" w:type="pct"/>
            <w:tcBorders>
              <w:top w:val="nil"/>
              <w:left w:val="nil"/>
              <w:bottom w:val="single" w:sz="4" w:space="0" w:color="auto"/>
              <w:right w:val="single" w:sz="4" w:space="0" w:color="auto"/>
            </w:tcBorders>
            <w:shd w:val="clear" w:color="auto" w:fill="auto"/>
            <w:hideMark/>
          </w:tcPr>
          <w:p w14:paraId="3266DDB0"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3</w:t>
            </w:r>
          </w:p>
        </w:tc>
        <w:tc>
          <w:tcPr>
            <w:tcW w:w="2135" w:type="pct"/>
            <w:tcBorders>
              <w:top w:val="nil"/>
              <w:left w:val="nil"/>
              <w:bottom w:val="single" w:sz="4" w:space="0" w:color="auto"/>
              <w:right w:val="single" w:sz="4" w:space="0" w:color="auto"/>
            </w:tcBorders>
            <w:shd w:val="clear" w:color="auto" w:fill="auto"/>
            <w:hideMark/>
          </w:tcPr>
          <w:p w14:paraId="2F537B9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Brueckner and Kim (2003), Tashu and Makiva (2022), and Ogwang et al. (2023)</w:t>
            </w:r>
          </w:p>
        </w:tc>
      </w:tr>
      <w:tr w:rsidR="00241ACB" w:rsidRPr="006B2F60" w14:paraId="1540BEFE" w14:textId="77777777" w:rsidTr="00DE3143">
        <w:trPr>
          <w:trHeight w:val="420"/>
        </w:trPr>
        <w:tc>
          <w:tcPr>
            <w:tcW w:w="754" w:type="pct"/>
            <w:vMerge/>
            <w:tcBorders>
              <w:top w:val="nil"/>
              <w:left w:val="single" w:sz="4" w:space="0" w:color="auto"/>
              <w:bottom w:val="single" w:sz="4" w:space="0" w:color="000000"/>
              <w:right w:val="single" w:sz="4" w:space="0" w:color="auto"/>
            </w:tcBorders>
            <w:vAlign w:val="center"/>
            <w:hideMark/>
          </w:tcPr>
          <w:p w14:paraId="4104709E"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62612E05"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452F60BD"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459F143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8401 - Hospitals (Except Psychiatric Hospitals)</w:t>
            </w:r>
          </w:p>
        </w:tc>
        <w:tc>
          <w:tcPr>
            <w:tcW w:w="362" w:type="pct"/>
            <w:tcBorders>
              <w:top w:val="nil"/>
              <w:left w:val="nil"/>
              <w:bottom w:val="single" w:sz="4" w:space="0" w:color="auto"/>
              <w:right w:val="single" w:sz="4" w:space="0" w:color="auto"/>
            </w:tcBorders>
            <w:shd w:val="clear" w:color="auto" w:fill="auto"/>
            <w:hideMark/>
          </w:tcPr>
          <w:p w14:paraId="02D76EDB"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2135" w:type="pct"/>
            <w:tcBorders>
              <w:top w:val="nil"/>
              <w:left w:val="nil"/>
              <w:bottom w:val="single" w:sz="4" w:space="0" w:color="auto"/>
              <w:right w:val="single" w:sz="4" w:space="0" w:color="auto"/>
            </w:tcBorders>
            <w:shd w:val="clear" w:color="auto" w:fill="auto"/>
            <w:hideMark/>
          </w:tcPr>
          <w:p w14:paraId="1DC4781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Mindel and Mathiassen (2015), Kilanko (2023)</w:t>
            </w:r>
          </w:p>
        </w:tc>
      </w:tr>
      <w:tr w:rsidR="00241ACB" w:rsidRPr="006B2F60" w14:paraId="0BD4FE2D" w14:textId="77777777" w:rsidTr="00DE3143">
        <w:trPr>
          <w:trHeight w:val="210"/>
        </w:trPr>
        <w:tc>
          <w:tcPr>
            <w:tcW w:w="754" w:type="pct"/>
            <w:vMerge/>
            <w:tcBorders>
              <w:top w:val="nil"/>
              <w:left w:val="single" w:sz="4" w:space="0" w:color="auto"/>
              <w:bottom w:val="single" w:sz="4" w:space="0" w:color="000000"/>
              <w:right w:val="single" w:sz="4" w:space="0" w:color="auto"/>
            </w:tcBorders>
            <w:vAlign w:val="center"/>
            <w:hideMark/>
          </w:tcPr>
          <w:p w14:paraId="6FEBC134"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425FEB2A"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74CD8D16"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0CAA753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4511 - Cafes and Restaurants</w:t>
            </w:r>
          </w:p>
        </w:tc>
        <w:tc>
          <w:tcPr>
            <w:tcW w:w="362" w:type="pct"/>
            <w:tcBorders>
              <w:top w:val="nil"/>
              <w:left w:val="nil"/>
              <w:bottom w:val="single" w:sz="4" w:space="0" w:color="auto"/>
              <w:right w:val="single" w:sz="4" w:space="0" w:color="auto"/>
            </w:tcBorders>
            <w:shd w:val="clear" w:color="auto" w:fill="auto"/>
            <w:hideMark/>
          </w:tcPr>
          <w:p w14:paraId="02605C89"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135" w:type="pct"/>
            <w:tcBorders>
              <w:top w:val="nil"/>
              <w:left w:val="nil"/>
              <w:bottom w:val="single" w:sz="4" w:space="0" w:color="auto"/>
              <w:right w:val="single" w:sz="4" w:space="0" w:color="auto"/>
            </w:tcBorders>
            <w:shd w:val="clear" w:color="auto" w:fill="auto"/>
            <w:hideMark/>
          </w:tcPr>
          <w:p w14:paraId="45CAB02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Ingle et al. (2022)</w:t>
            </w:r>
          </w:p>
        </w:tc>
      </w:tr>
      <w:tr w:rsidR="00241ACB" w:rsidRPr="006B2F60" w14:paraId="02935C69" w14:textId="77777777" w:rsidTr="00DE3143">
        <w:trPr>
          <w:trHeight w:val="210"/>
        </w:trPr>
        <w:tc>
          <w:tcPr>
            <w:tcW w:w="754" w:type="pct"/>
            <w:vMerge/>
            <w:tcBorders>
              <w:top w:val="nil"/>
              <w:left w:val="single" w:sz="4" w:space="0" w:color="auto"/>
              <w:bottom w:val="single" w:sz="4" w:space="0" w:color="000000"/>
              <w:right w:val="single" w:sz="4" w:space="0" w:color="auto"/>
            </w:tcBorders>
            <w:vAlign w:val="center"/>
            <w:hideMark/>
          </w:tcPr>
          <w:p w14:paraId="0527B056"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5EA47841"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66A64B79"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14AA567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1351 - Clothing Manufacturing</w:t>
            </w:r>
          </w:p>
        </w:tc>
        <w:tc>
          <w:tcPr>
            <w:tcW w:w="362" w:type="pct"/>
            <w:tcBorders>
              <w:top w:val="nil"/>
              <w:left w:val="nil"/>
              <w:bottom w:val="single" w:sz="4" w:space="0" w:color="auto"/>
              <w:right w:val="single" w:sz="4" w:space="0" w:color="auto"/>
            </w:tcBorders>
            <w:shd w:val="clear" w:color="auto" w:fill="auto"/>
            <w:hideMark/>
          </w:tcPr>
          <w:p w14:paraId="65C3260F"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135" w:type="pct"/>
            <w:tcBorders>
              <w:top w:val="nil"/>
              <w:left w:val="nil"/>
              <w:bottom w:val="single" w:sz="4" w:space="0" w:color="auto"/>
              <w:right w:val="single" w:sz="4" w:space="0" w:color="auto"/>
            </w:tcBorders>
            <w:shd w:val="clear" w:color="auto" w:fill="auto"/>
            <w:hideMark/>
          </w:tcPr>
          <w:p w14:paraId="0A97F4B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Ibrahim and Kennedy (2007)</w:t>
            </w:r>
          </w:p>
        </w:tc>
      </w:tr>
      <w:tr w:rsidR="00241ACB" w:rsidRPr="006B2F60" w14:paraId="1D4A9E0F" w14:textId="77777777" w:rsidTr="00DE3143">
        <w:trPr>
          <w:trHeight w:val="420"/>
        </w:trPr>
        <w:tc>
          <w:tcPr>
            <w:tcW w:w="754" w:type="pct"/>
            <w:vMerge w:val="restart"/>
            <w:tcBorders>
              <w:top w:val="nil"/>
              <w:left w:val="single" w:sz="4" w:space="0" w:color="auto"/>
              <w:bottom w:val="single" w:sz="4" w:space="0" w:color="000000"/>
              <w:right w:val="single" w:sz="4" w:space="0" w:color="auto"/>
            </w:tcBorders>
            <w:shd w:val="clear" w:color="auto" w:fill="auto"/>
            <w:hideMark/>
          </w:tcPr>
          <w:p w14:paraId="6A4CD26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Data Management Issues </w:t>
            </w:r>
          </w:p>
        </w:tc>
        <w:tc>
          <w:tcPr>
            <w:tcW w:w="362" w:type="pct"/>
            <w:vMerge w:val="restart"/>
            <w:tcBorders>
              <w:top w:val="nil"/>
              <w:left w:val="single" w:sz="4" w:space="0" w:color="auto"/>
              <w:bottom w:val="single" w:sz="4" w:space="0" w:color="000000"/>
              <w:right w:val="single" w:sz="4" w:space="0" w:color="auto"/>
            </w:tcBorders>
            <w:shd w:val="clear" w:color="auto" w:fill="auto"/>
            <w:hideMark/>
          </w:tcPr>
          <w:p w14:paraId="2030A458"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10</w:t>
            </w:r>
          </w:p>
        </w:tc>
        <w:tc>
          <w:tcPr>
            <w:tcW w:w="396" w:type="pct"/>
            <w:vMerge w:val="restart"/>
            <w:tcBorders>
              <w:top w:val="nil"/>
              <w:left w:val="single" w:sz="4" w:space="0" w:color="auto"/>
              <w:bottom w:val="single" w:sz="4" w:space="0" w:color="000000"/>
              <w:right w:val="single" w:sz="4" w:space="0" w:color="auto"/>
            </w:tcBorders>
            <w:shd w:val="clear" w:color="auto" w:fill="auto"/>
            <w:hideMark/>
          </w:tcPr>
          <w:p w14:paraId="051D962B"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10%</w:t>
            </w:r>
          </w:p>
        </w:tc>
        <w:tc>
          <w:tcPr>
            <w:tcW w:w="991" w:type="pct"/>
            <w:tcBorders>
              <w:top w:val="nil"/>
              <w:left w:val="nil"/>
              <w:bottom w:val="single" w:sz="4" w:space="0" w:color="auto"/>
              <w:right w:val="single" w:sz="4" w:space="0" w:color="auto"/>
            </w:tcBorders>
            <w:shd w:val="clear" w:color="auto" w:fill="auto"/>
            <w:hideMark/>
          </w:tcPr>
          <w:p w14:paraId="5B16AD1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c>
          <w:tcPr>
            <w:tcW w:w="362" w:type="pct"/>
            <w:tcBorders>
              <w:top w:val="nil"/>
              <w:left w:val="nil"/>
              <w:bottom w:val="single" w:sz="4" w:space="0" w:color="auto"/>
              <w:right w:val="single" w:sz="4" w:space="0" w:color="auto"/>
            </w:tcBorders>
            <w:shd w:val="clear" w:color="auto" w:fill="auto"/>
            <w:hideMark/>
          </w:tcPr>
          <w:p w14:paraId="0FFA168F"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3</w:t>
            </w:r>
          </w:p>
        </w:tc>
        <w:tc>
          <w:tcPr>
            <w:tcW w:w="2135" w:type="pct"/>
            <w:tcBorders>
              <w:top w:val="nil"/>
              <w:left w:val="nil"/>
              <w:bottom w:val="single" w:sz="4" w:space="0" w:color="auto"/>
              <w:right w:val="single" w:sz="4" w:space="0" w:color="auto"/>
            </w:tcBorders>
            <w:shd w:val="clear" w:color="auto" w:fill="auto"/>
            <w:hideMark/>
          </w:tcPr>
          <w:p w14:paraId="084013F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Angok et al. (2021), Thyaka and Kavale (2021), Adhikari (2022)</w:t>
            </w:r>
          </w:p>
        </w:tc>
      </w:tr>
      <w:tr w:rsidR="00241ACB" w:rsidRPr="006B2F60" w14:paraId="494228E8" w14:textId="77777777" w:rsidTr="00DE3143">
        <w:trPr>
          <w:trHeight w:val="420"/>
        </w:trPr>
        <w:tc>
          <w:tcPr>
            <w:tcW w:w="754" w:type="pct"/>
            <w:vMerge/>
            <w:tcBorders>
              <w:top w:val="nil"/>
              <w:left w:val="single" w:sz="4" w:space="0" w:color="auto"/>
              <w:bottom w:val="single" w:sz="4" w:space="0" w:color="000000"/>
              <w:right w:val="single" w:sz="4" w:space="0" w:color="auto"/>
            </w:tcBorders>
            <w:vAlign w:val="center"/>
            <w:hideMark/>
          </w:tcPr>
          <w:p w14:paraId="529E692F"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223611B5"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0F521A3C"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5BC51C3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c>
          <w:tcPr>
            <w:tcW w:w="362" w:type="pct"/>
            <w:tcBorders>
              <w:top w:val="nil"/>
              <w:left w:val="nil"/>
              <w:bottom w:val="single" w:sz="4" w:space="0" w:color="auto"/>
              <w:right w:val="single" w:sz="4" w:space="0" w:color="auto"/>
            </w:tcBorders>
            <w:shd w:val="clear" w:color="auto" w:fill="auto"/>
            <w:hideMark/>
          </w:tcPr>
          <w:p w14:paraId="33D8D24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4</w:t>
            </w:r>
          </w:p>
        </w:tc>
        <w:tc>
          <w:tcPr>
            <w:tcW w:w="2135" w:type="pct"/>
            <w:tcBorders>
              <w:top w:val="nil"/>
              <w:left w:val="nil"/>
              <w:bottom w:val="single" w:sz="4" w:space="0" w:color="auto"/>
              <w:right w:val="single" w:sz="4" w:space="0" w:color="auto"/>
            </w:tcBorders>
            <w:shd w:val="clear" w:color="auto" w:fill="auto"/>
            <w:hideMark/>
          </w:tcPr>
          <w:p w14:paraId="20070B1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Chepkoech et al. (2022), Odhiambo and Nyariki (2022), Ombaba Kennedy  and Ngugi (2023) , Zaini and Yulianto (2023) </w:t>
            </w:r>
          </w:p>
        </w:tc>
      </w:tr>
      <w:tr w:rsidR="00241ACB" w:rsidRPr="006B2F60" w14:paraId="37AF945B" w14:textId="77777777" w:rsidTr="00DE3143">
        <w:trPr>
          <w:trHeight w:val="210"/>
        </w:trPr>
        <w:tc>
          <w:tcPr>
            <w:tcW w:w="754" w:type="pct"/>
            <w:vMerge/>
            <w:tcBorders>
              <w:top w:val="nil"/>
              <w:left w:val="single" w:sz="4" w:space="0" w:color="auto"/>
              <w:bottom w:val="single" w:sz="4" w:space="0" w:color="000000"/>
              <w:right w:val="single" w:sz="4" w:space="0" w:color="auto"/>
            </w:tcBorders>
            <w:vAlign w:val="center"/>
            <w:hideMark/>
          </w:tcPr>
          <w:p w14:paraId="0A28302A"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42CC739B"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387BCB90"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003D2D6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4511 - Cafes and Restaurants</w:t>
            </w:r>
          </w:p>
        </w:tc>
        <w:tc>
          <w:tcPr>
            <w:tcW w:w="362" w:type="pct"/>
            <w:tcBorders>
              <w:top w:val="nil"/>
              <w:left w:val="nil"/>
              <w:bottom w:val="single" w:sz="4" w:space="0" w:color="auto"/>
              <w:right w:val="single" w:sz="4" w:space="0" w:color="auto"/>
            </w:tcBorders>
            <w:shd w:val="clear" w:color="auto" w:fill="auto"/>
            <w:hideMark/>
          </w:tcPr>
          <w:p w14:paraId="4602A27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135" w:type="pct"/>
            <w:tcBorders>
              <w:top w:val="nil"/>
              <w:left w:val="nil"/>
              <w:bottom w:val="single" w:sz="4" w:space="0" w:color="auto"/>
              <w:right w:val="single" w:sz="4" w:space="0" w:color="auto"/>
            </w:tcBorders>
            <w:shd w:val="clear" w:color="auto" w:fill="auto"/>
            <w:hideMark/>
          </w:tcPr>
          <w:p w14:paraId="6E1F092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Ingle et al. (2022)</w:t>
            </w:r>
          </w:p>
        </w:tc>
      </w:tr>
      <w:tr w:rsidR="00241ACB" w:rsidRPr="006B2F60" w14:paraId="7432311C" w14:textId="77777777" w:rsidTr="00DE3143">
        <w:trPr>
          <w:trHeight w:val="420"/>
        </w:trPr>
        <w:tc>
          <w:tcPr>
            <w:tcW w:w="754" w:type="pct"/>
            <w:vMerge/>
            <w:tcBorders>
              <w:top w:val="nil"/>
              <w:left w:val="single" w:sz="4" w:space="0" w:color="auto"/>
              <w:bottom w:val="single" w:sz="4" w:space="0" w:color="000000"/>
              <w:right w:val="single" w:sz="4" w:space="0" w:color="auto"/>
            </w:tcBorders>
            <w:vAlign w:val="center"/>
            <w:hideMark/>
          </w:tcPr>
          <w:p w14:paraId="65DB49E3"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single" w:sz="4" w:space="0" w:color="000000"/>
              <w:right w:val="single" w:sz="4" w:space="0" w:color="auto"/>
            </w:tcBorders>
            <w:vAlign w:val="center"/>
            <w:hideMark/>
          </w:tcPr>
          <w:p w14:paraId="28AE79B6"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single" w:sz="4" w:space="0" w:color="000000"/>
              <w:right w:val="single" w:sz="4" w:space="0" w:color="auto"/>
            </w:tcBorders>
            <w:vAlign w:val="center"/>
            <w:hideMark/>
          </w:tcPr>
          <w:p w14:paraId="487FF257"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6F80C86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8401 - Hospitals (Except Psychiatric Hospitals)</w:t>
            </w:r>
          </w:p>
        </w:tc>
        <w:tc>
          <w:tcPr>
            <w:tcW w:w="362" w:type="pct"/>
            <w:tcBorders>
              <w:top w:val="nil"/>
              <w:left w:val="nil"/>
              <w:bottom w:val="single" w:sz="4" w:space="0" w:color="auto"/>
              <w:right w:val="single" w:sz="4" w:space="0" w:color="auto"/>
            </w:tcBorders>
            <w:shd w:val="clear" w:color="auto" w:fill="auto"/>
            <w:hideMark/>
          </w:tcPr>
          <w:p w14:paraId="3A95C8C0"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2135" w:type="pct"/>
            <w:tcBorders>
              <w:top w:val="nil"/>
              <w:left w:val="nil"/>
              <w:bottom w:val="single" w:sz="4" w:space="0" w:color="auto"/>
              <w:right w:val="single" w:sz="4" w:space="0" w:color="auto"/>
            </w:tcBorders>
            <w:shd w:val="clear" w:color="auto" w:fill="auto"/>
            <w:hideMark/>
          </w:tcPr>
          <w:p w14:paraId="1F434EC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Pan and Chou (2011), Kilanko (2023)</w:t>
            </w:r>
          </w:p>
        </w:tc>
      </w:tr>
      <w:tr w:rsidR="00241ACB" w:rsidRPr="006B2F60" w14:paraId="737DA1E2" w14:textId="77777777" w:rsidTr="00DE3143">
        <w:trPr>
          <w:trHeight w:val="420"/>
        </w:trPr>
        <w:tc>
          <w:tcPr>
            <w:tcW w:w="754" w:type="pct"/>
            <w:vMerge w:val="restart"/>
            <w:tcBorders>
              <w:top w:val="nil"/>
              <w:left w:val="single" w:sz="4" w:space="0" w:color="auto"/>
              <w:bottom w:val="nil"/>
              <w:right w:val="single" w:sz="4" w:space="0" w:color="auto"/>
            </w:tcBorders>
            <w:shd w:val="clear" w:color="auto" w:fill="auto"/>
            <w:hideMark/>
          </w:tcPr>
          <w:p w14:paraId="4492F2F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Tax Avoidance </w:t>
            </w:r>
          </w:p>
        </w:tc>
        <w:tc>
          <w:tcPr>
            <w:tcW w:w="362" w:type="pct"/>
            <w:vMerge w:val="restart"/>
            <w:tcBorders>
              <w:top w:val="nil"/>
              <w:left w:val="single" w:sz="4" w:space="0" w:color="auto"/>
              <w:bottom w:val="nil"/>
              <w:right w:val="single" w:sz="4" w:space="0" w:color="auto"/>
            </w:tcBorders>
            <w:shd w:val="clear" w:color="auto" w:fill="auto"/>
            <w:hideMark/>
          </w:tcPr>
          <w:p w14:paraId="547EAD17"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10</w:t>
            </w:r>
          </w:p>
        </w:tc>
        <w:tc>
          <w:tcPr>
            <w:tcW w:w="396" w:type="pct"/>
            <w:vMerge w:val="restart"/>
            <w:tcBorders>
              <w:top w:val="nil"/>
              <w:left w:val="single" w:sz="4" w:space="0" w:color="auto"/>
              <w:bottom w:val="nil"/>
              <w:right w:val="single" w:sz="4" w:space="0" w:color="auto"/>
            </w:tcBorders>
            <w:shd w:val="clear" w:color="auto" w:fill="auto"/>
            <w:hideMark/>
          </w:tcPr>
          <w:p w14:paraId="1AC32546"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10%</w:t>
            </w:r>
          </w:p>
        </w:tc>
        <w:tc>
          <w:tcPr>
            <w:tcW w:w="991" w:type="pct"/>
            <w:tcBorders>
              <w:top w:val="nil"/>
              <w:left w:val="nil"/>
              <w:bottom w:val="single" w:sz="4" w:space="0" w:color="auto"/>
              <w:right w:val="single" w:sz="4" w:space="0" w:color="auto"/>
            </w:tcBorders>
            <w:shd w:val="clear" w:color="auto" w:fill="auto"/>
            <w:hideMark/>
          </w:tcPr>
          <w:p w14:paraId="4B79A0B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c>
          <w:tcPr>
            <w:tcW w:w="362" w:type="pct"/>
            <w:tcBorders>
              <w:top w:val="nil"/>
              <w:left w:val="nil"/>
              <w:bottom w:val="single" w:sz="4" w:space="0" w:color="auto"/>
              <w:right w:val="single" w:sz="4" w:space="0" w:color="auto"/>
            </w:tcBorders>
            <w:shd w:val="clear" w:color="auto" w:fill="auto"/>
            <w:hideMark/>
          </w:tcPr>
          <w:p w14:paraId="14171506"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8</w:t>
            </w:r>
          </w:p>
        </w:tc>
        <w:tc>
          <w:tcPr>
            <w:tcW w:w="2135" w:type="pct"/>
            <w:tcBorders>
              <w:top w:val="nil"/>
              <w:left w:val="nil"/>
              <w:bottom w:val="single" w:sz="4" w:space="0" w:color="auto"/>
              <w:right w:val="single" w:sz="4" w:space="0" w:color="auto"/>
            </w:tcBorders>
            <w:shd w:val="clear" w:color="auto" w:fill="auto"/>
            <w:hideMark/>
          </w:tcPr>
          <w:p w14:paraId="548E55C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Slemrod (1998), Barkoczy (2000), Jenkins and Kuo (2000), Evans (2002), Strange (2003), Eccleston (2007), Slemrod (2010), Olaniyi et al. (2019)</w:t>
            </w:r>
          </w:p>
        </w:tc>
      </w:tr>
      <w:tr w:rsidR="00241ACB" w:rsidRPr="006B2F60" w14:paraId="1BC4FDF3" w14:textId="77777777" w:rsidTr="00DE3143">
        <w:trPr>
          <w:trHeight w:val="420"/>
        </w:trPr>
        <w:tc>
          <w:tcPr>
            <w:tcW w:w="754" w:type="pct"/>
            <w:vMerge/>
            <w:tcBorders>
              <w:top w:val="nil"/>
              <w:left w:val="single" w:sz="4" w:space="0" w:color="auto"/>
              <w:bottom w:val="nil"/>
              <w:right w:val="single" w:sz="4" w:space="0" w:color="auto"/>
            </w:tcBorders>
            <w:vAlign w:val="center"/>
            <w:hideMark/>
          </w:tcPr>
          <w:p w14:paraId="35B85F33"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nil"/>
              <w:left w:val="single" w:sz="4" w:space="0" w:color="auto"/>
              <w:bottom w:val="nil"/>
              <w:right w:val="single" w:sz="4" w:space="0" w:color="auto"/>
            </w:tcBorders>
            <w:vAlign w:val="center"/>
            <w:hideMark/>
          </w:tcPr>
          <w:p w14:paraId="7D290A5B"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nil"/>
              <w:left w:val="single" w:sz="4" w:space="0" w:color="auto"/>
              <w:bottom w:val="nil"/>
              <w:right w:val="single" w:sz="4" w:space="0" w:color="auto"/>
            </w:tcBorders>
            <w:vAlign w:val="center"/>
            <w:hideMark/>
          </w:tcPr>
          <w:p w14:paraId="2A7F354E"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6D2CA8B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c>
          <w:tcPr>
            <w:tcW w:w="362" w:type="pct"/>
            <w:tcBorders>
              <w:top w:val="nil"/>
              <w:left w:val="nil"/>
              <w:bottom w:val="single" w:sz="4" w:space="0" w:color="auto"/>
              <w:right w:val="single" w:sz="4" w:space="0" w:color="auto"/>
            </w:tcBorders>
            <w:shd w:val="clear" w:color="auto" w:fill="auto"/>
            <w:hideMark/>
          </w:tcPr>
          <w:p w14:paraId="65510A8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2135" w:type="pct"/>
            <w:tcBorders>
              <w:top w:val="nil"/>
              <w:left w:val="nil"/>
              <w:bottom w:val="single" w:sz="4" w:space="0" w:color="auto"/>
              <w:right w:val="single" w:sz="4" w:space="0" w:color="auto"/>
            </w:tcBorders>
            <w:shd w:val="clear" w:color="auto" w:fill="auto"/>
            <w:hideMark/>
          </w:tcPr>
          <w:p w14:paraId="710D06A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Nicholson et al. (2016), Goel and Saunoris (2019)</w:t>
            </w:r>
          </w:p>
        </w:tc>
      </w:tr>
      <w:tr w:rsidR="00241ACB" w:rsidRPr="006B2F60" w14:paraId="3A77631D" w14:textId="77777777" w:rsidTr="00DE3143">
        <w:trPr>
          <w:trHeight w:val="420"/>
        </w:trPr>
        <w:tc>
          <w:tcPr>
            <w:tcW w:w="754" w:type="pct"/>
            <w:vMerge w:val="restart"/>
            <w:tcBorders>
              <w:top w:val="single" w:sz="4" w:space="0" w:color="auto"/>
              <w:left w:val="single" w:sz="4" w:space="0" w:color="auto"/>
              <w:bottom w:val="single" w:sz="4" w:space="0" w:color="000000"/>
              <w:right w:val="single" w:sz="4" w:space="0" w:color="auto"/>
            </w:tcBorders>
            <w:shd w:val="clear" w:color="auto" w:fill="auto"/>
            <w:hideMark/>
          </w:tcPr>
          <w:p w14:paraId="6F4F1FA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Billing and Charge Errors </w:t>
            </w:r>
          </w:p>
        </w:tc>
        <w:tc>
          <w:tcPr>
            <w:tcW w:w="362" w:type="pct"/>
            <w:vMerge w:val="restart"/>
            <w:tcBorders>
              <w:top w:val="single" w:sz="4" w:space="0" w:color="auto"/>
              <w:left w:val="single" w:sz="4" w:space="0" w:color="auto"/>
              <w:bottom w:val="single" w:sz="4" w:space="0" w:color="000000"/>
              <w:right w:val="single" w:sz="4" w:space="0" w:color="auto"/>
            </w:tcBorders>
            <w:shd w:val="clear" w:color="auto" w:fill="auto"/>
            <w:hideMark/>
          </w:tcPr>
          <w:p w14:paraId="497D40D9"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8</w:t>
            </w:r>
          </w:p>
        </w:tc>
        <w:tc>
          <w:tcPr>
            <w:tcW w:w="396" w:type="pct"/>
            <w:vMerge w:val="restart"/>
            <w:tcBorders>
              <w:top w:val="single" w:sz="4" w:space="0" w:color="auto"/>
              <w:left w:val="single" w:sz="4" w:space="0" w:color="auto"/>
              <w:bottom w:val="single" w:sz="4" w:space="0" w:color="000000"/>
              <w:right w:val="single" w:sz="4" w:space="0" w:color="auto"/>
            </w:tcBorders>
            <w:shd w:val="clear" w:color="auto" w:fill="auto"/>
            <w:hideMark/>
          </w:tcPr>
          <w:p w14:paraId="652DAB4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8%</w:t>
            </w:r>
          </w:p>
        </w:tc>
        <w:tc>
          <w:tcPr>
            <w:tcW w:w="991" w:type="pct"/>
            <w:tcBorders>
              <w:top w:val="nil"/>
              <w:left w:val="nil"/>
              <w:bottom w:val="single" w:sz="4" w:space="0" w:color="auto"/>
              <w:right w:val="single" w:sz="4" w:space="0" w:color="auto"/>
            </w:tcBorders>
            <w:shd w:val="clear" w:color="auto" w:fill="auto"/>
            <w:hideMark/>
          </w:tcPr>
          <w:p w14:paraId="240FE86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8401 - Hospitals (Except Psychiatric Hospitals)</w:t>
            </w:r>
          </w:p>
        </w:tc>
        <w:tc>
          <w:tcPr>
            <w:tcW w:w="362" w:type="pct"/>
            <w:tcBorders>
              <w:top w:val="nil"/>
              <w:left w:val="nil"/>
              <w:bottom w:val="single" w:sz="4" w:space="0" w:color="auto"/>
              <w:right w:val="single" w:sz="4" w:space="0" w:color="auto"/>
            </w:tcBorders>
            <w:shd w:val="clear" w:color="auto" w:fill="auto"/>
            <w:hideMark/>
          </w:tcPr>
          <w:p w14:paraId="11549B8E"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5</w:t>
            </w:r>
          </w:p>
        </w:tc>
        <w:tc>
          <w:tcPr>
            <w:tcW w:w="2135" w:type="pct"/>
            <w:tcBorders>
              <w:top w:val="nil"/>
              <w:left w:val="nil"/>
              <w:bottom w:val="single" w:sz="4" w:space="0" w:color="auto"/>
              <w:right w:val="single" w:sz="4" w:space="0" w:color="auto"/>
            </w:tcBorders>
            <w:shd w:val="clear" w:color="auto" w:fill="auto"/>
            <w:hideMark/>
          </w:tcPr>
          <w:p w14:paraId="75E0570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Pan and Chou (2011), Mindel and Mathiassen (2015), Benson-Iyare and Soriyan (2018), Kilanko (2023), Rodgers et al. (2023)</w:t>
            </w:r>
          </w:p>
        </w:tc>
      </w:tr>
      <w:tr w:rsidR="00241ACB" w:rsidRPr="006B2F60" w14:paraId="7002E3AA" w14:textId="77777777" w:rsidTr="00DE3143">
        <w:trPr>
          <w:trHeight w:val="420"/>
        </w:trPr>
        <w:tc>
          <w:tcPr>
            <w:tcW w:w="754" w:type="pct"/>
            <w:vMerge/>
            <w:tcBorders>
              <w:top w:val="single" w:sz="4" w:space="0" w:color="auto"/>
              <w:left w:val="single" w:sz="4" w:space="0" w:color="auto"/>
              <w:bottom w:val="single" w:sz="4" w:space="0" w:color="000000"/>
              <w:right w:val="single" w:sz="4" w:space="0" w:color="auto"/>
            </w:tcBorders>
            <w:vAlign w:val="center"/>
            <w:hideMark/>
          </w:tcPr>
          <w:p w14:paraId="11221299"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single" w:sz="4" w:space="0" w:color="auto"/>
              <w:left w:val="single" w:sz="4" w:space="0" w:color="auto"/>
              <w:bottom w:val="single" w:sz="4" w:space="0" w:color="000000"/>
              <w:right w:val="single" w:sz="4" w:space="0" w:color="auto"/>
            </w:tcBorders>
            <w:vAlign w:val="center"/>
            <w:hideMark/>
          </w:tcPr>
          <w:p w14:paraId="633040DC"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single" w:sz="4" w:space="0" w:color="auto"/>
              <w:left w:val="single" w:sz="4" w:space="0" w:color="auto"/>
              <w:bottom w:val="single" w:sz="4" w:space="0" w:color="000000"/>
              <w:right w:val="single" w:sz="4" w:space="0" w:color="auto"/>
            </w:tcBorders>
            <w:vAlign w:val="center"/>
            <w:hideMark/>
          </w:tcPr>
          <w:p w14:paraId="4D352A7D"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0BABCCD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5802 - Other Telecommunications Network Operation</w:t>
            </w:r>
          </w:p>
        </w:tc>
        <w:tc>
          <w:tcPr>
            <w:tcW w:w="362" w:type="pct"/>
            <w:tcBorders>
              <w:top w:val="nil"/>
              <w:left w:val="nil"/>
              <w:bottom w:val="single" w:sz="4" w:space="0" w:color="auto"/>
              <w:right w:val="single" w:sz="4" w:space="0" w:color="auto"/>
            </w:tcBorders>
            <w:shd w:val="clear" w:color="auto" w:fill="auto"/>
            <w:hideMark/>
          </w:tcPr>
          <w:p w14:paraId="58DDF5E6"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135" w:type="pct"/>
            <w:tcBorders>
              <w:top w:val="nil"/>
              <w:left w:val="nil"/>
              <w:bottom w:val="single" w:sz="4" w:space="0" w:color="auto"/>
              <w:right w:val="single" w:sz="4" w:space="0" w:color="auto"/>
            </w:tcBorders>
            <w:shd w:val="clear" w:color="auto" w:fill="auto"/>
            <w:hideMark/>
          </w:tcPr>
          <w:p w14:paraId="562F4F5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Idamakanti and Bhardwaj (2017)</w:t>
            </w:r>
          </w:p>
        </w:tc>
      </w:tr>
      <w:tr w:rsidR="00241ACB" w:rsidRPr="006B2F60" w14:paraId="76D849FE" w14:textId="77777777" w:rsidTr="00DE3143">
        <w:trPr>
          <w:trHeight w:val="420"/>
        </w:trPr>
        <w:tc>
          <w:tcPr>
            <w:tcW w:w="754" w:type="pct"/>
            <w:vMerge/>
            <w:tcBorders>
              <w:top w:val="single" w:sz="4" w:space="0" w:color="auto"/>
              <w:left w:val="single" w:sz="4" w:space="0" w:color="auto"/>
              <w:bottom w:val="single" w:sz="4" w:space="0" w:color="000000"/>
              <w:right w:val="single" w:sz="4" w:space="0" w:color="auto"/>
            </w:tcBorders>
            <w:vAlign w:val="center"/>
            <w:hideMark/>
          </w:tcPr>
          <w:p w14:paraId="39E4D9A8"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single" w:sz="4" w:space="0" w:color="auto"/>
              <w:left w:val="single" w:sz="4" w:space="0" w:color="auto"/>
              <w:bottom w:val="single" w:sz="4" w:space="0" w:color="000000"/>
              <w:right w:val="single" w:sz="4" w:space="0" w:color="auto"/>
            </w:tcBorders>
            <w:vAlign w:val="center"/>
            <w:hideMark/>
          </w:tcPr>
          <w:p w14:paraId="1B7EE743"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single" w:sz="4" w:space="0" w:color="auto"/>
              <w:left w:val="single" w:sz="4" w:space="0" w:color="auto"/>
              <w:bottom w:val="single" w:sz="4" w:space="0" w:color="000000"/>
              <w:right w:val="single" w:sz="4" w:space="0" w:color="auto"/>
            </w:tcBorders>
            <w:vAlign w:val="center"/>
            <w:hideMark/>
          </w:tcPr>
          <w:p w14:paraId="6E7AB806"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74F2B15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c>
          <w:tcPr>
            <w:tcW w:w="362" w:type="pct"/>
            <w:tcBorders>
              <w:top w:val="nil"/>
              <w:left w:val="nil"/>
              <w:bottom w:val="single" w:sz="4" w:space="0" w:color="auto"/>
              <w:right w:val="single" w:sz="4" w:space="0" w:color="auto"/>
            </w:tcBorders>
            <w:shd w:val="clear" w:color="auto" w:fill="auto"/>
            <w:hideMark/>
          </w:tcPr>
          <w:p w14:paraId="1D8A5DDA"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135" w:type="pct"/>
            <w:tcBorders>
              <w:top w:val="nil"/>
              <w:left w:val="nil"/>
              <w:bottom w:val="single" w:sz="4" w:space="0" w:color="auto"/>
              <w:right w:val="single" w:sz="4" w:space="0" w:color="auto"/>
            </w:tcBorders>
            <w:shd w:val="clear" w:color="auto" w:fill="auto"/>
            <w:hideMark/>
          </w:tcPr>
          <w:p w14:paraId="603F48C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Goel and Nelson (2007)</w:t>
            </w:r>
          </w:p>
        </w:tc>
      </w:tr>
      <w:tr w:rsidR="00241ACB" w:rsidRPr="006B2F60" w14:paraId="7543D993" w14:textId="77777777" w:rsidTr="00DE3143">
        <w:trPr>
          <w:trHeight w:val="210"/>
        </w:trPr>
        <w:tc>
          <w:tcPr>
            <w:tcW w:w="754" w:type="pct"/>
            <w:vMerge/>
            <w:tcBorders>
              <w:top w:val="single" w:sz="4" w:space="0" w:color="auto"/>
              <w:left w:val="single" w:sz="4" w:space="0" w:color="auto"/>
              <w:bottom w:val="single" w:sz="4" w:space="0" w:color="000000"/>
              <w:right w:val="single" w:sz="4" w:space="0" w:color="auto"/>
            </w:tcBorders>
            <w:vAlign w:val="center"/>
            <w:hideMark/>
          </w:tcPr>
          <w:p w14:paraId="629B8298"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62" w:type="pct"/>
            <w:vMerge/>
            <w:tcBorders>
              <w:top w:val="single" w:sz="4" w:space="0" w:color="auto"/>
              <w:left w:val="single" w:sz="4" w:space="0" w:color="auto"/>
              <w:bottom w:val="single" w:sz="4" w:space="0" w:color="000000"/>
              <w:right w:val="single" w:sz="4" w:space="0" w:color="auto"/>
            </w:tcBorders>
            <w:vAlign w:val="center"/>
            <w:hideMark/>
          </w:tcPr>
          <w:p w14:paraId="02EDDBA9"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396" w:type="pct"/>
            <w:vMerge/>
            <w:tcBorders>
              <w:top w:val="single" w:sz="4" w:space="0" w:color="auto"/>
              <w:left w:val="single" w:sz="4" w:space="0" w:color="auto"/>
              <w:bottom w:val="single" w:sz="4" w:space="0" w:color="000000"/>
              <w:right w:val="single" w:sz="4" w:space="0" w:color="auto"/>
            </w:tcBorders>
            <w:vAlign w:val="center"/>
            <w:hideMark/>
          </w:tcPr>
          <w:p w14:paraId="7A109F15" w14:textId="77777777" w:rsidR="00241ACB" w:rsidRPr="006B2F60" w:rsidRDefault="00241ACB" w:rsidP="00DE3143">
            <w:pPr>
              <w:spacing w:after="0" w:line="240" w:lineRule="auto"/>
              <w:rPr>
                <w:rFonts w:eastAsia="Times New Roman" w:cstheme="minorHAnsi"/>
                <w:color w:val="000000"/>
                <w:sz w:val="16"/>
                <w:szCs w:val="16"/>
                <w:lang w:eastAsia="en-GB"/>
              </w:rPr>
            </w:pPr>
          </w:p>
        </w:tc>
        <w:tc>
          <w:tcPr>
            <w:tcW w:w="991" w:type="pct"/>
            <w:tcBorders>
              <w:top w:val="nil"/>
              <w:left w:val="nil"/>
              <w:bottom w:val="single" w:sz="4" w:space="0" w:color="auto"/>
              <w:right w:val="single" w:sz="4" w:space="0" w:color="auto"/>
            </w:tcBorders>
            <w:shd w:val="clear" w:color="auto" w:fill="auto"/>
            <w:hideMark/>
          </w:tcPr>
          <w:p w14:paraId="6AB3EDC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6221 - Banking</w:t>
            </w:r>
          </w:p>
        </w:tc>
        <w:tc>
          <w:tcPr>
            <w:tcW w:w="362" w:type="pct"/>
            <w:tcBorders>
              <w:top w:val="nil"/>
              <w:left w:val="nil"/>
              <w:bottom w:val="single" w:sz="4" w:space="0" w:color="auto"/>
              <w:right w:val="single" w:sz="4" w:space="0" w:color="auto"/>
            </w:tcBorders>
            <w:shd w:val="clear" w:color="auto" w:fill="auto"/>
            <w:hideMark/>
          </w:tcPr>
          <w:p w14:paraId="13B5D385"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135" w:type="pct"/>
            <w:tcBorders>
              <w:top w:val="nil"/>
              <w:left w:val="nil"/>
              <w:bottom w:val="single" w:sz="4" w:space="0" w:color="auto"/>
              <w:right w:val="single" w:sz="4" w:space="0" w:color="auto"/>
            </w:tcBorders>
            <w:shd w:val="clear" w:color="auto" w:fill="auto"/>
            <w:hideMark/>
          </w:tcPr>
          <w:p w14:paraId="4180623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Yauri and Yauri (2016)</w:t>
            </w:r>
          </w:p>
        </w:tc>
      </w:tr>
      <w:tr w:rsidR="00241ACB" w:rsidRPr="006B2F60" w14:paraId="03BB218F" w14:textId="77777777" w:rsidTr="00DE3143">
        <w:trPr>
          <w:trHeight w:val="420"/>
        </w:trPr>
        <w:tc>
          <w:tcPr>
            <w:tcW w:w="754" w:type="pct"/>
            <w:tcBorders>
              <w:top w:val="nil"/>
              <w:left w:val="single" w:sz="4" w:space="0" w:color="auto"/>
              <w:bottom w:val="single" w:sz="4" w:space="0" w:color="auto"/>
              <w:right w:val="single" w:sz="4" w:space="0" w:color="auto"/>
            </w:tcBorders>
            <w:shd w:val="clear" w:color="auto" w:fill="auto"/>
            <w:hideMark/>
          </w:tcPr>
          <w:p w14:paraId="46FECC3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Contractual Issues and Breaches</w:t>
            </w:r>
          </w:p>
        </w:tc>
        <w:tc>
          <w:tcPr>
            <w:tcW w:w="362" w:type="pct"/>
            <w:tcBorders>
              <w:top w:val="nil"/>
              <w:left w:val="nil"/>
              <w:bottom w:val="single" w:sz="4" w:space="0" w:color="auto"/>
              <w:right w:val="single" w:sz="4" w:space="0" w:color="auto"/>
            </w:tcBorders>
            <w:shd w:val="clear" w:color="auto" w:fill="auto"/>
            <w:hideMark/>
          </w:tcPr>
          <w:p w14:paraId="37EC744E"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396" w:type="pct"/>
            <w:tcBorders>
              <w:top w:val="nil"/>
              <w:left w:val="nil"/>
              <w:bottom w:val="single" w:sz="4" w:space="0" w:color="auto"/>
              <w:right w:val="single" w:sz="4" w:space="0" w:color="auto"/>
            </w:tcBorders>
            <w:shd w:val="clear" w:color="auto" w:fill="auto"/>
            <w:hideMark/>
          </w:tcPr>
          <w:p w14:paraId="05369B86"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991" w:type="pct"/>
            <w:tcBorders>
              <w:top w:val="nil"/>
              <w:left w:val="nil"/>
              <w:bottom w:val="single" w:sz="4" w:space="0" w:color="auto"/>
              <w:right w:val="single" w:sz="4" w:space="0" w:color="auto"/>
            </w:tcBorders>
            <w:shd w:val="clear" w:color="auto" w:fill="auto"/>
            <w:hideMark/>
          </w:tcPr>
          <w:p w14:paraId="1AF9063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2499 - Other Machinery and Equipment Manufacturing</w:t>
            </w:r>
          </w:p>
        </w:tc>
        <w:tc>
          <w:tcPr>
            <w:tcW w:w="362" w:type="pct"/>
            <w:tcBorders>
              <w:top w:val="nil"/>
              <w:left w:val="nil"/>
              <w:bottom w:val="single" w:sz="4" w:space="0" w:color="auto"/>
              <w:right w:val="single" w:sz="4" w:space="0" w:color="auto"/>
            </w:tcBorders>
            <w:shd w:val="clear" w:color="auto" w:fill="auto"/>
            <w:hideMark/>
          </w:tcPr>
          <w:p w14:paraId="5E70886E"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135" w:type="pct"/>
            <w:tcBorders>
              <w:top w:val="nil"/>
              <w:left w:val="nil"/>
              <w:bottom w:val="single" w:sz="4" w:space="0" w:color="auto"/>
              <w:right w:val="single" w:sz="4" w:space="0" w:color="auto"/>
            </w:tcBorders>
            <w:shd w:val="clear" w:color="auto" w:fill="auto"/>
            <w:hideMark/>
          </w:tcPr>
          <w:p w14:paraId="1E2EC7F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Tang et al. (2020)</w:t>
            </w:r>
          </w:p>
        </w:tc>
      </w:tr>
    </w:tbl>
    <w:p w14:paraId="3D032CF6" w14:textId="77777777" w:rsidR="00241ACB" w:rsidRPr="006B2F60" w:rsidRDefault="00241ACB" w:rsidP="00241ACB">
      <w:pPr>
        <w:spacing w:after="0" w:line="240" w:lineRule="auto"/>
        <w:jc w:val="center"/>
        <w:rPr>
          <w:rFonts w:cstheme="minorHAnsi"/>
          <w:sz w:val="16"/>
          <w:szCs w:val="16"/>
        </w:rPr>
      </w:pPr>
      <w:r w:rsidRPr="006B2F60">
        <w:rPr>
          <w:rFonts w:cstheme="minorHAnsi"/>
          <w:sz w:val="16"/>
          <w:szCs w:val="16"/>
        </w:rPr>
        <w:t>Source: Author's Compilation from the SLR</w:t>
      </w:r>
    </w:p>
    <w:p w14:paraId="3DE0B42E" w14:textId="77777777" w:rsidR="00241ACB" w:rsidRPr="006B2F60" w:rsidRDefault="00241ACB" w:rsidP="00241ACB">
      <w:pPr>
        <w:rPr>
          <w:rFonts w:cstheme="minorHAnsi"/>
          <w:color w:val="000000" w:themeColor="text1"/>
          <w:sz w:val="20"/>
          <w:szCs w:val="20"/>
        </w:rPr>
      </w:pPr>
    </w:p>
    <w:p w14:paraId="706D283E" w14:textId="77777777" w:rsidR="00241ACB" w:rsidRPr="006B2F60" w:rsidRDefault="00241ACB" w:rsidP="00241ACB">
      <w:pPr>
        <w:spacing w:after="0" w:line="240" w:lineRule="auto"/>
        <w:jc w:val="center"/>
        <w:rPr>
          <w:rFonts w:cstheme="minorHAnsi"/>
          <w:color w:val="000000" w:themeColor="text1"/>
          <w:sz w:val="20"/>
          <w:szCs w:val="20"/>
        </w:rPr>
      </w:pPr>
      <w:r w:rsidRPr="006B2F60">
        <w:rPr>
          <w:rFonts w:cstheme="minorHAnsi"/>
          <w:sz w:val="16"/>
          <w:szCs w:val="16"/>
        </w:rPr>
        <w:t>Table 5: Revenue Leakage Detection Strategies Across Industry Sectors</w:t>
      </w:r>
    </w:p>
    <w:tbl>
      <w:tblPr>
        <w:tblW w:w="5000" w:type="pct"/>
        <w:tblLook w:val="04A0" w:firstRow="1" w:lastRow="0" w:firstColumn="1" w:lastColumn="0" w:noHBand="0" w:noVBand="1"/>
      </w:tblPr>
      <w:tblGrid>
        <w:gridCol w:w="2232"/>
        <w:gridCol w:w="906"/>
        <w:gridCol w:w="986"/>
        <w:gridCol w:w="2515"/>
        <w:gridCol w:w="959"/>
        <w:gridCol w:w="5352"/>
      </w:tblGrid>
      <w:tr w:rsidR="00241ACB" w:rsidRPr="006B2F60" w14:paraId="7C1FC216" w14:textId="77777777" w:rsidTr="00DE3143">
        <w:trPr>
          <w:trHeight w:val="840"/>
        </w:trPr>
        <w:tc>
          <w:tcPr>
            <w:tcW w:w="865" w:type="pct"/>
            <w:tcBorders>
              <w:top w:val="single" w:sz="4" w:space="0" w:color="auto"/>
              <w:left w:val="single" w:sz="4" w:space="0" w:color="auto"/>
              <w:bottom w:val="single" w:sz="4" w:space="0" w:color="auto"/>
              <w:right w:val="single" w:sz="4" w:space="0" w:color="auto"/>
            </w:tcBorders>
            <w:shd w:val="clear" w:color="000000" w:fill="BFBFBF"/>
            <w:hideMark/>
          </w:tcPr>
          <w:p w14:paraId="26ADC311"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lastRenderedPageBreak/>
              <w:t>RL Detection Strategies</w:t>
            </w:r>
          </w:p>
        </w:tc>
        <w:tc>
          <w:tcPr>
            <w:tcW w:w="343" w:type="pct"/>
            <w:tcBorders>
              <w:top w:val="single" w:sz="4" w:space="0" w:color="auto"/>
              <w:left w:val="nil"/>
              <w:bottom w:val="single" w:sz="4" w:space="0" w:color="auto"/>
              <w:right w:val="single" w:sz="4" w:space="0" w:color="auto"/>
            </w:tcBorders>
            <w:shd w:val="clear" w:color="000000" w:fill="BFBFBF"/>
            <w:hideMark/>
          </w:tcPr>
          <w:p w14:paraId="7321366B"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Total Research Count</w:t>
            </w:r>
          </w:p>
        </w:tc>
        <w:tc>
          <w:tcPr>
            <w:tcW w:w="376" w:type="pct"/>
            <w:tcBorders>
              <w:top w:val="single" w:sz="4" w:space="0" w:color="auto"/>
              <w:left w:val="nil"/>
              <w:bottom w:val="single" w:sz="4" w:space="0" w:color="auto"/>
              <w:right w:val="single" w:sz="4" w:space="0" w:color="auto"/>
            </w:tcBorders>
            <w:shd w:val="clear" w:color="000000" w:fill="BFBFBF"/>
            <w:hideMark/>
          </w:tcPr>
          <w:p w14:paraId="5C319F81"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Reporting Frequency (%)</w:t>
            </w:r>
          </w:p>
        </w:tc>
        <w:tc>
          <w:tcPr>
            <w:tcW w:w="974" w:type="pct"/>
            <w:tcBorders>
              <w:top w:val="single" w:sz="4" w:space="0" w:color="auto"/>
              <w:left w:val="nil"/>
              <w:bottom w:val="single" w:sz="4" w:space="0" w:color="auto"/>
              <w:right w:val="single" w:sz="4" w:space="0" w:color="auto"/>
            </w:tcBorders>
            <w:shd w:val="clear" w:color="000000" w:fill="BFBFBF"/>
            <w:hideMark/>
          </w:tcPr>
          <w:p w14:paraId="76C102C8"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Industry Sector (ANZSIC Code)</w:t>
            </w:r>
          </w:p>
        </w:tc>
        <w:tc>
          <w:tcPr>
            <w:tcW w:w="373" w:type="pct"/>
            <w:tcBorders>
              <w:top w:val="single" w:sz="4" w:space="0" w:color="auto"/>
              <w:left w:val="nil"/>
              <w:bottom w:val="single" w:sz="4" w:space="0" w:color="auto"/>
              <w:right w:val="single" w:sz="4" w:space="0" w:color="auto"/>
            </w:tcBorders>
            <w:shd w:val="clear" w:color="000000" w:fill="BFBFBF"/>
            <w:hideMark/>
          </w:tcPr>
          <w:p w14:paraId="6594BA93"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Research Count by ANZSIC Code</w:t>
            </w:r>
          </w:p>
        </w:tc>
        <w:tc>
          <w:tcPr>
            <w:tcW w:w="2069" w:type="pct"/>
            <w:tcBorders>
              <w:top w:val="single" w:sz="4" w:space="0" w:color="auto"/>
              <w:left w:val="nil"/>
              <w:bottom w:val="single" w:sz="4" w:space="0" w:color="auto"/>
              <w:right w:val="single" w:sz="4" w:space="0" w:color="auto"/>
            </w:tcBorders>
            <w:shd w:val="clear" w:color="000000" w:fill="BFBFBF"/>
            <w:hideMark/>
          </w:tcPr>
          <w:p w14:paraId="15C6866D"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 xml:space="preserve">Author </w:t>
            </w:r>
          </w:p>
        </w:tc>
      </w:tr>
      <w:tr w:rsidR="00241ACB" w:rsidRPr="006B2F60" w14:paraId="48EF9D91" w14:textId="77777777" w:rsidTr="00DE3143">
        <w:trPr>
          <w:trHeight w:val="880"/>
        </w:trPr>
        <w:tc>
          <w:tcPr>
            <w:tcW w:w="865" w:type="pct"/>
            <w:tcBorders>
              <w:top w:val="nil"/>
              <w:left w:val="single" w:sz="4" w:space="0" w:color="auto"/>
              <w:bottom w:val="single" w:sz="4" w:space="0" w:color="auto"/>
              <w:right w:val="single" w:sz="4" w:space="0" w:color="auto"/>
            </w:tcBorders>
            <w:shd w:val="clear" w:color="auto" w:fill="auto"/>
            <w:hideMark/>
          </w:tcPr>
          <w:p w14:paraId="6965B29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Audits </w:t>
            </w:r>
          </w:p>
        </w:tc>
        <w:tc>
          <w:tcPr>
            <w:tcW w:w="343" w:type="pct"/>
            <w:tcBorders>
              <w:top w:val="nil"/>
              <w:left w:val="nil"/>
              <w:bottom w:val="single" w:sz="4" w:space="0" w:color="auto"/>
              <w:right w:val="single" w:sz="4" w:space="0" w:color="auto"/>
            </w:tcBorders>
            <w:shd w:val="clear" w:color="auto" w:fill="auto"/>
            <w:hideMark/>
          </w:tcPr>
          <w:p w14:paraId="7D801FCA"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24</w:t>
            </w:r>
          </w:p>
        </w:tc>
        <w:tc>
          <w:tcPr>
            <w:tcW w:w="376" w:type="pct"/>
            <w:tcBorders>
              <w:top w:val="nil"/>
              <w:left w:val="nil"/>
              <w:bottom w:val="single" w:sz="4" w:space="0" w:color="auto"/>
              <w:right w:val="single" w:sz="4" w:space="0" w:color="auto"/>
            </w:tcBorders>
            <w:shd w:val="clear" w:color="auto" w:fill="auto"/>
            <w:hideMark/>
          </w:tcPr>
          <w:p w14:paraId="375094A6"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60%</w:t>
            </w:r>
          </w:p>
        </w:tc>
        <w:tc>
          <w:tcPr>
            <w:tcW w:w="974" w:type="pct"/>
            <w:tcBorders>
              <w:top w:val="nil"/>
              <w:left w:val="nil"/>
              <w:bottom w:val="single" w:sz="4" w:space="0" w:color="auto"/>
              <w:right w:val="single" w:sz="4" w:space="0" w:color="auto"/>
            </w:tcBorders>
            <w:shd w:val="clear" w:color="auto" w:fill="auto"/>
            <w:hideMark/>
          </w:tcPr>
          <w:p w14:paraId="29637F5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c>
          <w:tcPr>
            <w:tcW w:w="373" w:type="pct"/>
            <w:tcBorders>
              <w:top w:val="nil"/>
              <w:left w:val="nil"/>
              <w:bottom w:val="single" w:sz="4" w:space="0" w:color="auto"/>
              <w:right w:val="single" w:sz="4" w:space="0" w:color="auto"/>
            </w:tcBorders>
            <w:shd w:val="clear" w:color="auto" w:fill="auto"/>
            <w:hideMark/>
          </w:tcPr>
          <w:p w14:paraId="6919210B"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15</w:t>
            </w:r>
          </w:p>
        </w:tc>
        <w:tc>
          <w:tcPr>
            <w:tcW w:w="2069" w:type="pct"/>
            <w:tcBorders>
              <w:top w:val="nil"/>
              <w:left w:val="nil"/>
              <w:bottom w:val="single" w:sz="4" w:space="0" w:color="auto"/>
              <w:right w:val="single" w:sz="4" w:space="0" w:color="auto"/>
            </w:tcBorders>
            <w:shd w:val="clear" w:color="auto" w:fill="auto"/>
            <w:hideMark/>
          </w:tcPr>
          <w:p w14:paraId="0415872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Barkoczy (2000), Vijayakumar et al. (2005), Eccleston (2007), Khan (2007), Slemrod (2010), Devos (2013), Schlenther (2013), Yeboah</w:t>
            </w:r>
            <w:r w:rsidRPr="006B2F60">
              <w:rPr>
                <w:rFonts w:ascii="Cambria Math" w:eastAsia="Times New Roman" w:hAnsi="Cambria Math" w:cs="Cambria Math"/>
                <w:color w:val="000000"/>
                <w:sz w:val="16"/>
                <w:szCs w:val="16"/>
                <w:lang w:eastAsia="en-GB"/>
              </w:rPr>
              <w:t>‐</w:t>
            </w:r>
            <w:r w:rsidRPr="006B2F60">
              <w:rPr>
                <w:rFonts w:eastAsia="Times New Roman" w:cstheme="minorHAnsi"/>
                <w:color w:val="000000"/>
                <w:sz w:val="16"/>
                <w:szCs w:val="16"/>
                <w:lang w:eastAsia="en-GB"/>
              </w:rPr>
              <w:t>Assiamah and Alesu</w:t>
            </w:r>
            <w:r w:rsidRPr="006B2F60">
              <w:rPr>
                <w:rFonts w:ascii="Cambria Math" w:eastAsia="Times New Roman" w:hAnsi="Cambria Math" w:cs="Cambria Math"/>
                <w:color w:val="000000"/>
                <w:sz w:val="16"/>
                <w:szCs w:val="16"/>
                <w:lang w:eastAsia="en-GB"/>
              </w:rPr>
              <w:t>‐</w:t>
            </w:r>
            <w:r w:rsidRPr="006B2F60">
              <w:rPr>
                <w:rFonts w:eastAsia="Times New Roman" w:cstheme="minorHAnsi"/>
                <w:color w:val="000000"/>
                <w:sz w:val="16"/>
                <w:szCs w:val="16"/>
                <w:lang w:eastAsia="en-GB"/>
              </w:rPr>
              <w:t>Dordzi (2016), Devos and Kenny (2017), Mashiri et al. (2021), Angok et al. (2021), Thyaka and Kavale (2021), Bagudu and Okolie (2022), Obiomachukwu et al. (2023), Mwesiga et al. (2023).</w:t>
            </w:r>
          </w:p>
        </w:tc>
      </w:tr>
      <w:tr w:rsidR="00241ACB" w:rsidRPr="006B2F60" w14:paraId="135CB71D" w14:textId="77777777" w:rsidTr="00DE3143">
        <w:trPr>
          <w:trHeight w:val="440"/>
        </w:trPr>
        <w:tc>
          <w:tcPr>
            <w:tcW w:w="865" w:type="pct"/>
            <w:tcBorders>
              <w:top w:val="nil"/>
              <w:left w:val="single" w:sz="4" w:space="0" w:color="auto"/>
              <w:bottom w:val="single" w:sz="4" w:space="0" w:color="auto"/>
              <w:right w:val="single" w:sz="4" w:space="0" w:color="auto"/>
            </w:tcBorders>
            <w:shd w:val="clear" w:color="auto" w:fill="auto"/>
            <w:hideMark/>
          </w:tcPr>
          <w:p w14:paraId="2B7CA3C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43" w:type="pct"/>
            <w:tcBorders>
              <w:top w:val="nil"/>
              <w:left w:val="nil"/>
              <w:bottom w:val="single" w:sz="4" w:space="0" w:color="auto"/>
              <w:right w:val="single" w:sz="4" w:space="0" w:color="auto"/>
            </w:tcBorders>
            <w:shd w:val="clear" w:color="auto" w:fill="auto"/>
            <w:hideMark/>
          </w:tcPr>
          <w:p w14:paraId="67A517C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76" w:type="pct"/>
            <w:tcBorders>
              <w:top w:val="nil"/>
              <w:left w:val="nil"/>
              <w:bottom w:val="single" w:sz="4" w:space="0" w:color="auto"/>
              <w:right w:val="single" w:sz="4" w:space="0" w:color="auto"/>
            </w:tcBorders>
            <w:shd w:val="clear" w:color="auto" w:fill="auto"/>
            <w:hideMark/>
          </w:tcPr>
          <w:p w14:paraId="438D6C55"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74" w:type="pct"/>
            <w:tcBorders>
              <w:top w:val="nil"/>
              <w:left w:val="nil"/>
              <w:bottom w:val="single" w:sz="4" w:space="0" w:color="auto"/>
              <w:right w:val="single" w:sz="4" w:space="0" w:color="auto"/>
            </w:tcBorders>
            <w:shd w:val="clear" w:color="auto" w:fill="auto"/>
            <w:hideMark/>
          </w:tcPr>
          <w:p w14:paraId="2381C03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c>
          <w:tcPr>
            <w:tcW w:w="373" w:type="pct"/>
            <w:tcBorders>
              <w:top w:val="nil"/>
              <w:left w:val="nil"/>
              <w:bottom w:val="single" w:sz="4" w:space="0" w:color="auto"/>
              <w:right w:val="single" w:sz="4" w:space="0" w:color="auto"/>
            </w:tcBorders>
            <w:shd w:val="clear" w:color="auto" w:fill="auto"/>
            <w:hideMark/>
          </w:tcPr>
          <w:p w14:paraId="43B7AE76"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4</w:t>
            </w:r>
          </w:p>
        </w:tc>
        <w:tc>
          <w:tcPr>
            <w:tcW w:w="2069" w:type="pct"/>
            <w:tcBorders>
              <w:top w:val="nil"/>
              <w:left w:val="nil"/>
              <w:bottom w:val="single" w:sz="4" w:space="0" w:color="auto"/>
              <w:right w:val="single" w:sz="4" w:space="0" w:color="auto"/>
            </w:tcBorders>
            <w:shd w:val="clear" w:color="auto" w:fill="auto"/>
            <w:hideMark/>
          </w:tcPr>
          <w:p w14:paraId="78ACAC5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Goel and Nelson (2007), Piracha and Moore (2016), Komen and Ngahu (2023), Chepkonga and Mbirithi (2023).</w:t>
            </w:r>
          </w:p>
        </w:tc>
      </w:tr>
      <w:tr w:rsidR="00241ACB" w:rsidRPr="006B2F60" w14:paraId="75B13FF1" w14:textId="77777777" w:rsidTr="00DE3143">
        <w:trPr>
          <w:trHeight w:val="220"/>
        </w:trPr>
        <w:tc>
          <w:tcPr>
            <w:tcW w:w="865" w:type="pct"/>
            <w:tcBorders>
              <w:top w:val="nil"/>
              <w:left w:val="single" w:sz="4" w:space="0" w:color="auto"/>
              <w:bottom w:val="single" w:sz="4" w:space="0" w:color="auto"/>
              <w:right w:val="single" w:sz="4" w:space="0" w:color="auto"/>
            </w:tcBorders>
            <w:shd w:val="clear" w:color="auto" w:fill="auto"/>
            <w:hideMark/>
          </w:tcPr>
          <w:p w14:paraId="66E992D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43" w:type="pct"/>
            <w:tcBorders>
              <w:top w:val="nil"/>
              <w:left w:val="nil"/>
              <w:bottom w:val="single" w:sz="4" w:space="0" w:color="auto"/>
              <w:right w:val="single" w:sz="4" w:space="0" w:color="auto"/>
            </w:tcBorders>
            <w:shd w:val="clear" w:color="auto" w:fill="auto"/>
            <w:hideMark/>
          </w:tcPr>
          <w:p w14:paraId="29B37B5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76" w:type="pct"/>
            <w:tcBorders>
              <w:top w:val="nil"/>
              <w:left w:val="nil"/>
              <w:bottom w:val="single" w:sz="4" w:space="0" w:color="auto"/>
              <w:right w:val="single" w:sz="4" w:space="0" w:color="auto"/>
            </w:tcBorders>
            <w:shd w:val="clear" w:color="auto" w:fill="auto"/>
            <w:hideMark/>
          </w:tcPr>
          <w:p w14:paraId="658F1FF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74" w:type="pct"/>
            <w:tcBorders>
              <w:top w:val="nil"/>
              <w:left w:val="nil"/>
              <w:bottom w:val="single" w:sz="4" w:space="0" w:color="auto"/>
              <w:right w:val="single" w:sz="4" w:space="0" w:color="auto"/>
            </w:tcBorders>
            <w:shd w:val="clear" w:color="auto" w:fill="auto"/>
            <w:hideMark/>
          </w:tcPr>
          <w:p w14:paraId="3EC9B6B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c>
          <w:tcPr>
            <w:tcW w:w="373" w:type="pct"/>
            <w:tcBorders>
              <w:top w:val="nil"/>
              <w:left w:val="nil"/>
              <w:bottom w:val="single" w:sz="4" w:space="0" w:color="auto"/>
              <w:right w:val="single" w:sz="4" w:space="0" w:color="auto"/>
            </w:tcBorders>
            <w:shd w:val="clear" w:color="auto" w:fill="auto"/>
            <w:hideMark/>
          </w:tcPr>
          <w:p w14:paraId="5B72A97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2069" w:type="pct"/>
            <w:tcBorders>
              <w:top w:val="nil"/>
              <w:left w:val="nil"/>
              <w:bottom w:val="single" w:sz="4" w:space="0" w:color="auto"/>
              <w:right w:val="single" w:sz="4" w:space="0" w:color="auto"/>
            </w:tcBorders>
            <w:shd w:val="clear" w:color="auto" w:fill="auto"/>
            <w:hideMark/>
          </w:tcPr>
          <w:p w14:paraId="58DB720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Tashu and Makiva (2022), Ogwang et al. (2023).</w:t>
            </w:r>
          </w:p>
        </w:tc>
      </w:tr>
      <w:tr w:rsidR="00241ACB" w:rsidRPr="006B2F60" w14:paraId="4FCDE6BE" w14:textId="77777777" w:rsidTr="00DE3143">
        <w:trPr>
          <w:trHeight w:val="220"/>
        </w:trPr>
        <w:tc>
          <w:tcPr>
            <w:tcW w:w="865" w:type="pct"/>
            <w:tcBorders>
              <w:top w:val="nil"/>
              <w:left w:val="single" w:sz="4" w:space="0" w:color="auto"/>
              <w:bottom w:val="single" w:sz="4" w:space="0" w:color="auto"/>
              <w:right w:val="single" w:sz="4" w:space="0" w:color="auto"/>
            </w:tcBorders>
            <w:shd w:val="clear" w:color="auto" w:fill="auto"/>
            <w:hideMark/>
          </w:tcPr>
          <w:p w14:paraId="2BEEE78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43" w:type="pct"/>
            <w:tcBorders>
              <w:top w:val="nil"/>
              <w:left w:val="nil"/>
              <w:bottom w:val="single" w:sz="4" w:space="0" w:color="auto"/>
              <w:right w:val="single" w:sz="4" w:space="0" w:color="auto"/>
            </w:tcBorders>
            <w:shd w:val="clear" w:color="auto" w:fill="auto"/>
            <w:hideMark/>
          </w:tcPr>
          <w:p w14:paraId="07340986"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76" w:type="pct"/>
            <w:tcBorders>
              <w:top w:val="nil"/>
              <w:left w:val="nil"/>
              <w:bottom w:val="single" w:sz="4" w:space="0" w:color="auto"/>
              <w:right w:val="single" w:sz="4" w:space="0" w:color="auto"/>
            </w:tcBorders>
            <w:shd w:val="clear" w:color="auto" w:fill="auto"/>
            <w:hideMark/>
          </w:tcPr>
          <w:p w14:paraId="725DFBFE"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74" w:type="pct"/>
            <w:tcBorders>
              <w:top w:val="nil"/>
              <w:left w:val="nil"/>
              <w:bottom w:val="single" w:sz="4" w:space="0" w:color="auto"/>
              <w:right w:val="single" w:sz="4" w:space="0" w:color="auto"/>
            </w:tcBorders>
            <w:shd w:val="clear" w:color="auto" w:fill="auto"/>
            <w:hideMark/>
          </w:tcPr>
          <w:p w14:paraId="1A9946D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1351 - Clothing Manufacturing</w:t>
            </w:r>
          </w:p>
        </w:tc>
        <w:tc>
          <w:tcPr>
            <w:tcW w:w="373" w:type="pct"/>
            <w:tcBorders>
              <w:top w:val="nil"/>
              <w:left w:val="nil"/>
              <w:bottom w:val="single" w:sz="4" w:space="0" w:color="auto"/>
              <w:right w:val="single" w:sz="4" w:space="0" w:color="auto"/>
            </w:tcBorders>
            <w:shd w:val="clear" w:color="auto" w:fill="auto"/>
            <w:hideMark/>
          </w:tcPr>
          <w:p w14:paraId="053EB066"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069" w:type="pct"/>
            <w:tcBorders>
              <w:top w:val="nil"/>
              <w:left w:val="nil"/>
              <w:bottom w:val="single" w:sz="4" w:space="0" w:color="auto"/>
              <w:right w:val="single" w:sz="4" w:space="0" w:color="auto"/>
            </w:tcBorders>
            <w:shd w:val="clear" w:color="auto" w:fill="auto"/>
            <w:hideMark/>
          </w:tcPr>
          <w:p w14:paraId="5101DED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Ibrahim and Kennedy (2007).</w:t>
            </w:r>
          </w:p>
        </w:tc>
      </w:tr>
      <w:tr w:rsidR="00241ACB" w:rsidRPr="006B2F60" w14:paraId="48B30107" w14:textId="77777777" w:rsidTr="00DE3143">
        <w:trPr>
          <w:trHeight w:val="440"/>
        </w:trPr>
        <w:tc>
          <w:tcPr>
            <w:tcW w:w="865" w:type="pct"/>
            <w:tcBorders>
              <w:top w:val="nil"/>
              <w:left w:val="single" w:sz="4" w:space="0" w:color="auto"/>
              <w:bottom w:val="single" w:sz="4" w:space="0" w:color="auto"/>
              <w:right w:val="single" w:sz="4" w:space="0" w:color="auto"/>
            </w:tcBorders>
            <w:shd w:val="clear" w:color="auto" w:fill="auto"/>
            <w:hideMark/>
          </w:tcPr>
          <w:p w14:paraId="2919F9A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43" w:type="pct"/>
            <w:tcBorders>
              <w:top w:val="nil"/>
              <w:left w:val="nil"/>
              <w:bottom w:val="single" w:sz="4" w:space="0" w:color="auto"/>
              <w:right w:val="single" w:sz="4" w:space="0" w:color="auto"/>
            </w:tcBorders>
            <w:shd w:val="clear" w:color="auto" w:fill="auto"/>
            <w:hideMark/>
          </w:tcPr>
          <w:p w14:paraId="648BC526"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76" w:type="pct"/>
            <w:tcBorders>
              <w:top w:val="nil"/>
              <w:left w:val="nil"/>
              <w:bottom w:val="single" w:sz="4" w:space="0" w:color="auto"/>
              <w:right w:val="single" w:sz="4" w:space="0" w:color="auto"/>
            </w:tcBorders>
            <w:shd w:val="clear" w:color="auto" w:fill="auto"/>
            <w:hideMark/>
          </w:tcPr>
          <w:p w14:paraId="61172D33"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74" w:type="pct"/>
            <w:tcBorders>
              <w:top w:val="nil"/>
              <w:left w:val="nil"/>
              <w:bottom w:val="single" w:sz="4" w:space="0" w:color="auto"/>
              <w:right w:val="single" w:sz="4" w:space="0" w:color="auto"/>
            </w:tcBorders>
            <w:shd w:val="clear" w:color="auto" w:fill="auto"/>
            <w:hideMark/>
          </w:tcPr>
          <w:p w14:paraId="512DFB0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2499 - Other Machinery and Equipment Manufacturing </w:t>
            </w:r>
          </w:p>
        </w:tc>
        <w:tc>
          <w:tcPr>
            <w:tcW w:w="373" w:type="pct"/>
            <w:tcBorders>
              <w:top w:val="nil"/>
              <w:left w:val="nil"/>
              <w:bottom w:val="single" w:sz="4" w:space="0" w:color="auto"/>
              <w:right w:val="single" w:sz="4" w:space="0" w:color="auto"/>
            </w:tcBorders>
            <w:shd w:val="clear" w:color="auto" w:fill="auto"/>
            <w:hideMark/>
          </w:tcPr>
          <w:p w14:paraId="6C04454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069" w:type="pct"/>
            <w:tcBorders>
              <w:top w:val="nil"/>
              <w:left w:val="nil"/>
              <w:bottom w:val="single" w:sz="4" w:space="0" w:color="auto"/>
              <w:right w:val="single" w:sz="4" w:space="0" w:color="auto"/>
            </w:tcBorders>
            <w:shd w:val="clear" w:color="auto" w:fill="auto"/>
            <w:hideMark/>
          </w:tcPr>
          <w:p w14:paraId="7AE1EFA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Tang et al. (2020).</w:t>
            </w:r>
          </w:p>
        </w:tc>
      </w:tr>
      <w:tr w:rsidR="00241ACB" w:rsidRPr="006B2F60" w14:paraId="58DF8EDC" w14:textId="77777777" w:rsidTr="00DE3143">
        <w:trPr>
          <w:trHeight w:val="220"/>
        </w:trPr>
        <w:tc>
          <w:tcPr>
            <w:tcW w:w="865" w:type="pct"/>
            <w:tcBorders>
              <w:top w:val="nil"/>
              <w:left w:val="single" w:sz="4" w:space="0" w:color="auto"/>
              <w:bottom w:val="single" w:sz="4" w:space="0" w:color="auto"/>
              <w:right w:val="single" w:sz="4" w:space="0" w:color="auto"/>
            </w:tcBorders>
            <w:shd w:val="clear" w:color="auto" w:fill="auto"/>
            <w:hideMark/>
          </w:tcPr>
          <w:p w14:paraId="163B480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43" w:type="pct"/>
            <w:tcBorders>
              <w:top w:val="nil"/>
              <w:left w:val="nil"/>
              <w:bottom w:val="single" w:sz="4" w:space="0" w:color="auto"/>
              <w:right w:val="single" w:sz="4" w:space="0" w:color="auto"/>
            </w:tcBorders>
            <w:shd w:val="clear" w:color="auto" w:fill="auto"/>
            <w:hideMark/>
          </w:tcPr>
          <w:p w14:paraId="7B471040"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76" w:type="pct"/>
            <w:tcBorders>
              <w:top w:val="nil"/>
              <w:left w:val="nil"/>
              <w:bottom w:val="single" w:sz="4" w:space="0" w:color="auto"/>
              <w:right w:val="single" w:sz="4" w:space="0" w:color="auto"/>
            </w:tcBorders>
            <w:shd w:val="clear" w:color="auto" w:fill="auto"/>
            <w:hideMark/>
          </w:tcPr>
          <w:p w14:paraId="7047740A"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74" w:type="pct"/>
            <w:tcBorders>
              <w:top w:val="nil"/>
              <w:left w:val="nil"/>
              <w:bottom w:val="single" w:sz="4" w:space="0" w:color="auto"/>
              <w:right w:val="single" w:sz="4" w:space="0" w:color="auto"/>
            </w:tcBorders>
            <w:shd w:val="clear" w:color="auto" w:fill="auto"/>
            <w:hideMark/>
          </w:tcPr>
          <w:p w14:paraId="003B892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4400 - Accommodation</w:t>
            </w:r>
          </w:p>
        </w:tc>
        <w:tc>
          <w:tcPr>
            <w:tcW w:w="373" w:type="pct"/>
            <w:tcBorders>
              <w:top w:val="nil"/>
              <w:left w:val="nil"/>
              <w:bottom w:val="single" w:sz="4" w:space="0" w:color="auto"/>
              <w:right w:val="single" w:sz="4" w:space="0" w:color="auto"/>
            </w:tcBorders>
            <w:shd w:val="clear" w:color="auto" w:fill="auto"/>
            <w:hideMark/>
          </w:tcPr>
          <w:p w14:paraId="0709C888"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069" w:type="pct"/>
            <w:tcBorders>
              <w:top w:val="nil"/>
              <w:left w:val="nil"/>
              <w:bottom w:val="single" w:sz="4" w:space="0" w:color="auto"/>
              <w:right w:val="single" w:sz="4" w:space="0" w:color="auto"/>
            </w:tcBorders>
            <w:shd w:val="clear" w:color="auto" w:fill="auto"/>
            <w:hideMark/>
          </w:tcPr>
          <w:p w14:paraId="1D5ECCB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Musango and Rusibana (2021).</w:t>
            </w:r>
          </w:p>
        </w:tc>
      </w:tr>
      <w:tr w:rsidR="00241ACB" w:rsidRPr="006B2F60" w14:paraId="39171B24" w14:textId="77777777" w:rsidTr="00DE3143">
        <w:trPr>
          <w:trHeight w:val="220"/>
        </w:trPr>
        <w:tc>
          <w:tcPr>
            <w:tcW w:w="865" w:type="pct"/>
            <w:tcBorders>
              <w:top w:val="nil"/>
              <w:left w:val="single" w:sz="4" w:space="0" w:color="auto"/>
              <w:bottom w:val="single" w:sz="4" w:space="0" w:color="auto"/>
              <w:right w:val="single" w:sz="4" w:space="0" w:color="auto"/>
            </w:tcBorders>
            <w:shd w:val="clear" w:color="auto" w:fill="auto"/>
            <w:hideMark/>
          </w:tcPr>
          <w:p w14:paraId="1378867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Financial Performance Analytics </w:t>
            </w:r>
          </w:p>
        </w:tc>
        <w:tc>
          <w:tcPr>
            <w:tcW w:w="343" w:type="pct"/>
            <w:tcBorders>
              <w:top w:val="nil"/>
              <w:left w:val="nil"/>
              <w:bottom w:val="single" w:sz="4" w:space="0" w:color="auto"/>
              <w:right w:val="single" w:sz="4" w:space="0" w:color="auto"/>
            </w:tcBorders>
            <w:shd w:val="clear" w:color="auto" w:fill="auto"/>
            <w:hideMark/>
          </w:tcPr>
          <w:p w14:paraId="11CA9098"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10</w:t>
            </w:r>
          </w:p>
        </w:tc>
        <w:tc>
          <w:tcPr>
            <w:tcW w:w="376" w:type="pct"/>
            <w:tcBorders>
              <w:top w:val="nil"/>
              <w:left w:val="nil"/>
              <w:bottom w:val="single" w:sz="4" w:space="0" w:color="auto"/>
              <w:right w:val="single" w:sz="4" w:space="0" w:color="auto"/>
            </w:tcBorders>
            <w:shd w:val="clear" w:color="auto" w:fill="auto"/>
            <w:hideMark/>
          </w:tcPr>
          <w:p w14:paraId="2319CE25"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25%</w:t>
            </w:r>
          </w:p>
        </w:tc>
        <w:tc>
          <w:tcPr>
            <w:tcW w:w="974" w:type="pct"/>
            <w:tcBorders>
              <w:top w:val="nil"/>
              <w:left w:val="nil"/>
              <w:bottom w:val="single" w:sz="4" w:space="0" w:color="auto"/>
              <w:right w:val="single" w:sz="4" w:space="0" w:color="auto"/>
            </w:tcBorders>
            <w:shd w:val="clear" w:color="auto" w:fill="auto"/>
            <w:hideMark/>
          </w:tcPr>
          <w:p w14:paraId="30061A6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4622 - Urban Bus Transport</w:t>
            </w:r>
          </w:p>
        </w:tc>
        <w:tc>
          <w:tcPr>
            <w:tcW w:w="373" w:type="pct"/>
            <w:tcBorders>
              <w:top w:val="nil"/>
              <w:left w:val="nil"/>
              <w:bottom w:val="single" w:sz="4" w:space="0" w:color="auto"/>
              <w:right w:val="single" w:sz="4" w:space="0" w:color="auto"/>
            </w:tcBorders>
            <w:shd w:val="clear" w:color="auto" w:fill="auto"/>
            <w:hideMark/>
          </w:tcPr>
          <w:p w14:paraId="752F2399"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069" w:type="pct"/>
            <w:tcBorders>
              <w:top w:val="nil"/>
              <w:left w:val="nil"/>
              <w:bottom w:val="single" w:sz="4" w:space="0" w:color="auto"/>
              <w:right w:val="single" w:sz="4" w:space="0" w:color="auto"/>
            </w:tcBorders>
            <w:shd w:val="clear" w:color="auto" w:fill="auto"/>
            <w:hideMark/>
          </w:tcPr>
          <w:p w14:paraId="2C75AA6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Satsangi (1977)</w:t>
            </w:r>
          </w:p>
        </w:tc>
      </w:tr>
      <w:tr w:rsidR="00241ACB" w:rsidRPr="006B2F60" w14:paraId="0148AB86" w14:textId="77777777" w:rsidTr="00DE3143">
        <w:trPr>
          <w:trHeight w:val="440"/>
        </w:trPr>
        <w:tc>
          <w:tcPr>
            <w:tcW w:w="865" w:type="pct"/>
            <w:tcBorders>
              <w:top w:val="nil"/>
              <w:left w:val="single" w:sz="4" w:space="0" w:color="auto"/>
              <w:bottom w:val="single" w:sz="4" w:space="0" w:color="auto"/>
              <w:right w:val="single" w:sz="4" w:space="0" w:color="auto"/>
            </w:tcBorders>
            <w:shd w:val="clear" w:color="auto" w:fill="auto"/>
            <w:hideMark/>
          </w:tcPr>
          <w:p w14:paraId="4679193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43" w:type="pct"/>
            <w:tcBorders>
              <w:top w:val="nil"/>
              <w:left w:val="nil"/>
              <w:bottom w:val="single" w:sz="4" w:space="0" w:color="auto"/>
              <w:right w:val="single" w:sz="4" w:space="0" w:color="auto"/>
            </w:tcBorders>
            <w:shd w:val="clear" w:color="auto" w:fill="auto"/>
            <w:hideMark/>
          </w:tcPr>
          <w:p w14:paraId="2EC9CE8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76" w:type="pct"/>
            <w:tcBorders>
              <w:top w:val="nil"/>
              <w:left w:val="nil"/>
              <w:bottom w:val="single" w:sz="4" w:space="0" w:color="auto"/>
              <w:right w:val="single" w:sz="4" w:space="0" w:color="auto"/>
            </w:tcBorders>
            <w:shd w:val="clear" w:color="auto" w:fill="auto"/>
            <w:hideMark/>
          </w:tcPr>
          <w:p w14:paraId="0F046EE1"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74" w:type="pct"/>
            <w:tcBorders>
              <w:top w:val="nil"/>
              <w:left w:val="nil"/>
              <w:bottom w:val="single" w:sz="4" w:space="0" w:color="auto"/>
              <w:right w:val="single" w:sz="4" w:space="0" w:color="auto"/>
            </w:tcBorders>
            <w:shd w:val="clear" w:color="auto" w:fill="auto"/>
            <w:hideMark/>
          </w:tcPr>
          <w:p w14:paraId="381E67C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c>
          <w:tcPr>
            <w:tcW w:w="373" w:type="pct"/>
            <w:tcBorders>
              <w:top w:val="nil"/>
              <w:left w:val="nil"/>
              <w:bottom w:val="single" w:sz="4" w:space="0" w:color="auto"/>
              <w:right w:val="single" w:sz="4" w:space="0" w:color="auto"/>
            </w:tcBorders>
            <w:shd w:val="clear" w:color="auto" w:fill="auto"/>
            <w:hideMark/>
          </w:tcPr>
          <w:p w14:paraId="01814147"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2069" w:type="pct"/>
            <w:tcBorders>
              <w:top w:val="nil"/>
              <w:left w:val="nil"/>
              <w:bottom w:val="single" w:sz="4" w:space="0" w:color="auto"/>
              <w:right w:val="single" w:sz="4" w:space="0" w:color="auto"/>
            </w:tcBorders>
            <w:shd w:val="clear" w:color="auto" w:fill="auto"/>
            <w:hideMark/>
          </w:tcPr>
          <w:p w14:paraId="56B1E26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Dimakou (2013), Kazemi Zaroomi et al. (2020)</w:t>
            </w:r>
          </w:p>
        </w:tc>
      </w:tr>
      <w:tr w:rsidR="00241ACB" w:rsidRPr="006B2F60" w14:paraId="40368706" w14:textId="77777777" w:rsidTr="00DE3143">
        <w:trPr>
          <w:trHeight w:val="220"/>
        </w:trPr>
        <w:tc>
          <w:tcPr>
            <w:tcW w:w="865" w:type="pct"/>
            <w:tcBorders>
              <w:top w:val="nil"/>
              <w:left w:val="single" w:sz="4" w:space="0" w:color="auto"/>
              <w:bottom w:val="single" w:sz="4" w:space="0" w:color="auto"/>
              <w:right w:val="single" w:sz="4" w:space="0" w:color="auto"/>
            </w:tcBorders>
            <w:shd w:val="clear" w:color="auto" w:fill="auto"/>
            <w:hideMark/>
          </w:tcPr>
          <w:p w14:paraId="5BE8E18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43" w:type="pct"/>
            <w:tcBorders>
              <w:top w:val="nil"/>
              <w:left w:val="nil"/>
              <w:bottom w:val="single" w:sz="4" w:space="0" w:color="auto"/>
              <w:right w:val="single" w:sz="4" w:space="0" w:color="auto"/>
            </w:tcBorders>
            <w:shd w:val="clear" w:color="auto" w:fill="auto"/>
            <w:hideMark/>
          </w:tcPr>
          <w:p w14:paraId="102124E8"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76" w:type="pct"/>
            <w:tcBorders>
              <w:top w:val="nil"/>
              <w:left w:val="nil"/>
              <w:bottom w:val="single" w:sz="4" w:space="0" w:color="auto"/>
              <w:right w:val="single" w:sz="4" w:space="0" w:color="auto"/>
            </w:tcBorders>
            <w:shd w:val="clear" w:color="auto" w:fill="auto"/>
            <w:hideMark/>
          </w:tcPr>
          <w:p w14:paraId="629198F1"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74" w:type="pct"/>
            <w:tcBorders>
              <w:top w:val="nil"/>
              <w:left w:val="nil"/>
              <w:bottom w:val="single" w:sz="4" w:space="0" w:color="auto"/>
              <w:right w:val="single" w:sz="4" w:space="0" w:color="auto"/>
            </w:tcBorders>
            <w:shd w:val="clear" w:color="auto" w:fill="auto"/>
            <w:hideMark/>
          </w:tcPr>
          <w:p w14:paraId="06A54C6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c>
          <w:tcPr>
            <w:tcW w:w="373" w:type="pct"/>
            <w:tcBorders>
              <w:top w:val="nil"/>
              <w:left w:val="nil"/>
              <w:bottom w:val="single" w:sz="4" w:space="0" w:color="auto"/>
              <w:right w:val="single" w:sz="4" w:space="0" w:color="auto"/>
            </w:tcBorders>
            <w:shd w:val="clear" w:color="auto" w:fill="auto"/>
            <w:hideMark/>
          </w:tcPr>
          <w:p w14:paraId="0E704EF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069" w:type="pct"/>
            <w:tcBorders>
              <w:top w:val="nil"/>
              <w:left w:val="nil"/>
              <w:bottom w:val="single" w:sz="4" w:space="0" w:color="auto"/>
              <w:right w:val="single" w:sz="4" w:space="0" w:color="auto"/>
            </w:tcBorders>
            <w:shd w:val="clear" w:color="auto" w:fill="auto"/>
            <w:hideMark/>
          </w:tcPr>
          <w:p w14:paraId="0591AA1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Ochuodho and Ngaba (2020) </w:t>
            </w:r>
          </w:p>
        </w:tc>
      </w:tr>
      <w:tr w:rsidR="00241ACB" w:rsidRPr="006B2F60" w14:paraId="445F343B" w14:textId="77777777" w:rsidTr="00DE3143">
        <w:trPr>
          <w:trHeight w:val="220"/>
        </w:trPr>
        <w:tc>
          <w:tcPr>
            <w:tcW w:w="865" w:type="pct"/>
            <w:tcBorders>
              <w:top w:val="nil"/>
              <w:left w:val="single" w:sz="4" w:space="0" w:color="auto"/>
              <w:bottom w:val="single" w:sz="4" w:space="0" w:color="auto"/>
              <w:right w:val="single" w:sz="4" w:space="0" w:color="auto"/>
            </w:tcBorders>
            <w:shd w:val="clear" w:color="auto" w:fill="auto"/>
            <w:hideMark/>
          </w:tcPr>
          <w:p w14:paraId="06E6CF2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43" w:type="pct"/>
            <w:tcBorders>
              <w:top w:val="nil"/>
              <w:left w:val="nil"/>
              <w:bottom w:val="single" w:sz="4" w:space="0" w:color="auto"/>
              <w:right w:val="single" w:sz="4" w:space="0" w:color="auto"/>
            </w:tcBorders>
            <w:shd w:val="clear" w:color="auto" w:fill="auto"/>
            <w:hideMark/>
          </w:tcPr>
          <w:p w14:paraId="5FA56960"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76" w:type="pct"/>
            <w:tcBorders>
              <w:top w:val="nil"/>
              <w:left w:val="nil"/>
              <w:bottom w:val="single" w:sz="4" w:space="0" w:color="auto"/>
              <w:right w:val="single" w:sz="4" w:space="0" w:color="auto"/>
            </w:tcBorders>
            <w:shd w:val="clear" w:color="auto" w:fill="auto"/>
            <w:hideMark/>
          </w:tcPr>
          <w:p w14:paraId="67C864C9"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74" w:type="pct"/>
            <w:tcBorders>
              <w:top w:val="nil"/>
              <w:left w:val="nil"/>
              <w:bottom w:val="single" w:sz="4" w:space="0" w:color="auto"/>
              <w:right w:val="single" w:sz="4" w:space="0" w:color="auto"/>
            </w:tcBorders>
            <w:shd w:val="clear" w:color="auto" w:fill="auto"/>
            <w:hideMark/>
          </w:tcPr>
          <w:p w14:paraId="0DCF55D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6020 - Other Information Services</w:t>
            </w:r>
          </w:p>
        </w:tc>
        <w:tc>
          <w:tcPr>
            <w:tcW w:w="373" w:type="pct"/>
            <w:tcBorders>
              <w:top w:val="nil"/>
              <w:left w:val="nil"/>
              <w:bottom w:val="single" w:sz="4" w:space="0" w:color="auto"/>
              <w:right w:val="single" w:sz="4" w:space="0" w:color="auto"/>
            </w:tcBorders>
            <w:shd w:val="clear" w:color="auto" w:fill="auto"/>
            <w:hideMark/>
          </w:tcPr>
          <w:p w14:paraId="661D5613"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069" w:type="pct"/>
            <w:tcBorders>
              <w:top w:val="nil"/>
              <w:left w:val="nil"/>
              <w:bottom w:val="single" w:sz="4" w:space="0" w:color="auto"/>
              <w:right w:val="single" w:sz="4" w:space="0" w:color="auto"/>
            </w:tcBorders>
            <w:shd w:val="clear" w:color="auto" w:fill="auto"/>
            <w:hideMark/>
          </w:tcPr>
          <w:p w14:paraId="0E7BF47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Skålén et al. (2015)</w:t>
            </w:r>
          </w:p>
        </w:tc>
      </w:tr>
      <w:tr w:rsidR="00241ACB" w:rsidRPr="006B2F60" w14:paraId="169CAE03" w14:textId="77777777" w:rsidTr="00DE3143">
        <w:trPr>
          <w:trHeight w:val="440"/>
        </w:trPr>
        <w:tc>
          <w:tcPr>
            <w:tcW w:w="865" w:type="pct"/>
            <w:tcBorders>
              <w:top w:val="nil"/>
              <w:left w:val="single" w:sz="4" w:space="0" w:color="auto"/>
              <w:bottom w:val="single" w:sz="4" w:space="0" w:color="auto"/>
              <w:right w:val="single" w:sz="4" w:space="0" w:color="auto"/>
            </w:tcBorders>
            <w:shd w:val="clear" w:color="auto" w:fill="auto"/>
            <w:hideMark/>
          </w:tcPr>
          <w:p w14:paraId="1363869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43" w:type="pct"/>
            <w:tcBorders>
              <w:top w:val="nil"/>
              <w:left w:val="nil"/>
              <w:bottom w:val="single" w:sz="4" w:space="0" w:color="auto"/>
              <w:right w:val="single" w:sz="4" w:space="0" w:color="auto"/>
            </w:tcBorders>
            <w:shd w:val="clear" w:color="auto" w:fill="auto"/>
            <w:hideMark/>
          </w:tcPr>
          <w:p w14:paraId="6C2F097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76" w:type="pct"/>
            <w:tcBorders>
              <w:top w:val="nil"/>
              <w:left w:val="nil"/>
              <w:bottom w:val="single" w:sz="4" w:space="0" w:color="auto"/>
              <w:right w:val="single" w:sz="4" w:space="0" w:color="auto"/>
            </w:tcBorders>
            <w:shd w:val="clear" w:color="auto" w:fill="auto"/>
            <w:hideMark/>
          </w:tcPr>
          <w:p w14:paraId="638A5C43"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74" w:type="pct"/>
            <w:tcBorders>
              <w:top w:val="nil"/>
              <w:left w:val="nil"/>
              <w:bottom w:val="single" w:sz="4" w:space="0" w:color="auto"/>
              <w:right w:val="single" w:sz="4" w:space="0" w:color="auto"/>
            </w:tcBorders>
            <w:shd w:val="clear" w:color="auto" w:fill="auto"/>
            <w:hideMark/>
          </w:tcPr>
          <w:p w14:paraId="4E026E4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7220 - Travel Agency and Tour Arrangement Services</w:t>
            </w:r>
          </w:p>
        </w:tc>
        <w:tc>
          <w:tcPr>
            <w:tcW w:w="373" w:type="pct"/>
            <w:tcBorders>
              <w:top w:val="nil"/>
              <w:left w:val="nil"/>
              <w:bottom w:val="single" w:sz="4" w:space="0" w:color="auto"/>
              <w:right w:val="single" w:sz="4" w:space="0" w:color="auto"/>
            </w:tcBorders>
            <w:shd w:val="clear" w:color="auto" w:fill="auto"/>
            <w:hideMark/>
          </w:tcPr>
          <w:p w14:paraId="4E4E5265"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069" w:type="pct"/>
            <w:tcBorders>
              <w:top w:val="nil"/>
              <w:left w:val="nil"/>
              <w:bottom w:val="single" w:sz="4" w:space="0" w:color="auto"/>
              <w:right w:val="single" w:sz="4" w:space="0" w:color="auto"/>
            </w:tcBorders>
            <w:shd w:val="clear" w:color="auto" w:fill="auto"/>
            <w:hideMark/>
          </w:tcPr>
          <w:p w14:paraId="2DBBBF0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Mensah (2017)</w:t>
            </w:r>
          </w:p>
        </w:tc>
      </w:tr>
      <w:tr w:rsidR="00241ACB" w:rsidRPr="006B2F60" w14:paraId="19A39C2D" w14:textId="77777777" w:rsidTr="00DE3143">
        <w:trPr>
          <w:trHeight w:val="220"/>
        </w:trPr>
        <w:tc>
          <w:tcPr>
            <w:tcW w:w="865" w:type="pct"/>
            <w:tcBorders>
              <w:top w:val="nil"/>
              <w:left w:val="single" w:sz="4" w:space="0" w:color="auto"/>
              <w:bottom w:val="single" w:sz="4" w:space="0" w:color="auto"/>
              <w:right w:val="single" w:sz="4" w:space="0" w:color="auto"/>
            </w:tcBorders>
            <w:shd w:val="clear" w:color="auto" w:fill="auto"/>
            <w:hideMark/>
          </w:tcPr>
          <w:p w14:paraId="13CC789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43" w:type="pct"/>
            <w:tcBorders>
              <w:top w:val="nil"/>
              <w:left w:val="nil"/>
              <w:bottom w:val="single" w:sz="4" w:space="0" w:color="auto"/>
              <w:right w:val="single" w:sz="4" w:space="0" w:color="auto"/>
            </w:tcBorders>
            <w:shd w:val="clear" w:color="auto" w:fill="auto"/>
            <w:hideMark/>
          </w:tcPr>
          <w:p w14:paraId="263B07FB"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76" w:type="pct"/>
            <w:tcBorders>
              <w:top w:val="nil"/>
              <w:left w:val="nil"/>
              <w:bottom w:val="single" w:sz="4" w:space="0" w:color="auto"/>
              <w:right w:val="single" w:sz="4" w:space="0" w:color="auto"/>
            </w:tcBorders>
            <w:shd w:val="clear" w:color="auto" w:fill="auto"/>
            <w:hideMark/>
          </w:tcPr>
          <w:p w14:paraId="41ADFAD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74" w:type="pct"/>
            <w:tcBorders>
              <w:top w:val="nil"/>
              <w:left w:val="nil"/>
              <w:bottom w:val="single" w:sz="4" w:space="0" w:color="auto"/>
              <w:right w:val="single" w:sz="4" w:space="0" w:color="auto"/>
            </w:tcBorders>
            <w:shd w:val="clear" w:color="auto" w:fill="auto"/>
            <w:hideMark/>
          </w:tcPr>
          <w:p w14:paraId="4A7C7E4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4400 - Accommodation</w:t>
            </w:r>
          </w:p>
        </w:tc>
        <w:tc>
          <w:tcPr>
            <w:tcW w:w="373" w:type="pct"/>
            <w:tcBorders>
              <w:top w:val="nil"/>
              <w:left w:val="nil"/>
              <w:bottom w:val="single" w:sz="4" w:space="0" w:color="auto"/>
              <w:right w:val="single" w:sz="4" w:space="0" w:color="auto"/>
            </w:tcBorders>
            <w:shd w:val="clear" w:color="auto" w:fill="auto"/>
            <w:hideMark/>
          </w:tcPr>
          <w:p w14:paraId="2504DC15"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2069" w:type="pct"/>
            <w:tcBorders>
              <w:top w:val="nil"/>
              <w:left w:val="nil"/>
              <w:bottom w:val="single" w:sz="4" w:space="0" w:color="auto"/>
              <w:right w:val="single" w:sz="4" w:space="0" w:color="auto"/>
            </w:tcBorders>
            <w:shd w:val="clear" w:color="auto" w:fill="auto"/>
            <w:hideMark/>
          </w:tcPr>
          <w:p w14:paraId="467BE24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Musango and Rusibana (2021), Biswas and Pal (2023)</w:t>
            </w:r>
          </w:p>
        </w:tc>
      </w:tr>
      <w:tr w:rsidR="00241ACB" w:rsidRPr="006B2F60" w14:paraId="00BCB1C4" w14:textId="77777777" w:rsidTr="00DE3143">
        <w:trPr>
          <w:trHeight w:val="220"/>
        </w:trPr>
        <w:tc>
          <w:tcPr>
            <w:tcW w:w="865" w:type="pct"/>
            <w:tcBorders>
              <w:top w:val="nil"/>
              <w:left w:val="single" w:sz="4" w:space="0" w:color="auto"/>
              <w:bottom w:val="single" w:sz="4" w:space="0" w:color="auto"/>
              <w:right w:val="single" w:sz="4" w:space="0" w:color="auto"/>
            </w:tcBorders>
            <w:shd w:val="clear" w:color="auto" w:fill="auto"/>
            <w:hideMark/>
          </w:tcPr>
          <w:p w14:paraId="34AB258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43" w:type="pct"/>
            <w:tcBorders>
              <w:top w:val="nil"/>
              <w:left w:val="nil"/>
              <w:bottom w:val="single" w:sz="4" w:space="0" w:color="auto"/>
              <w:right w:val="single" w:sz="4" w:space="0" w:color="auto"/>
            </w:tcBorders>
            <w:shd w:val="clear" w:color="auto" w:fill="auto"/>
            <w:hideMark/>
          </w:tcPr>
          <w:p w14:paraId="24CC0C01"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76" w:type="pct"/>
            <w:tcBorders>
              <w:top w:val="nil"/>
              <w:left w:val="nil"/>
              <w:bottom w:val="single" w:sz="4" w:space="0" w:color="auto"/>
              <w:right w:val="single" w:sz="4" w:space="0" w:color="auto"/>
            </w:tcBorders>
            <w:shd w:val="clear" w:color="auto" w:fill="auto"/>
            <w:hideMark/>
          </w:tcPr>
          <w:p w14:paraId="42F55948"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74" w:type="pct"/>
            <w:tcBorders>
              <w:top w:val="nil"/>
              <w:left w:val="nil"/>
              <w:bottom w:val="single" w:sz="4" w:space="0" w:color="auto"/>
              <w:right w:val="single" w:sz="4" w:space="0" w:color="auto"/>
            </w:tcBorders>
            <w:shd w:val="clear" w:color="auto" w:fill="auto"/>
            <w:hideMark/>
          </w:tcPr>
          <w:p w14:paraId="596EED9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4511 - Cafes and Restaurants</w:t>
            </w:r>
          </w:p>
        </w:tc>
        <w:tc>
          <w:tcPr>
            <w:tcW w:w="373" w:type="pct"/>
            <w:tcBorders>
              <w:top w:val="nil"/>
              <w:left w:val="nil"/>
              <w:bottom w:val="single" w:sz="4" w:space="0" w:color="auto"/>
              <w:right w:val="single" w:sz="4" w:space="0" w:color="auto"/>
            </w:tcBorders>
            <w:shd w:val="clear" w:color="auto" w:fill="auto"/>
            <w:hideMark/>
          </w:tcPr>
          <w:p w14:paraId="0F9E33F8"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069" w:type="pct"/>
            <w:tcBorders>
              <w:top w:val="nil"/>
              <w:left w:val="nil"/>
              <w:bottom w:val="single" w:sz="4" w:space="0" w:color="auto"/>
              <w:right w:val="single" w:sz="4" w:space="0" w:color="auto"/>
            </w:tcBorders>
            <w:shd w:val="clear" w:color="auto" w:fill="auto"/>
            <w:hideMark/>
          </w:tcPr>
          <w:p w14:paraId="433C70B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Ingle et al. (2022)</w:t>
            </w:r>
          </w:p>
        </w:tc>
      </w:tr>
      <w:tr w:rsidR="00241ACB" w:rsidRPr="006B2F60" w14:paraId="318D56F3" w14:textId="77777777" w:rsidTr="00DE3143">
        <w:trPr>
          <w:trHeight w:val="440"/>
        </w:trPr>
        <w:tc>
          <w:tcPr>
            <w:tcW w:w="865" w:type="pct"/>
            <w:tcBorders>
              <w:top w:val="nil"/>
              <w:left w:val="single" w:sz="4" w:space="0" w:color="auto"/>
              <w:bottom w:val="single" w:sz="4" w:space="0" w:color="auto"/>
              <w:right w:val="single" w:sz="4" w:space="0" w:color="auto"/>
            </w:tcBorders>
            <w:shd w:val="clear" w:color="auto" w:fill="auto"/>
            <w:hideMark/>
          </w:tcPr>
          <w:p w14:paraId="61FC4FC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43" w:type="pct"/>
            <w:tcBorders>
              <w:top w:val="nil"/>
              <w:left w:val="nil"/>
              <w:bottom w:val="single" w:sz="4" w:space="0" w:color="auto"/>
              <w:right w:val="single" w:sz="4" w:space="0" w:color="auto"/>
            </w:tcBorders>
            <w:shd w:val="clear" w:color="auto" w:fill="auto"/>
            <w:hideMark/>
          </w:tcPr>
          <w:p w14:paraId="278E034E"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76" w:type="pct"/>
            <w:tcBorders>
              <w:top w:val="nil"/>
              <w:left w:val="nil"/>
              <w:bottom w:val="single" w:sz="4" w:space="0" w:color="auto"/>
              <w:right w:val="single" w:sz="4" w:space="0" w:color="auto"/>
            </w:tcBorders>
            <w:shd w:val="clear" w:color="auto" w:fill="auto"/>
            <w:hideMark/>
          </w:tcPr>
          <w:p w14:paraId="0E217D23"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74" w:type="pct"/>
            <w:tcBorders>
              <w:top w:val="nil"/>
              <w:left w:val="nil"/>
              <w:bottom w:val="single" w:sz="4" w:space="0" w:color="auto"/>
              <w:right w:val="single" w:sz="4" w:space="0" w:color="auto"/>
            </w:tcBorders>
            <w:shd w:val="clear" w:color="auto" w:fill="auto"/>
            <w:hideMark/>
          </w:tcPr>
          <w:p w14:paraId="35CA6B3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8401 - Hospitals (Except Psychiatric Hospitals)</w:t>
            </w:r>
          </w:p>
        </w:tc>
        <w:tc>
          <w:tcPr>
            <w:tcW w:w="373" w:type="pct"/>
            <w:tcBorders>
              <w:top w:val="nil"/>
              <w:left w:val="nil"/>
              <w:bottom w:val="single" w:sz="4" w:space="0" w:color="auto"/>
              <w:right w:val="single" w:sz="4" w:space="0" w:color="auto"/>
            </w:tcBorders>
            <w:shd w:val="clear" w:color="auto" w:fill="auto"/>
            <w:hideMark/>
          </w:tcPr>
          <w:p w14:paraId="31805CCC"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069" w:type="pct"/>
            <w:tcBorders>
              <w:top w:val="nil"/>
              <w:left w:val="nil"/>
              <w:bottom w:val="single" w:sz="4" w:space="0" w:color="auto"/>
              <w:right w:val="single" w:sz="4" w:space="0" w:color="auto"/>
            </w:tcBorders>
            <w:shd w:val="clear" w:color="auto" w:fill="auto"/>
            <w:hideMark/>
          </w:tcPr>
          <w:p w14:paraId="2474D7F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Kilanko (2023)</w:t>
            </w:r>
          </w:p>
        </w:tc>
      </w:tr>
      <w:tr w:rsidR="00241ACB" w:rsidRPr="006B2F60" w14:paraId="72369C3F" w14:textId="77777777" w:rsidTr="00DE3143">
        <w:trPr>
          <w:trHeight w:val="440"/>
        </w:trPr>
        <w:tc>
          <w:tcPr>
            <w:tcW w:w="865" w:type="pct"/>
            <w:tcBorders>
              <w:top w:val="nil"/>
              <w:left w:val="single" w:sz="4" w:space="0" w:color="auto"/>
              <w:bottom w:val="single" w:sz="4" w:space="0" w:color="auto"/>
              <w:right w:val="single" w:sz="4" w:space="0" w:color="auto"/>
            </w:tcBorders>
            <w:shd w:val="clear" w:color="auto" w:fill="auto"/>
            <w:hideMark/>
          </w:tcPr>
          <w:p w14:paraId="164D81A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Technology Enabled Monitoring</w:t>
            </w:r>
          </w:p>
        </w:tc>
        <w:tc>
          <w:tcPr>
            <w:tcW w:w="343" w:type="pct"/>
            <w:tcBorders>
              <w:top w:val="nil"/>
              <w:left w:val="nil"/>
              <w:bottom w:val="single" w:sz="4" w:space="0" w:color="auto"/>
              <w:right w:val="single" w:sz="4" w:space="0" w:color="auto"/>
            </w:tcBorders>
            <w:shd w:val="clear" w:color="auto" w:fill="auto"/>
            <w:hideMark/>
          </w:tcPr>
          <w:p w14:paraId="36744B59"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3</w:t>
            </w:r>
          </w:p>
        </w:tc>
        <w:tc>
          <w:tcPr>
            <w:tcW w:w="376" w:type="pct"/>
            <w:tcBorders>
              <w:top w:val="nil"/>
              <w:left w:val="nil"/>
              <w:bottom w:val="single" w:sz="4" w:space="0" w:color="auto"/>
              <w:right w:val="single" w:sz="4" w:space="0" w:color="auto"/>
            </w:tcBorders>
            <w:shd w:val="clear" w:color="auto" w:fill="auto"/>
            <w:hideMark/>
          </w:tcPr>
          <w:p w14:paraId="267B6116"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8%</w:t>
            </w:r>
          </w:p>
        </w:tc>
        <w:tc>
          <w:tcPr>
            <w:tcW w:w="974" w:type="pct"/>
            <w:tcBorders>
              <w:top w:val="nil"/>
              <w:left w:val="nil"/>
              <w:bottom w:val="single" w:sz="4" w:space="0" w:color="auto"/>
              <w:right w:val="single" w:sz="4" w:space="0" w:color="auto"/>
            </w:tcBorders>
            <w:shd w:val="clear" w:color="auto" w:fill="auto"/>
            <w:hideMark/>
          </w:tcPr>
          <w:p w14:paraId="664854F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c>
          <w:tcPr>
            <w:tcW w:w="373" w:type="pct"/>
            <w:tcBorders>
              <w:top w:val="nil"/>
              <w:left w:val="nil"/>
              <w:bottom w:val="single" w:sz="4" w:space="0" w:color="auto"/>
              <w:right w:val="single" w:sz="4" w:space="0" w:color="auto"/>
            </w:tcBorders>
            <w:shd w:val="clear" w:color="auto" w:fill="auto"/>
            <w:hideMark/>
          </w:tcPr>
          <w:p w14:paraId="7FF08EF9"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2069" w:type="pct"/>
            <w:tcBorders>
              <w:top w:val="nil"/>
              <w:left w:val="nil"/>
              <w:bottom w:val="single" w:sz="4" w:space="0" w:color="auto"/>
              <w:right w:val="single" w:sz="4" w:space="0" w:color="auto"/>
            </w:tcBorders>
            <w:shd w:val="clear" w:color="auto" w:fill="auto"/>
            <w:hideMark/>
          </w:tcPr>
          <w:p w14:paraId="4AA9E15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Chepkoech et al. (2022), Odhiambo and Nyariki (2022), Chilunjika et al. (2023), Ombaba Kennedy  and Ngugi (2023) </w:t>
            </w:r>
          </w:p>
        </w:tc>
      </w:tr>
      <w:tr w:rsidR="00241ACB" w:rsidRPr="006B2F60" w14:paraId="344D36E1" w14:textId="77777777" w:rsidTr="00DE3143">
        <w:trPr>
          <w:trHeight w:val="220"/>
        </w:trPr>
        <w:tc>
          <w:tcPr>
            <w:tcW w:w="865" w:type="pct"/>
            <w:tcBorders>
              <w:top w:val="nil"/>
              <w:left w:val="single" w:sz="4" w:space="0" w:color="auto"/>
              <w:bottom w:val="single" w:sz="4" w:space="0" w:color="auto"/>
              <w:right w:val="single" w:sz="4" w:space="0" w:color="auto"/>
            </w:tcBorders>
            <w:shd w:val="clear" w:color="auto" w:fill="auto"/>
            <w:hideMark/>
          </w:tcPr>
          <w:p w14:paraId="34150E5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43" w:type="pct"/>
            <w:tcBorders>
              <w:top w:val="nil"/>
              <w:left w:val="nil"/>
              <w:bottom w:val="single" w:sz="4" w:space="0" w:color="auto"/>
              <w:right w:val="single" w:sz="4" w:space="0" w:color="auto"/>
            </w:tcBorders>
            <w:shd w:val="clear" w:color="auto" w:fill="auto"/>
            <w:hideMark/>
          </w:tcPr>
          <w:p w14:paraId="26D386A8"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76" w:type="pct"/>
            <w:tcBorders>
              <w:top w:val="nil"/>
              <w:left w:val="nil"/>
              <w:bottom w:val="single" w:sz="4" w:space="0" w:color="auto"/>
              <w:right w:val="single" w:sz="4" w:space="0" w:color="auto"/>
            </w:tcBorders>
            <w:shd w:val="clear" w:color="auto" w:fill="auto"/>
            <w:hideMark/>
          </w:tcPr>
          <w:p w14:paraId="1BE1A237"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74" w:type="pct"/>
            <w:tcBorders>
              <w:top w:val="nil"/>
              <w:left w:val="nil"/>
              <w:bottom w:val="single" w:sz="4" w:space="0" w:color="auto"/>
              <w:right w:val="single" w:sz="4" w:space="0" w:color="auto"/>
            </w:tcBorders>
            <w:shd w:val="clear" w:color="auto" w:fill="auto"/>
            <w:hideMark/>
          </w:tcPr>
          <w:p w14:paraId="3A18E0E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3610 - Electricity Supply</w:t>
            </w:r>
          </w:p>
        </w:tc>
        <w:tc>
          <w:tcPr>
            <w:tcW w:w="373" w:type="pct"/>
            <w:tcBorders>
              <w:top w:val="nil"/>
              <w:left w:val="nil"/>
              <w:bottom w:val="single" w:sz="4" w:space="0" w:color="auto"/>
              <w:right w:val="single" w:sz="4" w:space="0" w:color="auto"/>
            </w:tcBorders>
            <w:shd w:val="clear" w:color="auto" w:fill="auto"/>
            <w:hideMark/>
          </w:tcPr>
          <w:p w14:paraId="67783430"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069" w:type="pct"/>
            <w:tcBorders>
              <w:top w:val="nil"/>
              <w:left w:val="nil"/>
              <w:bottom w:val="single" w:sz="4" w:space="0" w:color="auto"/>
              <w:right w:val="single" w:sz="4" w:space="0" w:color="auto"/>
            </w:tcBorders>
            <w:shd w:val="clear" w:color="auto" w:fill="auto"/>
            <w:hideMark/>
          </w:tcPr>
          <w:p w14:paraId="0976F97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Aslam et al. (2015)</w:t>
            </w:r>
          </w:p>
        </w:tc>
      </w:tr>
      <w:tr w:rsidR="00241ACB" w:rsidRPr="006B2F60" w14:paraId="5251105D" w14:textId="77777777" w:rsidTr="00DE3143">
        <w:trPr>
          <w:trHeight w:val="440"/>
        </w:trPr>
        <w:tc>
          <w:tcPr>
            <w:tcW w:w="865" w:type="pct"/>
            <w:tcBorders>
              <w:top w:val="nil"/>
              <w:left w:val="single" w:sz="4" w:space="0" w:color="auto"/>
              <w:bottom w:val="single" w:sz="4" w:space="0" w:color="auto"/>
              <w:right w:val="single" w:sz="4" w:space="0" w:color="auto"/>
            </w:tcBorders>
            <w:shd w:val="clear" w:color="auto" w:fill="auto"/>
            <w:hideMark/>
          </w:tcPr>
          <w:p w14:paraId="113F17C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Client Billing Assessment </w:t>
            </w:r>
          </w:p>
        </w:tc>
        <w:tc>
          <w:tcPr>
            <w:tcW w:w="343" w:type="pct"/>
            <w:tcBorders>
              <w:top w:val="nil"/>
              <w:left w:val="nil"/>
              <w:bottom w:val="single" w:sz="4" w:space="0" w:color="auto"/>
              <w:right w:val="single" w:sz="4" w:space="0" w:color="auto"/>
            </w:tcBorders>
            <w:shd w:val="clear" w:color="auto" w:fill="auto"/>
            <w:hideMark/>
          </w:tcPr>
          <w:p w14:paraId="3C7EFB90"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376" w:type="pct"/>
            <w:tcBorders>
              <w:top w:val="nil"/>
              <w:left w:val="nil"/>
              <w:bottom w:val="single" w:sz="4" w:space="0" w:color="auto"/>
              <w:right w:val="single" w:sz="4" w:space="0" w:color="auto"/>
            </w:tcBorders>
            <w:shd w:val="clear" w:color="auto" w:fill="auto"/>
            <w:hideMark/>
          </w:tcPr>
          <w:p w14:paraId="6E85A2D8"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5%</w:t>
            </w:r>
          </w:p>
        </w:tc>
        <w:tc>
          <w:tcPr>
            <w:tcW w:w="974" w:type="pct"/>
            <w:tcBorders>
              <w:top w:val="nil"/>
              <w:left w:val="nil"/>
              <w:bottom w:val="single" w:sz="4" w:space="0" w:color="auto"/>
              <w:right w:val="single" w:sz="4" w:space="0" w:color="auto"/>
            </w:tcBorders>
            <w:shd w:val="clear" w:color="auto" w:fill="auto"/>
            <w:hideMark/>
          </w:tcPr>
          <w:p w14:paraId="17C5290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8401 - Hospitals (Except Psychiatric Hospitals)</w:t>
            </w:r>
          </w:p>
        </w:tc>
        <w:tc>
          <w:tcPr>
            <w:tcW w:w="373" w:type="pct"/>
            <w:tcBorders>
              <w:top w:val="nil"/>
              <w:left w:val="nil"/>
              <w:bottom w:val="single" w:sz="4" w:space="0" w:color="auto"/>
              <w:right w:val="single" w:sz="4" w:space="0" w:color="auto"/>
            </w:tcBorders>
            <w:shd w:val="clear" w:color="auto" w:fill="auto"/>
            <w:hideMark/>
          </w:tcPr>
          <w:p w14:paraId="01C32B57"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2069" w:type="pct"/>
            <w:tcBorders>
              <w:top w:val="nil"/>
              <w:left w:val="nil"/>
              <w:bottom w:val="single" w:sz="4" w:space="0" w:color="auto"/>
              <w:right w:val="single" w:sz="4" w:space="0" w:color="auto"/>
            </w:tcBorders>
            <w:shd w:val="clear" w:color="auto" w:fill="auto"/>
            <w:hideMark/>
          </w:tcPr>
          <w:p w14:paraId="3762548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Mindel and Mathiassen (2015), Kilanko (2023)</w:t>
            </w:r>
          </w:p>
        </w:tc>
      </w:tr>
      <w:tr w:rsidR="00241ACB" w:rsidRPr="006B2F60" w14:paraId="4C212B9E" w14:textId="77777777" w:rsidTr="00DE3143">
        <w:trPr>
          <w:trHeight w:val="440"/>
        </w:trPr>
        <w:tc>
          <w:tcPr>
            <w:tcW w:w="865" w:type="pct"/>
            <w:tcBorders>
              <w:top w:val="nil"/>
              <w:left w:val="single" w:sz="4" w:space="0" w:color="auto"/>
              <w:bottom w:val="single" w:sz="4" w:space="0" w:color="auto"/>
              <w:right w:val="single" w:sz="4" w:space="0" w:color="auto"/>
            </w:tcBorders>
            <w:shd w:val="clear" w:color="auto" w:fill="auto"/>
            <w:hideMark/>
          </w:tcPr>
          <w:p w14:paraId="0AEDAA6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Contract Performance Evaluation </w:t>
            </w:r>
          </w:p>
        </w:tc>
        <w:tc>
          <w:tcPr>
            <w:tcW w:w="343" w:type="pct"/>
            <w:tcBorders>
              <w:top w:val="nil"/>
              <w:left w:val="nil"/>
              <w:bottom w:val="single" w:sz="4" w:space="0" w:color="auto"/>
              <w:right w:val="single" w:sz="4" w:space="0" w:color="auto"/>
            </w:tcBorders>
            <w:shd w:val="clear" w:color="auto" w:fill="auto"/>
            <w:hideMark/>
          </w:tcPr>
          <w:p w14:paraId="5AAF43D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376" w:type="pct"/>
            <w:tcBorders>
              <w:top w:val="nil"/>
              <w:left w:val="nil"/>
              <w:bottom w:val="single" w:sz="4" w:space="0" w:color="auto"/>
              <w:right w:val="single" w:sz="4" w:space="0" w:color="auto"/>
            </w:tcBorders>
            <w:shd w:val="clear" w:color="auto" w:fill="auto"/>
            <w:hideMark/>
          </w:tcPr>
          <w:p w14:paraId="10C9F303"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3%</w:t>
            </w:r>
          </w:p>
        </w:tc>
        <w:tc>
          <w:tcPr>
            <w:tcW w:w="974" w:type="pct"/>
            <w:tcBorders>
              <w:top w:val="nil"/>
              <w:left w:val="nil"/>
              <w:bottom w:val="single" w:sz="4" w:space="0" w:color="auto"/>
              <w:right w:val="single" w:sz="4" w:space="0" w:color="auto"/>
            </w:tcBorders>
            <w:shd w:val="clear" w:color="auto" w:fill="auto"/>
            <w:hideMark/>
          </w:tcPr>
          <w:p w14:paraId="2E7C692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2499 - Other Machinery and Equipment Manufacturing</w:t>
            </w:r>
          </w:p>
        </w:tc>
        <w:tc>
          <w:tcPr>
            <w:tcW w:w="373" w:type="pct"/>
            <w:tcBorders>
              <w:top w:val="nil"/>
              <w:left w:val="nil"/>
              <w:bottom w:val="single" w:sz="4" w:space="0" w:color="auto"/>
              <w:right w:val="single" w:sz="4" w:space="0" w:color="auto"/>
            </w:tcBorders>
            <w:shd w:val="clear" w:color="auto" w:fill="auto"/>
            <w:hideMark/>
          </w:tcPr>
          <w:p w14:paraId="75DA8CFA"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2069" w:type="pct"/>
            <w:tcBorders>
              <w:top w:val="nil"/>
              <w:left w:val="nil"/>
              <w:bottom w:val="single" w:sz="4" w:space="0" w:color="auto"/>
              <w:right w:val="single" w:sz="4" w:space="0" w:color="auto"/>
            </w:tcBorders>
            <w:shd w:val="clear" w:color="auto" w:fill="auto"/>
            <w:hideMark/>
          </w:tcPr>
          <w:p w14:paraId="5C5F392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Tang et al. (2020)</w:t>
            </w:r>
          </w:p>
        </w:tc>
      </w:tr>
    </w:tbl>
    <w:p w14:paraId="2F93360C" w14:textId="77777777" w:rsidR="00241ACB" w:rsidRPr="006B2F60" w:rsidRDefault="00241ACB" w:rsidP="00241ACB">
      <w:pPr>
        <w:spacing w:after="0" w:line="240" w:lineRule="auto"/>
        <w:jc w:val="center"/>
        <w:rPr>
          <w:rFonts w:cstheme="minorHAnsi"/>
          <w:sz w:val="16"/>
          <w:szCs w:val="16"/>
        </w:rPr>
      </w:pPr>
      <w:r w:rsidRPr="006B2F60">
        <w:rPr>
          <w:rFonts w:cstheme="minorHAnsi"/>
          <w:sz w:val="16"/>
          <w:szCs w:val="16"/>
        </w:rPr>
        <w:t>Source: Author's Compilation from the SLR</w:t>
      </w:r>
    </w:p>
    <w:p w14:paraId="3D8D488B" w14:textId="77777777" w:rsidR="00241ACB" w:rsidRPr="006B2F60" w:rsidRDefault="00241ACB" w:rsidP="00241ACB">
      <w:pPr>
        <w:rPr>
          <w:rFonts w:cstheme="minorHAnsi"/>
          <w:color w:val="000000" w:themeColor="text1"/>
          <w:sz w:val="20"/>
          <w:szCs w:val="20"/>
        </w:rPr>
      </w:pPr>
    </w:p>
    <w:p w14:paraId="7024E2B2" w14:textId="77777777" w:rsidR="00241ACB" w:rsidRPr="006B2F60" w:rsidRDefault="00241ACB" w:rsidP="00241ACB">
      <w:pPr>
        <w:spacing w:after="0" w:line="240" w:lineRule="auto"/>
        <w:jc w:val="center"/>
        <w:rPr>
          <w:rFonts w:cstheme="minorHAnsi"/>
          <w:color w:val="000000" w:themeColor="text1"/>
          <w:sz w:val="20"/>
          <w:szCs w:val="20"/>
        </w:rPr>
      </w:pPr>
      <w:r w:rsidRPr="006B2F60">
        <w:rPr>
          <w:rFonts w:cstheme="minorHAnsi"/>
          <w:sz w:val="16"/>
          <w:szCs w:val="16"/>
        </w:rPr>
        <w:lastRenderedPageBreak/>
        <w:t>Table 6: Revenue Leakage Prevention Strategies Across Industry Sectors</w:t>
      </w:r>
    </w:p>
    <w:tbl>
      <w:tblPr>
        <w:tblW w:w="5000" w:type="pct"/>
        <w:tblLook w:val="04A0" w:firstRow="1" w:lastRow="0" w:firstColumn="1" w:lastColumn="0" w:noHBand="0" w:noVBand="1"/>
      </w:tblPr>
      <w:tblGrid>
        <w:gridCol w:w="2817"/>
        <w:gridCol w:w="938"/>
        <w:gridCol w:w="1026"/>
        <w:gridCol w:w="2538"/>
        <w:gridCol w:w="938"/>
        <w:gridCol w:w="4693"/>
      </w:tblGrid>
      <w:tr w:rsidR="00241ACB" w:rsidRPr="006B2F60" w14:paraId="059B03C2" w14:textId="77777777" w:rsidTr="00DE3143">
        <w:trPr>
          <w:trHeight w:val="840"/>
        </w:trPr>
        <w:tc>
          <w:tcPr>
            <w:tcW w:w="1088" w:type="pct"/>
            <w:tcBorders>
              <w:top w:val="single" w:sz="4" w:space="0" w:color="auto"/>
              <w:left w:val="single" w:sz="4" w:space="0" w:color="auto"/>
              <w:bottom w:val="single" w:sz="4" w:space="0" w:color="auto"/>
              <w:right w:val="single" w:sz="4" w:space="0" w:color="auto"/>
            </w:tcBorders>
            <w:shd w:val="clear" w:color="000000" w:fill="BFBFBF"/>
            <w:hideMark/>
          </w:tcPr>
          <w:p w14:paraId="5219BD93"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RL Prevention Strategies</w:t>
            </w:r>
          </w:p>
        </w:tc>
        <w:tc>
          <w:tcPr>
            <w:tcW w:w="362" w:type="pct"/>
            <w:tcBorders>
              <w:top w:val="single" w:sz="4" w:space="0" w:color="auto"/>
              <w:left w:val="nil"/>
              <w:bottom w:val="single" w:sz="4" w:space="0" w:color="auto"/>
              <w:right w:val="single" w:sz="4" w:space="0" w:color="auto"/>
            </w:tcBorders>
            <w:shd w:val="clear" w:color="000000" w:fill="BFBFBF"/>
            <w:hideMark/>
          </w:tcPr>
          <w:p w14:paraId="408A946F"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Total Research Count</w:t>
            </w:r>
          </w:p>
        </w:tc>
        <w:tc>
          <w:tcPr>
            <w:tcW w:w="396" w:type="pct"/>
            <w:tcBorders>
              <w:top w:val="single" w:sz="4" w:space="0" w:color="auto"/>
              <w:left w:val="nil"/>
              <w:bottom w:val="single" w:sz="4" w:space="0" w:color="auto"/>
              <w:right w:val="single" w:sz="4" w:space="0" w:color="auto"/>
            </w:tcBorders>
            <w:shd w:val="clear" w:color="000000" w:fill="BFBFBF"/>
            <w:hideMark/>
          </w:tcPr>
          <w:p w14:paraId="1F6D2C9C"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Reporting Frequency (%)</w:t>
            </w:r>
          </w:p>
        </w:tc>
        <w:tc>
          <w:tcPr>
            <w:tcW w:w="980" w:type="pct"/>
            <w:tcBorders>
              <w:top w:val="single" w:sz="4" w:space="0" w:color="auto"/>
              <w:left w:val="nil"/>
              <w:bottom w:val="single" w:sz="4" w:space="0" w:color="auto"/>
              <w:right w:val="single" w:sz="4" w:space="0" w:color="auto"/>
            </w:tcBorders>
            <w:shd w:val="clear" w:color="000000" w:fill="BFBFBF"/>
            <w:hideMark/>
          </w:tcPr>
          <w:p w14:paraId="3A551EAF"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Industry Sector (ANZSIC Code)</w:t>
            </w:r>
          </w:p>
        </w:tc>
        <w:tc>
          <w:tcPr>
            <w:tcW w:w="362" w:type="pct"/>
            <w:tcBorders>
              <w:top w:val="single" w:sz="4" w:space="0" w:color="auto"/>
              <w:left w:val="nil"/>
              <w:bottom w:val="single" w:sz="4" w:space="0" w:color="auto"/>
              <w:right w:val="single" w:sz="4" w:space="0" w:color="auto"/>
            </w:tcBorders>
            <w:shd w:val="clear" w:color="000000" w:fill="BFBFBF"/>
            <w:hideMark/>
          </w:tcPr>
          <w:p w14:paraId="6E86FA63"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Research Count by ANZSIC Code</w:t>
            </w:r>
          </w:p>
        </w:tc>
        <w:tc>
          <w:tcPr>
            <w:tcW w:w="1812" w:type="pct"/>
            <w:tcBorders>
              <w:top w:val="single" w:sz="4" w:space="0" w:color="auto"/>
              <w:left w:val="nil"/>
              <w:bottom w:val="single" w:sz="4" w:space="0" w:color="auto"/>
              <w:right w:val="single" w:sz="4" w:space="0" w:color="auto"/>
            </w:tcBorders>
            <w:shd w:val="clear" w:color="000000" w:fill="BFBFBF"/>
            <w:hideMark/>
          </w:tcPr>
          <w:p w14:paraId="4B408780" w14:textId="77777777" w:rsidR="00241ACB" w:rsidRPr="006B2F60" w:rsidRDefault="00241ACB" w:rsidP="00DE3143">
            <w:pPr>
              <w:spacing w:after="0" w:line="240" w:lineRule="auto"/>
              <w:jc w:val="center"/>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 xml:space="preserve">Author </w:t>
            </w:r>
          </w:p>
        </w:tc>
      </w:tr>
      <w:tr w:rsidR="00241ACB" w:rsidRPr="006B2F60" w14:paraId="36AD664D" w14:textId="77777777" w:rsidTr="00DE3143">
        <w:trPr>
          <w:trHeight w:val="1050"/>
        </w:trPr>
        <w:tc>
          <w:tcPr>
            <w:tcW w:w="1088" w:type="pct"/>
            <w:tcBorders>
              <w:top w:val="nil"/>
              <w:left w:val="single" w:sz="4" w:space="0" w:color="auto"/>
              <w:bottom w:val="single" w:sz="4" w:space="0" w:color="auto"/>
              <w:right w:val="single" w:sz="4" w:space="0" w:color="auto"/>
            </w:tcBorders>
            <w:shd w:val="clear" w:color="auto" w:fill="auto"/>
            <w:hideMark/>
          </w:tcPr>
          <w:p w14:paraId="26EBDD2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Improved Governance </w:t>
            </w:r>
          </w:p>
        </w:tc>
        <w:tc>
          <w:tcPr>
            <w:tcW w:w="362" w:type="pct"/>
            <w:tcBorders>
              <w:top w:val="nil"/>
              <w:left w:val="nil"/>
              <w:bottom w:val="single" w:sz="4" w:space="0" w:color="auto"/>
              <w:right w:val="single" w:sz="4" w:space="0" w:color="auto"/>
            </w:tcBorders>
            <w:shd w:val="clear" w:color="auto" w:fill="auto"/>
            <w:hideMark/>
          </w:tcPr>
          <w:p w14:paraId="4190EDED"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26</w:t>
            </w:r>
          </w:p>
        </w:tc>
        <w:tc>
          <w:tcPr>
            <w:tcW w:w="396" w:type="pct"/>
            <w:tcBorders>
              <w:top w:val="nil"/>
              <w:left w:val="nil"/>
              <w:bottom w:val="single" w:sz="4" w:space="0" w:color="auto"/>
              <w:right w:val="single" w:sz="4" w:space="0" w:color="auto"/>
            </w:tcBorders>
            <w:shd w:val="clear" w:color="auto" w:fill="auto"/>
            <w:hideMark/>
          </w:tcPr>
          <w:p w14:paraId="70046A1F"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34%</w:t>
            </w:r>
          </w:p>
        </w:tc>
        <w:tc>
          <w:tcPr>
            <w:tcW w:w="980" w:type="pct"/>
            <w:tcBorders>
              <w:top w:val="nil"/>
              <w:left w:val="nil"/>
              <w:bottom w:val="single" w:sz="4" w:space="0" w:color="auto"/>
              <w:right w:val="single" w:sz="4" w:space="0" w:color="auto"/>
            </w:tcBorders>
            <w:shd w:val="clear" w:color="auto" w:fill="auto"/>
            <w:hideMark/>
          </w:tcPr>
          <w:p w14:paraId="74681CF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c>
          <w:tcPr>
            <w:tcW w:w="362" w:type="pct"/>
            <w:tcBorders>
              <w:top w:val="nil"/>
              <w:left w:val="nil"/>
              <w:bottom w:val="single" w:sz="4" w:space="0" w:color="auto"/>
              <w:right w:val="single" w:sz="4" w:space="0" w:color="auto"/>
            </w:tcBorders>
            <w:shd w:val="clear" w:color="auto" w:fill="auto"/>
            <w:hideMark/>
          </w:tcPr>
          <w:p w14:paraId="592C6415"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13</w:t>
            </w:r>
          </w:p>
        </w:tc>
        <w:tc>
          <w:tcPr>
            <w:tcW w:w="1812" w:type="pct"/>
            <w:tcBorders>
              <w:top w:val="nil"/>
              <w:left w:val="nil"/>
              <w:bottom w:val="single" w:sz="4" w:space="0" w:color="auto"/>
              <w:right w:val="single" w:sz="4" w:space="0" w:color="auto"/>
            </w:tcBorders>
            <w:shd w:val="clear" w:color="auto" w:fill="auto"/>
            <w:hideMark/>
          </w:tcPr>
          <w:p w14:paraId="17085B9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Khan (2007), Eccleston (2007), Goel and Nelson (2007), Jadhav and Pawar (2011), Yeboah</w:t>
            </w:r>
            <w:r w:rsidRPr="006B2F60">
              <w:rPr>
                <w:rFonts w:ascii="Cambria Math" w:eastAsia="Times New Roman" w:hAnsi="Cambria Math" w:cs="Cambria Math"/>
                <w:color w:val="000000"/>
                <w:sz w:val="16"/>
                <w:szCs w:val="16"/>
                <w:lang w:eastAsia="en-GB"/>
              </w:rPr>
              <w:t>‐</w:t>
            </w:r>
            <w:r w:rsidRPr="006B2F60">
              <w:rPr>
                <w:rFonts w:eastAsia="Times New Roman" w:cstheme="minorHAnsi"/>
                <w:color w:val="000000"/>
                <w:sz w:val="16"/>
                <w:szCs w:val="16"/>
                <w:lang w:eastAsia="en-GB"/>
              </w:rPr>
              <w:t>Assiamah and Alesu</w:t>
            </w:r>
            <w:r w:rsidRPr="006B2F60">
              <w:rPr>
                <w:rFonts w:ascii="Cambria Math" w:eastAsia="Times New Roman" w:hAnsi="Cambria Math" w:cs="Cambria Math"/>
                <w:color w:val="000000"/>
                <w:sz w:val="16"/>
                <w:szCs w:val="16"/>
                <w:lang w:eastAsia="en-GB"/>
              </w:rPr>
              <w:t>‐</w:t>
            </w:r>
            <w:r w:rsidRPr="006B2F60">
              <w:rPr>
                <w:rFonts w:eastAsia="Times New Roman" w:cstheme="minorHAnsi"/>
                <w:color w:val="000000"/>
                <w:sz w:val="16"/>
                <w:szCs w:val="16"/>
                <w:lang w:eastAsia="en-GB"/>
              </w:rPr>
              <w:t>Dordzi (2016), Solanke (2018), Milaham and Milaham (2020), Al-Shbail (2020), Angok et al. (2021), Thyaka and Kavale (2021), Yegon and Kilonzi (2023), Chepkonga and Mbirithi (2023), Mwesiga et al. (2023)</w:t>
            </w:r>
          </w:p>
        </w:tc>
      </w:tr>
      <w:tr w:rsidR="00241ACB" w:rsidRPr="006B2F60" w14:paraId="212A48D8" w14:textId="77777777" w:rsidTr="00DE3143">
        <w:trPr>
          <w:trHeight w:val="420"/>
        </w:trPr>
        <w:tc>
          <w:tcPr>
            <w:tcW w:w="1088" w:type="pct"/>
            <w:tcBorders>
              <w:top w:val="nil"/>
              <w:left w:val="single" w:sz="4" w:space="0" w:color="auto"/>
              <w:bottom w:val="single" w:sz="4" w:space="0" w:color="auto"/>
              <w:right w:val="single" w:sz="4" w:space="0" w:color="auto"/>
            </w:tcBorders>
            <w:shd w:val="clear" w:color="auto" w:fill="auto"/>
            <w:hideMark/>
          </w:tcPr>
          <w:p w14:paraId="353A5A4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1AA672D8"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7E90978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0C1194F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7220 - Travel Agency and Tour Arrangement Services</w:t>
            </w:r>
          </w:p>
        </w:tc>
        <w:tc>
          <w:tcPr>
            <w:tcW w:w="362" w:type="pct"/>
            <w:tcBorders>
              <w:top w:val="nil"/>
              <w:left w:val="nil"/>
              <w:bottom w:val="single" w:sz="4" w:space="0" w:color="auto"/>
              <w:right w:val="single" w:sz="4" w:space="0" w:color="auto"/>
            </w:tcBorders>
            <w:shd w:val="clear" w:color="auto" w:fill="auto"/>
            <w:hideMark/>
          </w:tcPr>
          <w:p w14:paraId="198DBFCC"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1812" w:type="pct"/>
            <w:tcBorders>
              <w:top w:val="nil"/>
              <w:left w:val="nil"/>
              <w:bottom w:val="single" w:sz="4" w:space="0" w:color="auto"/>
              <w:right w:val="single" w:sz="4" w:space="0" w:color="auto"/>
            </w:tcBorders>
            <w:shd w:val="clear" w:color="auto" w:fill="auto"/>
            <w:hideMark/>
          </w:tcPr>
          <w:p w14:paraId="6E03C1A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Mensah (2017)</w:t>
            </w:r>
          </w:p>
        </w:tc>
      </w:tr>
      <w:tr w:rsidR="00241ACB" w:rsidRPr="006B2F60" w14:paraId="33EEA4F8" w14:textId="77777777" w:rsidTr="00DE3143">
        <w:trPr>
          <w:trHeight w:val="210"/>
        </w:trPr>
        <w:tc>
          <w:tcPr>
            <w:tcW w:w="1088" w:type="pct"/>
            <w:tcBorders>
              <w:top w:val="nil"/>
              <w:left w:val="single" w:sz="4" w:space="0" w:color="auto"/>
              <w:bottom w:val="single" w:sz="4" w:space="0" w:color="auto"/>
              <w:right w:val="single" w:sz="4" w:space="0" w:color="auto"/>
            </w:tcBorders>
            <w:shd w:val="clear" w:color="auto" w:fill="auto"/>
            <w:hideMark/>
          </w:tcPr>
          <w:p w14:paraId="6E393A18"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24768A5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72A589A9"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539F0DB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8102 - Higher Education</w:t>
            </w:r>
          </w:p>
        </w:tc>
        <w:tc>
          <w:tcPr>
            <w:tcW w:w="362" w:type="pct"/>
            <w:tcBorders>
              <w:top w:val="nil"/>
              <w:left w:val="nil"/>
              <w:bottom w:val="single" w:sz="4" w:space="0" w:color="auto"/>
              <w:right w:val="single" w:sz="4" w:space="0" w:color="auto"/>
            </w:tcBorders>
            <w:shd w:val="clear" w:color="auto" w:fill="auto"/>
            <w:hideMark/>
          </w:tcPr>
          <w:p w14:paraId="17DEAA29"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1812" w:type="pct"/>
            <w:tcBorders>
              <w:top w:val="nil"/>
              <w:left w:val="nil"/>
              <w:bottom w:val="single" w:sz="4" w:space="0" w:color="auto"/>
              <w:right w:val="single" w:sz="4" w:space="0" w:color="auto"/>
            </w:tcBorders>
            <w:shd w:val="clear" w:color="auto" w:fill="auto"/>
            <w:hideMark/>
          </w:tcPr>
          <w:p w14:paraId="5432979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Solanke (2018), Milaham and Milaham (2020)</w:t>
            </w:r>
          </w:p>
        </w:tc>
      </w:tr>
      <w:tr w:rsidR="00241ACB" w:rsidRPr="006B2F60" w14:paraId="3AB7CBA7" w14:textId="77777777" w:rsidTr="00DE3143">
        <w:trPr>
          <w:trHeight w:val="420"/>
        </w:trPr>
        <w:tc>
          <w:tcPr>
            <w:tcW w:w="1088" w:type="pct"/>
            <w:tcBorders>
              <w:top w:val="nil"/>
              <w:left w:val="single" w:sz="4" w:space="0" w:color="auto"/>
              <w:bottom w:val="single" w:sz="4" w:space="0" w:color="auto"/>
              <w:right w:val="single" w:sz="4" w:space="0" w:color="auto"/>
            </w:tcBorders>
            <w:shd w:val="clear" w:color="auto" w:fill="auto"/>
            <w:hideMark/>
          </w:tcPr>
          <w:p w14:paraId="653B968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3A09DFF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27E16E9B"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0E5CF76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c>
          <w:tcPr>
            <w:tcW w:w="362" w:type="pct"/>
            <w:tcBorders>
              <w:top w:val="nil"/>
              <w:left w:val="nil"/>
              <w:bottom w:val="single" w:sz="4" w:space="0" w:color="auto"/>
              <w:right w:val="single" w:sz="4" w:space="0" w:color="auto"/>
            </w:tcBorders>
            <w:shd w:val="clear" w:color="auto" w:fill="auto"/>
            <w:hideMark/>
          </w:tcPr>
          <w:p w14:paraId="1F8C85CF"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1812" w:type="pct"/>
            <w:tcBorders>
              <w:top w:val="nil"/>
              <w:left w:val="nil"/>
              <w:bottom w:val="single" w:sz="4" w:space="0" w:color="auto"/>
              <w:right w:val="single" w:sz="4" w:space="0" w:color="auto"/>
            </w:tcBorders>
            <w:shd w:val="clear" w:color="auto" w:fill="auto"/>
            <w:hideMark/>
          </w:tcPr>
          <w:p w14:paraId="6CF62A0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 Goel and Saunoris (2019), Chepkonga and Mbirithi (2023)</w:t>
            </w:r>
          </w:p>
        </w:tc>
      </w:tr>
      <w:tr w:rsidR="00241ACB" w:rsidRPr="006B2F60" w14:paraId="70031B32" w14:textId="77777777" w:rsidTr="00DE3143">
        <w:trPr>
          <w:trHeight w:val="420"/>
        </w:trPr>
        <w:tc>
          <w:tcPr>
            <w:tcW w:w="1088" w:type="pct"/>
            <w:tcBorders>
              <w:top w:val="nil"/>
              <w:left w:val="single" w:sz="4" w:space="0" w:color="auto"/>
              <w:bottom w:val="single" w:sz="4" w:space="0" w:color="auto"/>
              <w:right w:val="single" w:sz="4" w:space="0" w:color="auto"/>
            </w:tcBorders>
            <w:shd w:val="clear" w:color="auto" w:fill="auto"/>
            <w:hideMark/>
          </w:tcPr>
          <w:p w14:paraId="380C8F9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54EEAB51"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632F131F"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1FFD7E2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c>
          <w:tcPr>
            <w:tcW w:w="362" w:type="pct"/>
            <w:tcBorders>
              <w:top w:val="nil"/>
              <w:left w:val="nil"/>
              <w:bottom w:val="single" w:sz="4" w:space="0" w:color="auto"/>
              <w:right w:val="single" w:sz="4" w:space="0" w:color="auto"/>
            </w:tcBorders>
            <w:shd w:val="clear" w:color="auto" w:fill="auto"/>
            <w:hideMark/>
          </w:tcPr>
          <w:p w14:paraId="5ADD7B9A"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4</w:t>
            </w:r>
          </w:p>
        </w:tc>
        <w:tc>
          <w:tcPr>
            <w:tcW w:w="1812" w:type="pct"/>
            <w:tcBorders>
              <w:top w:val="nil"/>
              <w:left w:val="nil"/>
              <w:bottom w:val="single" w:sz="4" w:space="0" w:color="auto"/>
              <w:right w:val="single" w:sz="4" w:space="0" w:color="auto"/>
            </w:tcBorders>
            <w:shd w:val="clear" w:color="auto" w:fill="auto"/>
            <w:hideMark/>
          </w:tcPr>
          <w:p w14:paraId="7DDBB03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Jadhav and Pawar (2011), Odhiambo and Nyariki (2022), Tashu and Makiva (2022), Ogwang et al. (2023) </w:t>
            </w:r>
          </w:p>
        </w:tc>
      </w:tr>
      <w:tr w:rsidR="00241ACB" w:rsidRPr="006B2F60" w14:paraId="23D03747" w14:textId="77777777" w:rsidTr="00DE3143">
        <w:trPr>
          <w:trHeight w:val="210"/>
        </w:trPr>
        <w:tc>
          <w:tcPr>
            <w:tcW w:w="1088" w:type="pct"/>
            <w:tcBorders>
              <w:top w:val="nil"/>
              <w:left w:val="single" w:sz="4" w:space="0" w:color="auto"/>
              <w:bottom w:val="single" w:sz="4" w:space="0" w:color="auto"/>
              <w:right w:val="single" w:sz="4" w:space="0" w:color="auto"/>
            </w:tcBorders>
            <w:shd w:val="clear" w:color="auto" w:fill="auto"/>
            <w:hideMark/>
          </w:tcPr>
          <w:p w14:paraId="42372D7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59D757FD"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35575C21"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737621F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6221 - Banking </w:t>
            </w:r>
          </w:p>
        </w:tc>
        <w:tc>
          <w:tcPr>
            <w:tcW w:w="362" w:type="pct"/>
            <w:tcBorders>
              <w:top w:val="nil"/>
              <w:left w:val="nil"/>
              <w:bottom w:val="single" w:sz="4" w:space="0" w:color="auto"/>
              <w:right w:val="single" w:sz="4" w:space="0" w:color="auto"/>
            </w:tcBorders>
            <w:shd w:val="clear" w:color="auto" w:fill="auto"/>
            <w:hideMark/>
          </w:tcPr>
          <w:p w14:paraId="1601377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1812" w:type="pct"/>
            <w:tcBorders>
              <w:top w:val="nil"/>
              <w:left w:val="nil"/>
              <w:bottom w:val="single" w:sz="4" w:space="0" w:color="auto"/>
              <w:right w:val="single" w:sz="4" w:space="0" w:color="auto"/>
            </w:tcBorders>
            <w:shd w:val="clear" w:color="auto" w:fill="auto"/>
            <w:hideMark/>
          </w:tcPr>
          <w:p w14:paraId="47B91E6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Andrabi and Brindha (2021)</w:t>
            </w:r>
          </w:p>
        </w:tc>
      </w:tr>
      <w:tr w:rsidR="00241ACB" w:rsidRPr="006B2F60" w14:paraId="1B26B298" w14:textId="77777777" w:rsidTr="00DE3143">
        <w:trPr>
          <w:trHeight w:val="210"/>
        </w:trPr>
        <w:tc>
          <w:tcPr>
            <w:tcW w:w="1088" w:type="pct"/>
            <w:tcBorders>
              <w:top w:val="nil"/>
              <w:left w:val="single" w:sz="4" w:space="0" w:color="auto"/>
              <w:bottom w:val="single" w:sz="4" w:space="0" w:color="auto"/>
              <w:right w:val="single" w:sz="4" w:space="0" w:color="auto"/>
            </w:tcBorders>
            <w:shd w:val="clear" w:color="auto" w:fill="auto"/>
            <w:hideMark/>
          </w:tcPr>
          <w:p w14:paraId="05E55AD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4AD9A3FF"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1A753D96"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1EC8761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4400 - Accommodation</w:t>
            </w:r>
          </w:p>
        </w:tc>
        <w:tc>
          <w:tcPr>
            <w:tcW w:w="362" w:type="pct"/>
            <w:tcBorders>
              <w:top w:val="nil"/>
              <w:left w:val="nil"/>
              <w:bottom w:val="single" w:sz="4" w:space="0" w:color="auto"/>
              <w:right w:val="single" w:sz="4" w:space="0" w:color="auto"/>
            </w:tcBorders>
            <w:shd w:val="clear" w:color="auto" w:fill="auto"/>
            <w:hideMark/>
          </w:tcPr>
          <w:p w14:paraId="0B662419"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1812" w:type="pct"/>
            <w:tcBorders>
              <w:top w:val="nil"/>
              <w:left w:val="nil"/>
              <w:bottom w:val="single" w:sz="4" w:space="0" w:color="auto"/>
              <w:right w:val="single" w:sz="4" w:space="0" w:color="auto"/>
            </w:tcBorders>
            <w:shd w:val="clear" w:color="auto" w:fill="auto"/>
            <w:hideMark/>
          </w:tcPr>
          <w:p w14:paraId="6883963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Musango and Rusibana (2021), Thyaka and Kavale (2021)</w:t>
            </w:r>
          </w:p>
        </w:tc>
      </w:tr>
      <w:tr w:rsidR="00241ACB" w:rsidRPr="006B2F60" w14:paraId="1ED9A81B" w14:textId="77777777" w:rsidTr="00DE3143">
        <w:trPr>
          <w:trHeight w:val="420"/>
        </w:trPr>
        <w:tc>
          <w:tcPr>
            <w:tcW w:w="1088" w:type="pct"/>
            <w:tcBorders>
              <w:top w:val="nil"/>
              <w:left w:val="single" w:sz="4" w:space="0" w:color="auto"/>
              <w:bottom w:val="single" w:sz="4" w:space="0" w:color="auto"/>
              <w:right w:val="single" w:sz="4" w:space="0" w:color="auto"/>
            </w:tcBorders>
            <w:shd w:val="clear" w:color="auto" w:fill="auto"/>
            <w:hideMark/>
          </w:tcPr>
          <w:p w14:paraId="369E394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6F090EC5"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49888690"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159F2AD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5802 - Other Telecommunications Network Operation</w:t>
            </w:r>
          </w:p>
        </w:tc>
        <w:tc>
          <w:tcPr>
            <w:tcW w:w="362" w:type="pct"/>
            <w:tcBorders>
              <w:top w:val="nil"/>
              <w:left w:val="nil"/>
              <w:bottom w:val="single" w:sz="4" w:space="0" w:color="auto"/>
              <w:right w:val="single" w:sz="4" w:space="0" w:color="auto"/>
            </w:tcBorders>
            <w:shd w:val="clear" w:color="auto" w:fill="auto"/>
            <w:hideMark/>
          </w:tcPr>
          <w:p w14:paraId="163B3C7F"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1812" w:type="pct"/>
            <w:tcBorders>
              <w:top w:val="nil"/>
              <w:left w:val="nil"/>
              <w:bottom w:val="single" w:sz="4" w:space="0" w:color="auto"/>
              <w:right w:val="single" w:sz="4" w:space="0" w:color="auto"/>
            </w:tcBorders>
            <w:shd w:val="clear" w:color="auto" w:fill="auto"/>
            <w:hideMark/>
          </w:tcPr>
          <w:p w14:paraId="798C851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Jadhav and Pawar (2011)</w:t>
            </w:r>
          </w:p>
        </w:tc>
      </w:tr>
      <w:tr w:rsidR="00241ACB" w:rsidRPr="006B2F60" w14:paraId="5E17012F" w14:textId="77777777" w:rsidTr="00DE3143">
        <w:trPr>
          <w:trHeight w:val="1260"/>
        </w:trPr>
        <w:tc>
          <w:tcPr>
            <w:tcW w:w="1088" w:type="pct"/>
            <w:tcBorders>
              <w:top w:val="nil"/>
              <w:left w:val="single" w:sz="4" w:space="0" w:color="auto"/>
              <w:bottom w:val="single" w:sz="4" w:space="0" w:color="auto"/>
              <w:right w:val="single" w:sz="4" w:space="0" w:color="auto"/>
            </w:tcBorders>
            <w:shd w:val="clear" w:color="auto" w:fill="auto"/>
            <w:hideMark/>
          </w:tcPr>
          <w:p w14:paraId="1F12DFD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Legislative and Regulatory Reforms </w:t>
            </w:r>
          </w:p>
        </w:tc>
        <w:tc>
          <w:tcPr>
            <w:tcW w:w="362" w:type="pct"/>
            <w:tcBorders>
              <w:top w:val="nil"/>
              <w:left w:val="nil"/>
              <w:bottom w:val="single" w:sz="4" w:space="0" w:color="auto"/>
              <w:right w:val="single" w:sz="4" w:space="0" w:color="auto"/>
            </w:tcBorders>
            <w:shd w:val="clear" w:color="auto" w:fill="auto"/>
            <w:hideMark/>
          </w:tcPr>
          <w:p w14:paraId="3222E2C6"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22</w:t>
            </w:r>
          </w:p>
        </w:tc>
        <w:tc>
          <w:tcPr>
            <w:tcW w:w="396" w:type="pct"/>
            <w:tcBorders>
              <w:top w:val="nil"/>
              <w:left w:val="nil"/>
              <w:bottom w:val="single" w:sz="4" w:space="0" w:color="auto"/>
              <w:right w:val="single" w:sz="4" w:space="0" w:color="auto"/>
            </w:tcBorders>
            <w:shd w:val="clear" w:color="auto" w:fill="auto"/>
            <w:hideMark/>
          </w:tcPr>
          <w:p w14:paraId="7F629653"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29%</w:t>
            </w:r>
          </w:p>
        </w:tc>
        <w:tc>
          <w:tcPr>
            <w:tcW w:w="980" w:type="pct"/>
            <w:tcBorders>
              <w:top w:val="nil"/>
              <w:left w:val="nil"/>
              <w:bottom w:val="single" w:sz="4" w:space="0" w:color="auto"/>
              <w:right w:val="single" w:sz="4" w:space="0" w:color="auto"/>
            </w:tcBorders>
            <w:shd w:val="clear" w:color="auto" w:fill="auto"/>
            <w:hideMark/>
          </w:tcPr>
          <w:p w14:paraId="042DEA8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c>
          <w:tcPr>
            <w:tcW w:w="362" w:type="pct"/>
            <w:tcBorders>
              <w:top w:val="nil"/>
              <w:left w:val="nil"/>
              <w:bottom w:val="single" w:sz="4" w:space="0" w:color="auto"/>
              <w:right w:val="single" w:sz="4" w:space="0" w:color="auto"/>
            </w:tcBorders>
            <w:shd w:val="clear" w:color="auto" w:fill="auto"/>
            <w:hideMark/>
          </w:tcPr>
          <w:p w14:paraId="708B5153"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17</w:t>
            </w:r>
          </w:p>
        </w:tc>
        <w:tc>
          <w:tcPr>
            <w:tcW w:w="1812" w:type="pct"/>
            <w:tcBorders>
              <w:top w:val="nil"/>
              <w:left w:val="nil"/>
              <w:bottom w:val="single" w:sz="4" w:space="0" w:color="auto"/>
              <w:right w:val="single" w:sz="4" w:space="0" w:color="auto"/>
            </w:tcBorders>
            <w:shd w:val="clear" w:color="auto" w:fill="auto"/>
            <w:hideMark/>
          </w:tcPr>
          <w:p w14:paraId="2BBBC8E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Jenkins and Kuo (2000), Evans (2002), Vijayakumar et al. (2005), Goel and Nelson (2007), Eccleston (2007), Slemrod (2010), Nicholson et al. (2016), Piracha and Moore (2016), Radon and Achuthan (2017), Goel and Saunoris (2019), Olaniyi et al. (2019), KAREEM et al. (2020), Kazemi Zaroomi et al. (2020), Angok et al. (2021), Borbely (2021), Bandeira et al. (2022), Abu et al. (2023)</w:t>
            </w:r>
          </w:p>
        </w:tc>
      </w:tr>
      <w:tr w:rsidR="00241ACB" w:rsidRPr="006B2F60" w14:paraId="06A70DB3" w14:textId="77777777" w:rsidTr="00DE3143">
        <w:trPr>
          <w:trHeight w:val="420"/>
        </w:trPr>
        <w:tc>
          <w:tcPr>
            <w:tcW w:w="1088" w:type="pct"/>
            <w:tcBorders>
              <w:top w:val="nil"/>
              <w:left w:val="single" w:sz="4" w:space="0" w:color="auto"/>
              <w:bottom w:val="single" w:sz="4" w:space="0" w:color="auto"/>
              <w:right w:val="single" w:sz="4" w:space="0" w:color="auto"/>
            </w:tcBorders>
            <w:shd w:val="clear" w:color="auto" w:fill="auto"/>
            <w:hideMark/>
          </w:tcPr>
          <w:p w14:paraId="33955BE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03F3F2CF"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40B697A9"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37E50B8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c>
          <w:tcPr>
            <w:tcW w:w="362" w:type="pct"/>
            <w:tcBorders>
              <w:top w:val="nil"/>
              <w:left w:val="nil"/>
              <w:bottom w:val="single" w:sz="4" w:space="0" w:color="auto"/>
              <w:right w:val="single" w:sz="4" w:space="0" w:color="auto"/>
            </w:tcBorders>
            <w:shd w:val="clear" w:color="auto" w:fill="auto"/>
            <w:hideMark/>
          </w:tcPr>
          <w:p w14:paraId="68F831C7"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3</w:t>
            </w:r>
          </w:p>
        </w:tc>
        <w:tc>
          <w:tcPr>
            <w:tcW w:w="1812" w:type="pct"/>
            <w:tcBorders>
              <w:top w:val="nil"/>
              <w:left w:val="nil"/>
              <w:bottom w:val="single" w:sz="4" w:space="0" w:color="auto"/>
              <w:right w:val="single" w:sz="4" w:space="0" w:color="auto"/>
            </w:tcBorders>
            <w:shd w:val="clear" w:color="auto" w:fill="auto"/>
            <w:hideMark/>
          </w:tcPr>
          <w:p w14:paraId="149A832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Brueckner and Kim (2003), Vijayakumar et al. (2005), Radon and Achuthan (2017).</w:t>
            </w:r>
          </w:p>
        </w:tc>
      </w:tr>
      <w:tr w:rsidR="00241ACB" w:rsidRPr="006B2F60" w14:paraId="34D7EBB8" w14:textId="77777777" w:rsidTr="00DE3143">
        <w:trPr>
          <w:trHeight w:val="420"/>
        </w:trPr>
        <w:tc>
          <w:tcPr>
            <w:tcW w:w="1088" w:type="pct"/>
            <w:tcBorders>
              <w:top w:val="nil"/>
              <w:left w:val="single" w:sz="4" w:space="0" w:color="auto"/>
              <w:bottom w:val="single" w:sz="4" w:space="0" w:color="auto"/>
              <w:right w:val="single" w:sz="4" w:space="0" w:color="auto"/>
            </w:tcBorders>
            <w:shd w:val="clear" w:color="auto" w:fill="auto"/>
            <w:hideMark/>
          </w:tcPr>
          <w:p w14:paraId="51C52FEB"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14CC2470"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769E9CE6"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3DF616F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c>
          <w:tcPr>
            <w:tcW w:w="362" w:type="pct"/>
            <w:tcBorders>
              <w:top w:val="nil"/>
              <w:left w:val="nil"/>
              <w:bottom w:val="single" w:sz="4" w:space="0" w:color="auto"/>
              <w:right w:val="single" w:sz="4" w:space="0" w:color="auto"/>
            </w:tcBorders>
            <w:shd w:val="clear" w:color="auto" w:fill="auto"/>
            <w:hideMark/>
          </w:tcPr>
          <w:p w14:paraId="24DB114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1812" w:type="pct"/>
            <w:tcBorders>
              <w:top w:val="nil"/>
              <w:left w:val="nil"/>
              <w:bottom w:val="single" w:sz="4" w:space="0" w:color="auto"/>
              <w:right w:val="single" w:sz="4" w:space="0" w:color="auto"/>
            </w:tcBorders>
            <w:shd w:val="clear" w:color="auto" w:fill="auto"/>
            <w:hideMark/>
          </w:tcPr>
          <w:p w14:paraId="03321EE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Goel and Nelson (2007), Goel and Saunoris (2019).</w:t>
            </w:r>
          </w:p>
        </w:tc>
      </w:tr>
    </w:tbl>
    <w:p w14:paraId="5A7AB1FC" w14:textId="77777777" w:rsidR="00241ACB" w:rsidRPr="006B2F60" w:rsidRDefault="00241ACB" w:rsidP="00241ACB">
      <w:pPr>
        <w:rPr>
          <w:rFonts w:cstheme="minorHAnsi"/>
        </w:rPr>
      </w:pPr>
      <w:r w:rsidRPr="006B2F60">
        <w:rPr>
          <w:rFonts w:cstheme="minorHAnsi"/>
        </w:rPr>
        <w:br w:type="page"/>
      </w:r>
    </w:p>
    <w:tbl>
      <w:tblPr>
        <w:tblW w:w="5000" w:type="pct"/>
        <w:tblLook w:val="04A0" w:firstRow="1" w:lastRow="0" w:firstColumn="1" w:lastColumn="0" w:noHBand="0" w:noVBand="1"/>
      </w:tblPr>
      <w:tblGrid>
        <w:gridCol w:w="2817"/>
        <w:gridCol w:w="938"/>
        <w:gridCol w:w="1026"/>
        <w:gridCol w:w="2538"/>
        <w:gridCol w:w="938"/>
        <w:gridCol w:w="4693"/>
      </w:tblGrid>
      <w:tr w:rsidR="00241ACB" w:rsidRPr="006B2F60" w14:paraId="7F860C71" w14:textId="77777777" w:rsidTr="00DE3143">
        <w:trPr>
          <w:trHeight w:val="630"/>
        </w:trPr>
        <w:tc>
          <w:tcPr>
            <w:tcW w:w="1088"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00AED9C"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lastRenderedPageBreak/>
              <w:t>RL Prevention Strategies</w:t>
            </w:r>
          </w:p>
        </w:tc>
        <w:tc>
          <w:tcPr>
            <w:tcW w:w="362" w:type="pct"/>
            <w:tcBorders>
              <w:top w:val="single" w:sz="4" w:space="0" w:color="auto"/>
              <w:left w:val="nil"/>
              <w:bottom w:val="single" w:sz="4" w:space="0" w:color="auto"/>
              <w:right w:val="single" w:sz="4" w:space="0" w:color="auto"/>
            </w:tcBorders>
            <w:shd w:val="clear" w:color="auto" w:fill="BFBFBF" w:themeFill="background1" w:themeFillShade="BF"/>
          </w:tcPr>
          <w:p w14:paraId="2E4A441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Total Research Count</w:t>
            </w:r>
          </w:p>
        </w:tc>
        <w:tc>
          <w:tcPr>
            <w:tcW w:w="396" w:type="pct"/>
            <w:tcBorders>
              <w:top w:val="single" w:sz="4" w:space="0" w:color="auto"/>
              <w:left w:val="nil"/>
              <w:bottom w:val="single" w:sz="4" w:space="0" w:color="auto"/>
              <w:right w:val="single" w:sz="4" w:space="0" w:color="auto"/>
            </w:tcBorders>
            <w:shd w:val="clear" w:color="auto" w:fill="BFBFBF" w:themeFill="background1" w:themeFillShade="BF"/>
          </w:tcPr>
          <w:p w14:paraId="722274E6"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Reporting Frequency (%)</w:t>
            </w:r>
          </w:p>
        </w:tc>
        <w:tc>
          <w:tcPr>
            <w:tcW w:w="980" w:type="pct"/>
            <w:tcBorders>
              <w:top w:val="single" w:sz="4" w:space="0" w:color="auto"/>
              <w:left w:val="nil"/>
              <w:bottom w:val="single" w:sz="4" w:space="0" w:color="auto"/>
              <w:right w:val="single" w:sz="4" w:space="0" w:color="auto"/>
            </w:tcBorders>
            <w:shd w:val="clear" w:color="auto" w:fill="BFBFBF" w:themeFill="background1" w:themeFillShade="BF"/>
          </w:tcPr>
          <w:p w14:paraId="2EEBA041"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Industry Sector (ANZSIC Code)</w:t>
            </w:r>
          </w:p>
        </w:tc>
        <w:tc>
          <w:tcPr>
            <w:tcW w:w="362" w:type="pct"/>
            <w:tcBorders>
              <w:top w:val="single" w:sz="4" w:space="0" w:color="auto"/>
              <w:left w:val="nil"/>
              <w:bottom w:val="single" w:sz="4" w:space="0" w:color="auto"/>
              <w:right w:val="single" w:sz="4" w:space="0" w:color="auto"/>
            </w:tcBorders>
            <w:shd w:val="clear" w:color="auto" w:fill="BFBFBF" w:themeFill="background1" w:themeFillShade="BF"/>
          </w:tcPr>
          <w:p w14:paraId="206FAB77"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Research Count by ANZSIC Code</w:t>
            </w:r>
          </w:p>
        </w:tc>
        <w:tc>
          <w:tcPr>
            <w:tcW w:w="1812" w:type="pct"/>
            <w:tcBorders>
              <w:top w:val="single" w:sz="4" w:space="0" w:color="auto"/>
              <w:left w:val="nil"/>
              <w:bottom w:val="single" w:sz="4" w:space="0" w:color="auto"/>
              <w:right w:val="single" w:sz="4" w:space="0" w:color="auto"/>
            </w:tcBorders>
            <w:shd w:val="clear" w:color="auto" w:fill="BFBFBF" w:themeFill="background1" w:themeFillShade="BF"/>
          </w:tcPr>
          <w:p w14:paraId="7711C380"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b/>
                <w:bCs/>
                <w:color w:val="000000"/>
                <w:sz w:val="16"/>
                <w:szCs w:val="16"/>
                <w:lang w:eastAsia="en-GB"/>
              </w:rPr>
              <w:t>Author</w:t>
            </w:r>
          </w:p>
        </w:tc>
      </w:tr>
      <w:tr w:rsidR="00241ACB" w:rsidRPr="006B2F60" w14:paraId="00AEFF64" w14:textId="77777777" w:rsidTr="00DE3143">
        <w:trPr>
          <w:trHeight w:val="630"/>
        </w:trPr>
        <w:tc>
          <w:tcPr>
            <w:tcW w:w="1088" w:type="pct"/>
            <w:tcBorders>
              <w:top w:val="nil"/>
              <w:left w:val="single" w:sz="4" w:space="0" w:color="auto"/>
              <w:bottom w:val="single" w:sz="4" w:space="0" w:color="auto"/>
              <w:right w:val="single" w:sz="4" w:space="0" w:color="auto"/>
            </w:tcBorders>
            <w:shd w:val="clear" w:color="auto" w:fill="auto"/>
            <w:hideMark/>
          </w:tcPr>
          <w:p w14:paraId="5498507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Employee Training and Capacity Building </w:t>
            </w:r>
          </w:p>
        </w:tc>
        <w:tc>
          <w:tcPr>
            <w:tcW w:w="362" w:type="pct"/>
            <w:tcBorders>
              <w:top w:val="nil"/>
              <w:left w:val="nil"/>
              <w:bottom w:val="single" w:sz="4" w:space="0" w:color="auto"/>
              <w:right w:val="single" w:sz="4" w:space="0" w:color="auto"/>
            </w:tcBorders>
            <w:shd w:val="clear" w:color="auto" w:fill="auto"/>
            <w:hideMark/>
          </w:tcPr>
          <w:p w14:paraId="7255054E"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20</w:t>
            </w:r>
          </w:p>
        </w:tc>
        <w:tc>
          <w:tcPr>
            <w:tcW w:w="396" w:type="pct"/>
            <w:tcBorders>
              <w:top w:val="nil"/>
              <w:left w:val="nil"/>
              <w:bottom w:val="single" w:sz="4" w:space="0" w:color="auto"/>
              <w:right w:val="single" w:sz="4" w:space="0" w:color="auto"/>
            </w:tcBorders>
            <w:shd w:val="clear" w:color="auto" w:fill="auto"/>
            <w:hideMark/>
          </w:tcPr>
          <w:p w14:paraId="42B97420"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26%</w:t>
            </w:r>
          </w:p>
        </w:tc>
        <w:tc>
          <w:tcPr>
            <w:tcW w:w="980" w:type="pct"/>
            <w:tcBorders>
              <w:top w:val="nil"/>
              <w:left w:val="nil"/>
              <w:bottom w:val="single" w:sz="4" w:space="0" w:color="auto"/>
              <w:right w:val="single" w:sz="4" w:space="0" w:color="auto"/>
            </w:tcBorders>
            <w:shd w:val="clear" w:color="auto" w:fill="auto"/>
            <w:hideMark/>
          </w:tcPr>
          <w:p w14:paraId="5FA8D3F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c>
          <w:tcPr>
            <w:tcW w:w="362" w:type="pct"/>
            <w:tcBorders>
              <w:top w:val="nil"/>
              <w:left w:val="nil"/>
              <w:bottom w:val="single" w:sz="4" w:space="0" w:color="auto"/>
              <w:right w:val="single" w:sz="4" w:space="0" w:color="auto"/>
            </w:tcBorders>
            <w:shd w:val="clear" w:color="auto" w:fill="auto"/>
            <w:hideMark/>
          </w:tcPr>
          <w:p w14:paraId="6AD819CB"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7</w:t>
            </w:r>
          </w:p>
        </w:tc>
        <w:tc>
          <w:tcPr>
            <w:tcW w:w="1812" w:type="pct"/>
            <w:tcBorders>
              <w:top w:val="nil"/>
              <w:left w:val="nil"/>
              <w:bottom w:val="single" w:sz="4" w:space="0" w:color="auto"/>
              <w:right w:val="single" w:sz="4" w:space="0" w:color="auto"/>
            </w:tcBorders>
            <w:shd w:val="clear" w:color="auto" w:fill="auto"/>
            <w:hideMark/>
          </w:tcPr>
          <w:p w14:paraId="7F627EF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Yeboah</w:t>
            </w:r>
            <w:r w:rsidRPr="006B2F60">
              <w:rPr>
                <w:rFonts w:ascii="Cambria Math" w:eastAsia="Times New Roman" w:hAnsi="Cambria Math" w:cs="Cambria Math"/>
                <w:color w:val="000000"/>
                <w:sz w:val="16"/>
                <w:szCs w:val="16"/>
                <w:lang w:eastAsia="en-GB"/>
              </w:rPr>
              <w:t>‐</w:t>
            </w:r>
            <w:r w:rsidRPr="006B2F60">
              <w:rPr>
                <w:rFonts w:eastAsia="Times New Roman" w:cstheme="minorHAnsi"/>
                <w:color w:val="000000"/>
                <w:sz w:val="16"/>
                <w:szCs w:val="16"/>
                <w:lang w:eastAsia="en-GB"/>
              </w:rPr>
              <w:t>Assiamah and Alesu</w:t>
            </w:r>
            <w:r w:rsidRPr="006B2F60">
              <w:rPr>
                <w:rFonts w:ascii="Cambria Math" w:eastAsia="Times New Roman" w:hAnsi="Cambria Math" w:cs="Cambria Math"/>
                <w:color w:val="000000"/>
                <w:sz w:val="16"/>
                <w:szCs w:val="16"/>
                <w:lang w:eastAsia="en-GB"/>
              </w:rPr>
              <w:t>‐</w:t>
            </w:r>
            <w:r w:rsidRPr="006B2F60">
              <w:rPr>
                <w:rFonts w:eastAsia="Times New Roman" w:cstheme="minorHAnsi"/>
                <w:color w:val="000000"/>
                <w:sz w:val="16"/>
                <w:szCs w:val="16"/>
                <w:lang w:eastAsia="en-GB"/>
              </w:rPr>
              <w:t>Dordzi (2016), Solanke (2018), Devos and Kenny (2017), Angok et al. (2021), Thyaka and Kavale (2021), Yegon and Kilonzi (2023), Mwesiga et al. (2023)</w:t>
            </w:r>
          </w:p>
        </w:tc>
      </w:tr>
      <w:tr w:rsidR="00241ACB" w:rsidRPr="006B2F60" w14:paraId="2C1BB31E" w14:textId="77777777" w:rsidTr="00DE3143">
        <w:trPr>
          <w:trHeight w:val="210"/>
        </w:trPr>
        <w:tc>
          <w:tcPr>
            <w:tcW w:w="1088" w:type="pct"/>
            <w:tcBorders>
              <w:top w:val="nil"/>
              <w:left w:val="single" w:sz="4" w:space="0" w:color="auto"/>
              <w:bottom w:val="single" w:sz="4" w:space="0" w:color="auto"/>
              <w:right w:val="single" w:sz="4" w:space="0" w:color="auto"/>
            </w:tcBorders>
            <w:shd w:val="clear" w:color="auto" w:fill="auto"/>
            <w:hideMark/>
          </w:tcPr>
          <w:p w14:paraId="5488517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0CA9BCD7"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66BE400C"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2BABF23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8102 - Higher Education </w:t>
            </w:r>
          </w:p>
        </w:tc>
        <w:tc>
          <w:tcPr>
            <w:tcW w:w="362" w:type="pct"/>
            <w:tcBorders>
              <w:top w:val="nil"/>
              <w:left w:val="nil"/>
              <w:bottom w:val="single" w:sz="4" w:space="0" w:color="auto"/>
              <w:right w:val="single" w:sz="4" w:space="0" w:color="auto"/>
            </w:tcBorders>
            <w:shd w:val="clear" w:color="auto" w:fill="auto"/>
            <w:hideMark/>
          </w:tcPr>
          <w:p w14:paraId="7E76EF81"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1812" w:type="pct"/>
            <w:tcBorders>
              <w:top w:val="nil"/>
              <w:left w:val="nil"/>
              <w:bottom w:val="single" w:sz="4" w:space="0" w:color="auto"/>
              <w:right w:val="single" w:sz="4" w:space="0" w:color="auto"/>
            </w:tcBorders>
            <w:shd w:val="clear" w:color="auto" w:fill="auto"/>
            <w:hideMark/>
          </w:tcPr>
          <w:p w14:paraId="33CF206D"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Solanke (2018), Milaham and Milaham (2020)</w:t>
            </w:r>
          </w:p>
        </w:tc>
      </w:tr>
      <w:tr w:rsidR="00241ACB" w:rsidRPr="006B2F60" w14:paraId="60166CA9" w14:textId="77777777" w:rsidTr="00DE3143">
        <w:trPr>
          <w:trHeight w:val="420"/>
        </w:trPr>
        <w:tc>
          <w:tcPr>
            <w:tcW w:w="1088" w:type="pct"/>
            <w:tcBorders>
              <w:top w:val="nil"/>
              <w:left w:val="single" w:sz="4" w:space="0" w:color="auto"/>
              <w:bottom w:val="single" w:sz="4" w:space="0" w:color="auto"/>
              <w:right w:val="single" w:sz="4" w:space="0" w:color="auto"/>
            </w:tcBorders>
            <w:shd w:val="clear" w:color="auto" w:fill="auto"/>
            <w:hideMark/>
          </w:tcPr>
          <w:p w14:paraId="3DB33E3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2067C125"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47695C2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3000B7A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7520 - State Government Administration</w:t>
            </w:r>
          </w:p>
        </w:tc>
        <w:tc>
          <w:tcPr>
            <w:tcW w:w="362" w:type="pct"/>
            <w:tcBorders>
              <w:top w:val="nil"/>
              <w:left w:val="nil"/>
              <w:bottom w:val="single" w:sz="4" w:space="0" w:color="auto"/>
              <w:right w:val="single" w:sz="4" w:space="0" w:color="auto"/>
            </w:tcBorders>
            <w:shd w:val="clear" w:color="auto" w:fill="auto"/>
            <w:hideMark/>
          </w:tcPr>
          <w:p w14:paraId="2692750F"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3</w:t>
            </w:r>
          </w:p>
        </w:tc>
        <w:tc>
          <w:tcPr>
            <w:tcW w:w="1812" w:type="pct"/>
            <w:tcBorders>
              <w:top w:val="nil"/>
              <w:left w:val="nil"/>
              <w:bottom w:val="single" w:sz="4" w:space="0" w:color="auto"/>
              <w:right w:val="single" w:sz="4" w:space="0" w:color="auto"/>
            </w:tcBorders>
            <w:shd w:val="clear" w:color="auto" w:fill="auto"/>
            <w:hideMark/>
          </w:tcPr>
          <w:p w14:paraId="5BA18FC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Komen and Ngahu (2023), Chepkonga and Mbirithi (2023), Zaini and Yulianto (2023)</w:t>
            </w:r>
          </w:p>
        </w:tc>
      </w:tr>
      <w:tr w:rsidR="00241ACB" w:rsidRPr="006B2F60" w14:paraId="2FCA7124" w14:textId="77777777" w:rsidTr="00DE3143">
        <w:trPr>
          <w:trHeight w:val="420"/>
        </w:trPr>
        <w:tc>
          <w:tcPr>
            <w:tcW w:w="1088" w:type="pct"/>
            <w:tcBorders>
              <w:top w:val="nil"/>
              <w:left w:val="single" w:sz="4" w:space="0" w:color="auto"/>
              <w:bottom w:val="single" w:sz="4" w:space="0" w:color="auto"/>
              <w:right w:val="single" w:sz="4" w:space="0" w:color="auto"/>
            </w:tcBorders>
            <w:shd w:val="clear" w:color="auto" w:fill="auto"/>
            <w:hideMark/>
          </w:tcPr>
          <w:p w14:paraId="57536A4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362132A9"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32A1437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6FA58C9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c>
          <w:tcPr>
            <w:tcW w:w="362" w:type="pct"/>
            <w:tcBorders>
              <w:top w:val="nil"/>
              <w:left w:val="nil"/>
              <w:bottom w:val="single" w:sz="4" w:space="0" w:color="auto"/>
              <w:right w:val="single" w:sz="4" w:space="0" w:color="auto"/>
            </w:tcBorders>
            <w:shd w:val="clear" w:color="auto" w:fill="auto"/>
            <w:hideMark/>
          </w:tcPr>
          <w:p w14:paraId="3D1023D9"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3</w:t>
            </w:r>
          </w:p>
        </w:tc>
        <w:tc>
          <w:tcPr>
            <w:tcW w:w="1812" w:type="pct"/>
            <w:tcBorders>
              <w:top w:val="nil"/>
              <w:left w:val="nil"/>
              <w:bottom w:val="single" w:sz="4" w:space="0" w:color="auto"/>
              <w:right w:val="single" w:sz="4" w:space="0" w:color="auto"/>
            </w:tcBorders>
            <w:shd w:val="clear" w:color="auto" w:fill="auto"/>
            <w:hideMark/>
          </w:tcPr>
          <w:p w14:paraId="2F3C1A51"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Odhiambo and Nyariki (2022), Ingle et al. (2022), Chepkonga and Mbirithi (2023)</w:t>
            </w:r>
          </w:p>
        </w:tc>
      </w:tr>
      <w:tr w:rsidR="00241ACB" w:rsidRPr="006B2F60" w14:paraId="1BB57D44" w14:textId="77777777" w:rsidTr="00DE3143">
        <w:trPr>
          <w:trHeight w:val="210"/>
        </w:trPr>
        <w:tc>
          <w:tcPr>
            <w:tcW w:w="1088" w:type="pct"/>
            <w:tcBorders>
              <w:top w:val="nil"/>
              <w:left w:val="single" w:sz="4" w:space="0" w:color="auto"/>
              <w:bottom w:val="single" w:sz="4" w:space="0" w:color="auto"/>
              <w:right w:val="single" w:sz="4" w:space="0" w:color="auto"/>
            </w:tcBorders>
            <w:shd w:val="clear" w:color="auto" w:fill="auto"/>
            <w:hideMark/>
          </w:tcPr>
          <w:p w14:paraId="04633225"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6C877487"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238E5D00"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2792898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4511 - Cafes and Restaurants</w:t>
            </w:r>
          </w:p>
        </w:tc>
        <w:tc>
          <w:tcPr>
            <w:tcW w:w="362" w:type="pct"/>
            <w:tcBorders>
              <w:top w:val="nil"/>
              <w:left w:val="nil"/>
              <w:bottom w:val="single" w:sz="4" w:space="0" w:color="auto"/>
              <w:right w:val="single" w:sz="4" w:space="0" w:color="auto"/>
            </w:tcBorders>
            <w:shd w:val="clear" w:color="auto" w:fill="auto"/>
            <w:hideMark/>
          </w:tcPr>
          <w:p w14:paraId="3BB24F7D"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1812" w:type="pct"/>
            <w:tcBorders>
              <w:top w:val="nil"/>
              <w:left w:val="nil"/>
              <w:bottom w:val="single" w:sz="4" w:space="0" w:color="auto"/>
              <w:right w:val="single" w:sz="4" w:space="0" w:color="auto"/>
            </w:tcBorders>
            <w:shd w:val="clear" w:color="auto" w:fill="auto"/>
            <w:hideMark/>
          </w:tcPr>
          <w:p w14:paraId="42A053A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Ingle et al. (2022)</w:t>
            </w:r>
          </w:p>
        </w:tc>
      </w:tr>
      <w:tr w:rsidR="00241ACB" w:rsidRPr="006B2F60" w14:paraId="6736A5F1" w14:textId="77777777" w:rsidTr="00DE3143">
        <w:trPr>
          <w:trHeight w:val="210"/>
        </w:trPr>
        <w:tc>
          <w:tcPr>
            <w:tcW w:w="1088" w:type="pct"/>
            <w:tcBorders>
              <w:top w:val="nil"/>
              <w:left w:val="single" w:sz="4" w:space="0" w:color="auto"/>
              <w:bottom w:val="single" w:sz="4" w:space="0" w:color="auto"/>
              <w:right w:val="single" w:sz="4" w:space="0" w:color="auto"/>
            </w:tcBorders>
            <w:shd w:val="clear" w:color="auto" w:fill="auto"/>
            <w:hideMark/>
          </w:tcPr>
          <w:p w14:paraId="1C93668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5DD043AB"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19C0EB0A"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1905920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6221 - Banking</w:t>
            </w:r>
          </w:p>
        </w:tc>
        <w:tc>
          <w:tcPr>
            <w:tcW w:w="362" w:type="pct"/>
            <w:tcBorders>
              <w:top w:val="nil"/>
              <w:left w:val="nil"/>
              <w:bottom w:val="single" w:sz="4" w:space="0" w:color="auto"/>
              <w:right w:val="single" w:sz="4" w:space="0" w:color="auto"/>
            </w:tcBorders>
            <w:shd w:val="clear" w:color="auto" w:fill="auto"/>
            <w:hideMark/>
          </w:tcPr>
          <w:p w14:paraId="05C02DFA"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1812" w:type="pct"/>
            <w:tcBorders>
              <w:top w:val="nil"/>
              <w:left w:val="nil"/>
              <w:bottom w:val="single" w:sz="4" w:space="0" w:color="auto"/>
              <w:right w:val="single" w:sz="4" w:space="0" w:color="auto"/>
            </w:tcBorders>
            <w:shd w:val="clear" w:color="auto" w:fill="auto"/>
            <w:hideMark/>
          </w:tcPr>
          <w:p w14:paraId="38B086F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Andrabi and Brindha (2021)</w:t>
            </w:r>
          </w:p>
        </w:tc>
      </w:tr>
      <w:tr w:rsidR="00241ACB" w:rsidRPr="006B2F60" w14:paraId="07097365" w14:textId="77777777" w:rsidTr="00DE3143">
        <w:trPr>
          <w:trHeight w:val="210"/>
        </w:trPr>
        <w:tc>
          <w:tcPr>
            <w:tcW w:w="1088" w:type="pct"/>
            <w:tcBorders>
              <w:top w:val="nil"/>
              <w:left w:val="single" w:sz="4" w:space="0" w:color="auto"/>
              <w:bottom w:val="single" w:sz="4" w:space="0" w:color="auto"/>
              <w:right w:val="single" w:sz="4" w:space="0" w:color="auto"/>
            </w:tcBorders>
            <w:shd w:val="clear" w:color="auto" w:fill="auto"/>
            <w:hideMark/>
          </w:tcPr>
          <w:p w14:paraId="36890430"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41728605"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618C4CD3"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5E6C20C7"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4400 - Accommodation</w:t>
            </w:r>
          </w:p>
        </w:tc>
        <w:tc>
          <w:tcPr>
            <w:tcW w:w="362" w:type="pct"/>
            <w:tcBorders>
              <w:top w:val="nil"/>
              <w:left w:val="nil"/>
              <w:bottom w:val="single" w:sz="4" w:space="0" w:color="auto"/>
              <w:right w:val="single" w:sz="4" w:space="0" w:color="auto"/>
            </w:tcBorders>
            <w:shd w:val="clear" w:color="auto" w:fill="auto"/>
            <w:hideMark/>
          </w:tcPr>
          <w:p w14:paraId="7532623C"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1812" w:type="pct"/>
            <w:tcBorders>
              <w:top w:val="nil"/>
              <w:left w:val="nil"/>
              <w:bottom w:val="single" w:sz="4" w:space="0" w:color="auto"/>
              <w:right w:val="single" w:sz="4" w:space="0" w:color="auto"/>
            </w:tcBorders>
            <w:shd w:val="clear" w:color="auto" w:fill="auto"/>
            <w:hideMark/>
          </w:tcPr>
          <w:p w14:paraId="28EF7FE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Musango and Rusibana (2021), Thyaka and Kavale (2021)</w:t>
            </w:r>
          </w:p>
        </w:tc>
      </w:tr>
      <w:tr w:rsidR="00241ACB" w:rsidRPr="006B2F60" w14:paraId="532FFE72" w14:textId="77777777" w:rsidTr="00DE3143">
        <w:trPr>
          <w:trHeight w:val="420"/>
        </w:trPr>
        <w:tc>
          <w:tcPr>
            <w:tcW w:w="1088" w:type="pct"/>
            <w:tcBorders>
              <w:top w:val="nil"/>
              <w:left w:val="single" w:sz="4" w:space="0" w:color="auto"/>
              <w:bottom w:val="single" w:sz="4" w:space="0" w:color="auto"/>
              <w:right w:val="single" w:sz="4" w:space="0" w:color="auto"/>
            </w:tcBorders>
            <w:shd w:val="clear" w:color="auto" w:fill="auto"/>
            <w:hideMark/>
          </w:tcPr>
          <w:p w14:paraId="109C93F4"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61E4BC33"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1F14D216"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7CCC5C7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5802 - Other Telecommunications Network Operation</w:t>
            </w:r>
          </w:p>
        </w:tc>
        <w:tc>
          <w:tcPr>
            <w:tcW w:w="362" w:type="pct"/>
            <w:tcBorders>
              <w:top w:val="nil"/>
              <w:left w:val="nil"/>
              <w:bottom w:val="single" w:sz="4" w:space="0" w:color="auto"/>
              <w:right w:val="single" w:sz="4" w:space="0" w:color="auto"/>
            </w:tcBorders>
            <w:shd w:val="clear" w:color="auto" w:fill="auto"/>
            <w:hideMark/>
          </w:tcPr>
          <w:p w14:paraId="4705716B"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1812" w:type="pct"/>
            <w:tcBorders>
              <w:top w:val="nil"/>
              <w:left w:val="nil"/>
              <w:bottom w:val="single" w:sz="4" w:space="0" w:color="auto"/>
              <w:right w:val="single" w:sz="4" w:space="0" w:color="auto"/>
            </w:tcBorders>
            <w:shd w:val="clear" w:color="auto" w:fill="auto"/>
            <w:hideMark/>
          </w:tcPr>
          <w:p w14:paraId="36DCE45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Tang et al. (2020)</w:t>
            </w:r>
          </w:p>
        </w:tc>
      </w:tr>
      <w:tr w:rsidR="00241ACB" w:rsidRPr="006B2F60" w14:paraId="425CA49E" w14:textId="77777777" w:rsidTr="00DE3143">
        <w:trPr>
          <w:trHeight w:val="420"/>
        </w:trPr>
        <w:tc>
          <w:tcPr>
            <w:tcW w:w="1088" w:type="pct"/>
            <w:tcBorders>
              <w:top w:val="nil"/>
              <w:left w:val="single" w:sz="4" w:space="0" w:color="auto"/>
              <w:bottom w:val="single" w:sz="4" w:space="0" w:color="auto"/>
              <w:right w:val="single" w:sz="4" w:space="0" w:color="auto"/>
            </w:tcBorders>
            <w:shd w:val="clear" w:color="auto" w:fill="auto"/>
            <w:hideMark/>
          </w:tcPr>
          <w:p w14:paraId="73414163"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Automation of Processes</w:t>
            </w:r>
          </w:p>
        </w:tc>
        <w:tc>
          <w:tcPr>
            <w:tcW w:w="362" w:type="pct"/>
            <w:tcBorders>
              <w:top w:val="nil"/>
              <w:left w:val="nil"/>
              <w:bottom w:val="single" w:sz="4" w:space="0" w:color="auto"/>
              <w:right w:val="single" w:sz="4" w:space="0" w:color="auto"/>
            </w:tcBorders>
            <w:shd w:val="clear" w:color="auto" w:fill="auto"/>
            <w:hideMark/>
          </w:tcPr>
          <w:p w14:paraId="29767B56"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6</w:t>
            </w:r>
          </w:p>
        </w:tc>
        <w:tc>
          <w:tcPr>
            <w:tcW w:w="396" w:type="pct"/>
            <w:tcBorders>
              <w:top w:val="nil"/>
              <w:left w:val="nil"/>
              <w:bottom w:val="single" w:sz="4" w:space="0" w:color="auto"/>
              <w:right w:val="single" w:sz="4" w:space="0" w:color="auto"/>
            </w:tcBorders>
            <w:shd w:val="clear" w:color="auto" w:fill="auto"/>
            <w:hideMark/>
          </w:tcPr>
          <w:p w14:paraId="41665C3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8%</w:t>
            </w:r>
          </w:p>
        </w:tc>
        <w:tc>
          <w:tcPr>
            <w:tcW w:w="980" w:type="pct"/>
            <w:tcBorders>
              <w:top w:val="nil"/>
              <w:left w:val="nil"/>
              <w:bottom w:val="single" w:sz="4" w:space="0" w:color="auto"/>
              <w:right w:val="single" w:sz="4" w:space="0" w:color="auto"/>
            </w:tcBorders>
            <w:shd w:val="clear" w:color="auto" w:fill="auto"/>
            <w:hideMark/>
          </w:tcPr>
          <w:p w14:paraId="0EEBCEB9"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8401 - Hospitals (Except Psychiatric Hospitals)</w:t>
            </w:r>
          </w:p>
        </w:tc>
        <w:tc>
          <w:tcPr>
            <w:tcW w:w="362" w:type="pct"/>
            <w:tcBorders>
              <w:top w:val="nil"/>
              <w:left w:val="nil"/>
              <w:bottom w:val="single" w:sz="4" w:space="0" w:color="auto"/>
              <w:right w:val="single" w:sz="4" w:space="0" w:color="auto"/>
            </w:tcBorders>
            <w:shd w:val="clear" w:color="auto" w:fill="auto"/>
            <w:hideMark/>
          </w:tcPr>
          <w:p w14:paraId="0766398C"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2</w:t>
            </w:r>
          </w:p>
        </w:tc>
        <w:tc>
          <w:tcPr>
            <w:tcW w:w="1812" w:type="pct"/>
            <w:tcBorders>
              <w:top w:val="nil"/>
              <w:left w:val="nil"/>
              <w:bottom w:val="single" w:sz="4" w:space="0" w:color="auto"/>
              <w:right w:val="single" w:sz="4" w:space="0" w:color="auto"/>
            </w:tcBorders>
            <w:shd w:val="clear" w:color="auto" w:fill="auto"/>
            <w:hideMark/>
          </w:tcPr>
          <w:p w14:paraId="77BA550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Benson-Iyare and Soriyan (2018), Kilanko (2023)</w:t>
            </w:r>
          </w:p>
        </w:tc>
      </w:tr>
      <w:tr w:rsidR="00241ACB" w:rsidRPr="006B2F60" w14:paraId="28907CAC" w14:textId="77777777" w:rsidTr="00DE3143">
        <w:trPr>
          <w:trHeight w:val="420"/>
        </w:trPr>
        <w:tc>
          <w:tcPr>
            <w:tcW w:w="1088" w:type="pct"/>
            <w:tcBorders>
              <w:top w:val="nil"/>
              <w:left w:val="single" w:sz="4" w:space="0" w:color="auto"/>
              <w:bottom w:val="single" w:sz="4" w:space="0" w:color="auto"/>
              <w:right w:val="single" w:sz="4" w:space="0" w:color="auto"/>
            </w:tcBorders>
            <w:shd w:val="clear" w:color="auto" w:fill="auto"/>
            <w:hideMark/>
          </w:tcPr>
          <w:p w14:paraId="7724085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3C61656C"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7F7CBC78"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6F57386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c>
          <w:tcPr>
            <w:tcW w:w="362" w:type="pct"/>
            <w:tcBorders>
              <w:top w:val="nil"/>
              <w:left w:val="nil"/>
              <w:bottom w:val="single" w:sz="4" w:space="0" w:color="auto"/>
              <w:right w:val="single" w:sz="4" w:space="0" w:color="auto"/>
            </w:tcBorders>
            <w:shd w:val="clear" w:color="auto" w:fill="auto"/>
            <w:hideMark/>
          </w:tcPr>
          <w:p w14:paraId="001CE97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1812" w:type="pct"/>
            <w:tcBorders>
              <w:top w:val="nil"/>
              <w:left w:val="nil"/>
              <w:bottom w:val="single" w:sz="4" w:space="0" w:color="auto"/>
              <w:right w:val="single" w:sz="4" w:space="0" w:color="auto"/>
            </w:tcBorders>
            <w:shd w:val="clear" w:color="auto" w:fill="auto"/>
            <w:hideMark/>
          </w:tcPr>
          <w:p w14:paraId="70347C46"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Angok et al. (2021)</w:t>
            </w:r>
          </w:p>
        </w:tc>
      </w:tr>
      <w:tr w:rsidR="00241ACB" w:rsidRPr="006B2F60" w14:paraId="213CB7A8" w14:textId="77777777" w:rsidTr="00DE3143">
        <w:trPr>
          <w:trHeight w:val="420"/>
        </w:trPr>
        <w:tc>
          <w:tcPr>
            <w:tcW w:w="1088" w:type="pct"/>
            <w:tcBorders>
              <w:top w:val="nil"/>
              <w:left w:val="single" w:sz="4" w:space="0" w:color="auto"/>
              <w:bottom w:val="single" w:sz="4" w:space="0" w:color="auto"/>
              <w:right w:val="single" w:sz="4" w:space="0" w:color="auto"/>
            </w:tcBorders>
            <w:shd w:val="clear" w:color="auto" w:fill="auto"/>
            <w:hideMark/>
          </w:tcPr>
          <w:p w14:paraId="4A0BA248"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3B5D8F28"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0F49B3B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197F760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c>
          <w:tcPr>
            <w:tcW w:w="362" w:type="pct"/>
            <w:tcBorders>
              <w:top w:val="nil"/>
              <w:left w:val="nil"/>
              <w:bottom w:val="single" w:sz="4" w:space="0" w:color="auto"/>
              <w:right w:val="single" w:sz="4" w:space="0" w:color="auto"/>
            </w:tcBorders>
            <w:shd w:val="clear" w:color="auto" w:fill="auto"/>
            <w:hideMark/>
          </w:tcPr>
          <w:p w14:paraId="49E0A804"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3</w:t>
            </w:r>
          </w:p>
        </w:tc>
        <w:tc>
          <w:tcPr>
            <w:tcW w:w="1812" w:type="pct"/>
            <w:tcBorders>
              <w:top w:val="nil"/>
              <w:left w:val="nil"/>
              <w:bottom w:val="single" w:sz="4" w:space="0" w:color="auto"/>
              <w:right w:val="single" w:sz="4" w:space="0" w:color="auto"/>
            </w:tcBorders>
            <w:shd w:val="clear" w:color="auto" w:fill="auto"/>
            <w:hideMark/>
          </w:tcPr>
          <w:p w14:paraId="4A9A6C6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Odhiambo and Nyariki (2022), Ombaba Kennedy and Ngugi (2023), Zaini and Yulianto (2023)</w:t>
            </w:r>
          </w:p>
        </w:tc>
      </w:tr>
      <w:tr w:rsidR="00241ACB" w:rsidRPr="006B2F60" w14:paraId="331BB491" w14:textId="77777777" w:rsidTr="00DE3143">
        <w:trPr>
          <w:trHeight w:val="420"/>
        </w:trPr>
        <w:tc>
          <w:tcPr>
            <w:tcW w:w="1088" w:type="pct"/>
            <w:tcBorders>
              <w:top w:val="nil"/>
              <w:left w:val="single" w:sz="4" w:space="0" w:color="auto"/>
              <w:bottom w:val="single" w:sz="4" w:space="0" w:color="auto"/>
              <w:right w:val="single" w:sz="4" w:space="0" w:color="auto"/>
            </w:tcBorders>
            <w:shd w:val="clear" w:color="auto" w:fill="auto"/>
            <w:hideMark/>
          </w:tcPr>
          <w:p w14:paraId="315E6985"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xml:space="preserve">Technology Adoption </w:t>
            </w:r>
          </w:p>
        </w:tc>
        <w:tc>
          <w:tcPr>
            <w:tcW w:w="362" w:type="pct"/>
            <w:tcBorders>
              <w:top w:val="nil"/>
              <w:left w:val="nil"/>
              <w:bottom w:val="single" w:sz="4" w:space="0" w:color="auto"/>
              <w:right w:val="single" w:sz="4" w:space="0" w:color="auto"/>
            </w:tcBorders>
            <w:shd w:val="clear" w:color="auto" w:fill="auto"/>
            <w:hideMark/>
          </w:tcPr>
          <w:p w14:paraId="0E02E3B8"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3</w:t>
            </w:r>
          </w:p>
        </w:tc>
        <w:tc>
          <w:tcPr>
            <w:tcW w:w="396" w:type="pct"/>
            <w:tcBorders>
              <w:top w:val="nil"/>
              <w:left w:val="nil"/>
              <w:bottom w:val="single" w:sz="4" w:space="0" w:color="auto"/>
              <w:right w:val="single" w:sz="4" w:space="0" w:color="auto"/>
            </w:tcBorders>
            <w:shd w:val="clear" w:color="auto" w:fill="auto"/>
            <w:hideMark/>
          </w:tcPr>
          <w:p w14:paraId="1FE6B980"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4%</w:t>
            </w:r>
          </w:p>
        </w:tc>
        <w:tc>
          <w:tcPr>
            <w:tcW w:w="980" w:type="pct"/>
            <w:tcBorders>
              <w:top w:val="nil"/>
              <w:left w:val="nil"/>
              <w:bottom w:val="single" w:sz="4" w:space="0" w:color="auto"/>
              <w:right w:val="single" w:sz="4" w:space="0" w:color="auto"/>
            </w:tcBorders>
            <w:shd w:val="clear" w:color="auto" w:fill="auto"/>
            <w:hideMark/>
          </w:tcPr>
          <w:p w14:paraId="71672B0E"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7510 - Central Government Administration</w:t>
            </w:r>
          </w:p>
        </w:tc>
        <w:tc>
          <w:tcPr>
            <w:tcW w:w="362" w:type="pct"/>
            <w:tcBorders>
              <w:top w:val="nil"/>
              <w:left w:val="nil"/>
              <w:bottom w:val="single" w:sz="4" w:space="0" w:color="auto"/>
              <w:right w:val="single" w:sz="4" w:space="0" w:color="auto"/>
            </w:tcBorders>
            <w:shd w:val="clear" w:color="auto" w:fill="auto"/>
            <w:hideMark/>
          </w:tcPr>
          <w:p w14:paraId="1DEBA3D6"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1812" w:type="pct"/>
            <w:tcBorders>
              <w:top w:val="nil"/>
              <w:left w:val="nil"/>
              <w:bottom w:val="single" w:sz="4" w:space="0" w:color="auto"/>
              <w:right w:val="single" w:sz="4" w:space="0" w:color="auto"/>
            </w:tcBorders>
            <w:shd w:val="clear" w:color="auto" w:fill="auto"/>
            <w:hideMark/>
          </w:tcPr>
          <w:p w14:paraId="73F90402"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Angok et al. (2021)</w:t>
            </w:r>
          </w:p>
        </w:tc>
      </w:tr>
      <w:tr w:rsidR="00241ACB" w:rsidRPr="006B2F60" w14:paraId="37623906" w14:textId="77777777" w:rsidTr="00DE3143">
        <w:trPr>
          <w:trHeight w:val="420"/>
        </w:trPr>
        <w:tc>
          <w:tcPr>
            <w:tcW w:w="1088" w:type="pct"/>
            <w:tcBorders>
              <w:top w:val="nil"/>
              <w:left w:val="single" w:sz="4" w:space="0" w:color="auto"/>
              <w:bottom w:val="single" w:sz="4" w:space="0" w:color="auto"/>
              <w:right w:val="single" w:sz="4" w:space="0" w:color="auto"/>
            </w:tcBorders>
            <w:shd w:val="clear" w:color="auto" w:fill="auto"/>
            <w:hideMark/>
          </w:tcPr>
          <w:p w14:paraId="48EAF19F"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78443D85"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6CF9129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2A4A639A"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8401 - Hospitals (Except Psychiatric Hospitals)</w:t>
            </w:r>
          </w:p>
        </w:tc>
        <w:tc>
          <w:tcPr>
            <w:tcW w:w="362" w:type="pct"/>
            <w:tcBorders>
              <w:top w:val="nil"/>
              <w:left w:val="nil"/>
              <w:bottom w:val="single" w:sz="4" w:space="0" w:color="auto"/>
              <w:right w:val="single" w:sz="4" w:space="0" w:color="auto"/>
            </w:tcBorders>
            <w:shd w:val="clear" w:color="auto" w:fill="auto"/>
            <w:hideMark/>
          </w:tcPr>
          <w:p w14:paraId="02DBC877"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1812" w:type="pct"/>
            <w:tcBorders>
              <w:top w:val="nil"/>
              <w:left w:val="nil"/>
              <w:bottom w:val="single" w:sz="4" w:space="0" w:color="auto"/>
              <w:right w:val="single" w:sz="4" w:space="0" w:color="auto"/>
            </w:tcBorders>
            <w:shd w:val="clear" w:color="auto" w:fill="auto"/>
            <w:hideMark/>
          </w:tcPr>
          <w:p w14:paraId="44A63594"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Kilanko (2023)</w:t>
            </w:r>
          </w:p>
        </w:tc>
      </w:tr>
      <w:tr w:rsidR="00241ACB" w:rsidRPr="006B2F60" w14:paraId="7A5A36BC" w14:textId="77777777" w:rsidTr="00DE3143">
        <w:trPr>
          <w:trHeight w:val="420"/>
        </w:trPr>
        <w:tc>
          <w:tcPr>
            <w:tcW w:w="1088" w:type="pct"/>
            <w:tcBorders>
              <w:top w:val="nil"/>
              <w:left w:val="single" w:sz="4" w:space="0" w:color="auto"/>
              <w:bottom w:val="single" w:sz="4" w:space="0" w:color="auto"/>
              <w:right w:val="single" w:sz="4" w:space="0" w:color="auto"/>
            </w:tcBorders>
            <w:shd w:val="clear" w:color="auto" w:fill="auto"/>
            <w:hideMark/>
          </w:tcPr>
          <w:p w14:paraId="4E3265E2" w14:textId="77777777" w:rsidR="00241ACB" w:rsidRPr="006B2F60" w:rsidRDefault="00241ACB" w:rsidP="00DE3143">
            <w:pPr>
              <w:spacing w:after="0" w:line="240" w:lineRule="auto"/>
              <w:rPr>
                <w:rFonts w:eastAsia="Times New Roman" w:cstheme="minorHAnsi"/>
                <w:b/>
                <w:bCs/>
                <w:color w:val="000000"/>
                <w:sz w:val="16"/>
                <w:szCs w:val="16"/>
                <w:lang w:eastAsia="en-GB"/>
              </w:rPr>
            </w:pPr>
            <w:r w:rsidRPr="006B2F60">
              <w:rPr>
                <w:rFonts w:eastAsia="Times New Roman" w:cstheme="minorHAnsi"/>
                <w:b/>
                <w:bCs/>
                <w:color w:val="000000"/>
                <w:sz w:val="16"/>
                <w:szCs w:val="16"/>
                <w:lang w:eastAsia="en-GB"/>
              </w:rPr>
              <w:t> </w:t>
            </w:r>
          </w:p>
        </w:tc>
        <w:tc>
          <w:tcPr>
            <w:tcW w:w="362" w:type="pct"/>
            <w:tcBorders>
              <w:top w:val="nil"/>
              <w:left w:val="nil"/>
              <w:bottom w:val="single" w:sz="4" w:space="0" w:color="auto"/>
              <w:right w:val="single" w:sz="4" w:space="0" w:color="auto"/>
            </w:tcBorders>
            <w:shd w:val="clear" w:color="auto" w:fill="auto"/>
            <w:hideMark/>
          </w:tcPr>
          <w:p w14:paraId="7E7B6C9C"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396" w:type="pct"/>
            <w:tcBorders>
              <w:top w:val="nil"/>
              <w:left w:val="nil"/>
              <w:bottom w:val="single" w:sz="4" w:space="0" w:color="auto"/>
              <w:right w:val="single" w:sz="4" w:space="0" w:color="auto"/>
            </w:tcBorders>
            <w:shd w:val="clear" w:color="auto" w:fill="auto"/>
            <w:hideMark/>
          </w:tcPr>
          <w:p w14:paraId="600290E2"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 </w:t>
            </w:r>
          </w:p>
        </w:tc>
        <w:tc>
          <w:tcPr>
            <w:tcW w:w="980" w:type="pct"/>
            <w:tcBorders>
              <w:top w:val="nil"/>
              <w:left w:val="nil"/>
              <w:bottom w:val="single" w:sz="4" w:space="0" w:color="auto"/>
              <w:right w:val="single" w:sz="4" w:space="0" w:color="auto"/>
            </w:tcBorders>
            <w:shd w:val="clear" w:color="auto" w:fill="auto"/>
            <w:hideMark/>
          </w:tcPr>
          <w:p w14:paraId="5D7D23D0"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7530 - Local Government Administration</w:t>
            </w:r>
          </w:p>
        </w:tc>
        <w:tc>
          <w:tcPr>
            <w:tcW w:w="362" w:type="pct"/>
            <w:tcBorders>
              <w:top w:val="nil"/>
              <w:left w:val="nil"/>
              <w:bottom w:val="single" w:sz="4" w:space="0" w:color="auto"/>
              <w:right w:val="single" w:sz="4" w:space="0" w:color="auto"/>
            </w:tcBorders>
            <w:shd w:val="clear" w:color="auto" w:fill="auto"/>
            <w:hideMark/>
          </w:tcPr>
          <w:p w14:paraId="24D3CA1E" w14:textId="77777777" w:rsidR="00241ACB" w:rsidRPr="006B2F60" w:rsidRDefault="00241ACB" w:rsidP="00DE3143">
            <w:pPr>
              <w:spacing w:after="0" w:line="240" w:lineRule="auto"/>
              <w:jc w:val="center"/>
              <w:rPr>
                <w:rFonts w:eastAsia="Times New Roman" w:cstheme="minorHAnsi"/>
                <w:color w:val="000000"/>
                <w:sz w:val="16"/>
                <w:szCs w:val="16"/>
                <w:lang w:eastAsia="en-GB"/>
              </w:rPr>
            </w:pPr>
            <w:r w:rsidRPr="006B2F60">
              <w:rPr>
                <w:rFonts w:eastAsia="Times New Roman" w:cstheme="minorHAnsi"/>
                <w:color w:val="000000"/>
                <w:sz w:val="16"/>
                <w:szCs w:val="16"/>
                <w:lang w:eastAsia="en-GB"/>
              </w:rPr>
              <w:t>1</w:t>
            </w:r>
          </w:p>
        </w:tc>
        <w:tc>
          <w:tcPr>
            <w:tcW w:w="1812" w:type="pct"/>
            <w:tcBorders>
              <w:top w:val="nil"/>
              <w:left w:val="nil"/>
              <w:bottom w:val="single" w:sz="4" w:space="0" w:color="auto"/>
              <w:right w:val="single" w:sz="4" w:space="0" w:color="auto"/>
            </w:tcBorders>
            <w:shd w:val="clear" w:color="auto" w:fill="auto"/>
            <w:hideMark/>
          </w:tcPr>
          <w:p w14:paraId="6BFD956C" w14:textId="77777777" w:rsidR="00241ACB" w:rsidRPr="006B2F60" w:rsidRDefault="00241ACB" w:rsidP="00DE3143">
            <w:pPr>
              <w:spacing w:after="0" w:line="240" w:lineRule="auto"/>
              <w:rPr>
                <w:rFonts w:eastAsia="Times New Roman" w:cstheme="minorHAnsi"/>
                <w:color w:val="000000"/>
                <w:sz w:val="16"/>
                <w:szCs w:val="16"/>
                <w:lang w:eastAsia="en-GB"/>
              </w:rPr>
            </w:pPr>
            <w:r w:rsidRPr="006B2F60">
              <w:rPr>
                <w:rFonts w:eastAsia="Times New Roman" w:cstheme="minorHAnsi"/>
                <w:color w:val="000000"/>
                <w:sz w:val="16"/>
                <w:szCs w:val="16"/>
                <w:lang w:eastAsia="en-GB"/>
              </w:rPr>
              <w:t>Chilunjika et al. (2023)</w:t>
            </w:r>
          </w:p>
        </w:tc>
      </w:tr>
    </w:tbl>
    <w:p w14:paraId="71F2B6B7" w14:textId="77777777" w:rsidR="00241ACB" w:rsidRPr="006B2F60" w:rsidRDefault="00241ACB" w:rsidP="00241ACB">
      <w:pPr>
        <w:spacing w:after="0" w:line="240" w:lineRule="auto"/>
        <w:jc w:val="center"/>
        <w:rPr>
          <w:rFonts w:cstheme="minorHAnsi"/>
          <w:sz w:val="16"/>
          <w:szCs w:val="16"/>
        </w:rPr>
      </w:pPr>
      <w:r w:rsidRPr="006B2F60">
        <w:rPr>
          <w:rFonts w:cstheme="minorHAnsi"/>
          <w:sz w:val="16"/>
          <w:szCs w:val="16"/>
        </w:rPr>
        <w:t>Source: Author's Compilation from the SLR</w:t>
      </w:r>
    </w:p>
    <w:p w14:paraId="07588465" w14:textId="77777777" w:rsidR="00241ACB" w:rsidRPr="006B2F60" w:rsidRDefault="00241ACB" w:rsidP="00241ACB">
      <w:pPr>
        <w:spacing w:after="0" w:line="240" w:lineRule="auto"/>
        <w:jc w:val="both"/>
        <w:rPr>
          <w:rFonts w:cstheme="minorHAnsi"/>
          <w:color w:val="000000" w:themeColor="text1"/>
          <w:sz w:val="20"/>
          <w:szCs w:val="20"/>
        </w:rPr>
      </w:pPr>
    </w:p>
    <w:p w14:paraId="18B717ED" w14:textId="77777777" w:rsidR="004E780C" w:rsidRDefault="004E780C"/>
    <w:sectPr w:rsidR="004E780C" w:rsidSect="00241ACB">
      <w:pgSz w:w="15840" w:h="12240" w:orient="landscape"/>
      <w:pgMar w:top="1797" w:right="1440" w:bottom="1797"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Droid Sans">
    <w:altName w:val="Segoe U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1"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2"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3"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4"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5"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6" w15:restartNumberingAfterBreak="0">
    <w:nsid w:val="02635066"/>
    <w:multiLevelType w:val="multilevel"/>
    <w:tmpl w:val="9A6CCA8A"/>
    <w:styleLink w:val="Style1"/>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7296AB3"/>
    <w:multiLevelType w:val="hybridMultilevel"/>
    <w:tmpl w:val="28222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75A3E38"/>
    <w:multiLevelType w:val="multilevel"/>
    <w:tmpl w:val="8452D9AA"/>
    <w:styleLink w:val="CurrentList1"/>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07795E22"/>
    <w:multiLevelType w:val="multilevel"/>
    <w:tmpl w:val="20A4B4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11A4B25"/>
    <w:multiLevelType w:val="multilevel"/>
    <w:tmpl w:val="0114C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467ED3"/>
    <w:multiLevelType w:val="multilevel"/>
    <w:tmpl w:val="76B0D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4833B8"/>
    <w:multiLevelType w:val="multilevel"/>
    <w:tmpl w:val="B1EC3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1216D66"/>
    <w:multiLevelType w:val="multilevel"/>
    <w:tmpl w:val="626AE17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38A24FEE"/>
    <w:multiLevelType w:val="multilevel"/>
    <w:tmpl w:val="2BC6A99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3966409E"/>
    <w:multiLevelType w:val="multilevel"/>
    <w:tmpl w:val="5552A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5F6C21"/>
    <w:multiLevelType w:val="multilevel"/>
    <w:tmpl w:val="04D83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6770AD"/>
    <w:multiLevelType w:val="hybridMultilevel"/>
    <w:tmpl w:val="DBAA8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EAF0754"/>
    <w:multiLevelType w:val="multilevel"/>
    <w:tmpl w:val="904E96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43E4ED6"/>
    <w:multiLevelType w:val="multilevel"/>
    <w:tmpl w:val="6EF2B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8E07FE2"/>
    <w:multiLevelType w:val="multilevel"/>
    <w:tmpl w:val="C1FA0E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CB80396"/>
    <w:multiLevelType w:val="multilevel"/>
    <w:tmpl w:val="83FA7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903740">
    <w:abstractNumId w:val="5"/>
  </w:num>
  <w:num w:numId="2" w16cid:durableId="1612977938">
    <w:abstractNumId w:val="3"/>
  </w:num>
  <w:num w:numId="3" w16cid:durableId="1526020418">
    <w:abstractNumId w:val="2"/>
  </w:num>
  <w:num w:numId="4" w16cid:durableId="2112314203">
    <w:abstractNumId w:val="4"/>
  </w:num>
  <w:num w:numId="5" w16cid:durableId="243955468">
    <w:abstractNumId w:val="1"/>
  </w:num>
  <w:num w:numId="6" w16cid:durableId="1675108486">
    <w:abstractNumId w:val="0"/>
  </w:num>
  <w:num w:numId="7" w16cid:durableId="1631091469">
    <w:abstractNumId w:val="6"/>
  </w:num>
  <w:num w:numId="8" w16cid:durableId="70737495">
    <w:abstractNumId w:val="8"/>
  </w:num>
  <w:num w:numId="9" w16cid:durableId="587930565">
    <w:abstractNumId w:val="19"/>
  </w:num>
  <w:num w:numId="10" w16cid:durableId="1534926734">
    <w:abstractNumId w:val="21"/>
  </w:num>
  <w:num w:numId="11" w16cid:durableId="830218409">
    <w:abstractNumId w:val="16"/>
  </w:num>
  <w:num w:numId="12" w16cid:durableId="724764931">
    <w:abstractNumId w:val="18"/>
  </w:num>
  <w:num w:numId="13" w16cid:durableId="507713098">
    <w:abstractNumId w:val="20"/>
  </w:num>
  <w:num w:numId="14" w16cid:durableId="790128098">
    <w:abstractNumId w:val="17"/>
  </w:num>
  <w:num w:numId="15" w16cid:durableId="2122602351">
    <w:abstractNumId w:val="7"/>
  </w:num>
  <w:num w:numId="16" w16cid:durableId="2137479535">
    <w:abstractNumId w:val="11"/>
  </w:num>
  <w:num w:numId="17" w16cid:durableId="327634432">
    <w:abstractNumId w:val="15"/>
  </w:num>
  <w:num w:numId="18" w16cid:durableId="1371414820">
    <w:abstractNumId w:val="12"/>
  </w:num>
  <w:num w:numId="19" w16cid:durableId="897127909">
    <w:abstractNumId w:val="9"/>
  </w:num>
  <w:num w:numId="20" w16cid:durableId="480854638">
    <w:abstractNumId w:val="14"/>
  </w:num>
  <w:num w:numId="21" w16cid:durableId="970329100">
    <w:abstractNumId w:val="13"/>
  </w:num>
  <w:num w:numId="22" w16cid:durableId="46997655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ACB"/>
    <w:rsid w:val="0010067C"/>
    <w:rsid w:val="00241ACB"/>
    <w:rsid w:val="002978F5"/>
    <w:rsid w:val="003852CF"/>
    <w:rsid w:val="004E780C"/>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45B50"/>
  <w15:chartTrackingRefBased/>
  <w15:docId w15:val="{68B22354-6FBC-4B14-9BC7-F1BDF493F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1ACB"/>
    <w:pPr>
      <w:spacing w:after="200" w:line="276" w:lineRule="auto"/>
    </w:pPr>
    <w:rPr>
      <w:rFonts w:eastAsiaTheme="minorEastAsia"/>
      <w:kern w:val="0"/>
      <w:sz w:val="22"/>
      <w:szCs w:val="22"/>
      <w:lang w:val="en-GB"/>
      <w14:ligatures w14:val="none"/>
    </w:rPr>
  </w:style>
  <w:style w:type="paragraph" w:styleId="Heading1">
    <w:name w:val="heading 1"/>
    <w:aliases w:val="SA_H1"/>
    <w:basedOn w:val="Normal"/>
    <w:next w:val="Normal"/>
    <w:link w:val="Heading1Char"/>
    <w:uiPriority w:val="9"/>
    <w:qFormat/>
    <w:rsid w:val="00241A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aliases w:val="SA_H2"/>
    <w:basedOn w:val="Normal"/>
    <w:next w:val="Normal"/>
    <w:link w:val="Heading2Char"/>
    <w:uiPriority w:val="9"/>
    <w:unhideWhenUsed/>
    <w:qFormat/>
    <w:rsid w:val="00241A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41A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aliases w:val="SA_H4"/>
    <w:basedOn w:val="Normal"/>
    <w:next w:val="Normal"/>
    <w:link w:val="Heading4Char"/>
    <w:uiPriority w:val="9"/>
    <w:unhideWhenUsed/>
    <w:qFormat/>
    <w:rsid w:val="00241A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241A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1A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1A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1A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1A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A_H1 Char"/>
    <w:basedOn w:val="DefaultParagraphFont"/>
    <w:link w:val="Heading1"/>
    <w:uiPriority w:val="9"/>
    <w:rsid w:val="00241ACB"/>
    <w:rPr>
      <w:rFonts w:asciiTheme="majorHAnsi" w:eastAsiaTheme="majorEastAsia" w:hAnsiTheme="majorHAnsi" w:cstheme="majorBidi"/>
      <w:color w:val="0F4761" w:themeColor="accent1" w:themeShade="BF"/>
      <w:sz w:val="40"/>
      <w:szCs w:val="40"/>
    </w:rPr>
  </w:style>
  <w:style w:type="character" w:customStyle="1" w:styleId="Heading2Char">
    <w:name w:val="Heading 2 Char"/>
    <w:aliases w:val="SA_H2 Char"/>
    <w:basedOn w:val="DefaultParagraphFont"/>
    <w:link w:val="Heading2"/>
    <w:uiPriority w:val="9"/>
    <w:rsid w:val="00241A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41ACB"/>
    <w:rPr>
      <w:rFonts w:eastAsiaTheme="majorEastAsia" w:cstheme="majorBidi"/>
      <w:color w:val="0F4761" w:themeColor="accent1" w:themeShade="BF"/>
      <w:sz w:val="28"/>
      <w:szCs w:val="28"/>
    </w:rPr>
  </w:style>
  <w:style w:type="character" w:customStyle="1" w:styleId="Heading4Char">
    <w:name w:val="Heading 4 Char"/>
    <w:aliases w:val="SA_H4 Char"/>
    <w:basedOn w:val="DefaultParagraphFont"/>
    <w:link w:val="Heading4"/>
    <w:uiPriority w:val="9"/>
    <w:rsid w:val="00241A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241A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1A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1A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1A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1ACB"/>
    <w:rPr>
      <w:rFonts w:eastAsiaTheme="majorEastAsia" w:cstheme="majorBidi"/>
      <w:color w:val="272727" w:themeColor="text1" w:themeTint="D8"/>
    </w:rPr>
  </w:style>
  <w:style w:type="paragraph" w:styleId="Title">
    <w:name w:val="Title"/>
    <w:basedOn w:val="Normal"/>
    <w:next w:val="Normal"/>
    <w:link w:val="TitleChar"/>
    <w:uiPriority w:val="10"/>
    <w:qFormat/>
    <w:rsid w:val="00241A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1A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1A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1A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1ACB"/>
    <w:pPr>
      <w:spacing w:before="160"/>
      <w:jc w:val="center"/>
    </w:pPr>
    <w:rPr>
      <w:i/>
      <w:iCs/>
      <w:color w:val="404040" w:themeColor="text1" w:themeTint="BF"/>
    </w:rPr>
  </w:style>
  <w:style w:type="character" w:customStyle="1" w:styleId="QuoteChar">
    <w:name w:val="Quote Char"/>
    <w:basedOn w:val="DefaultParagraphFont"/>
    <w:link w:val="Quote"/>
    <w:uiPriority w:val="29"/>
    <w:rsid w:val="00241ACB"/>
    <w:rPr>
      <w:i/>
      <w:iCs/>
      <w:color w:val="404040" w:themeColor="text1" w:themeTint="BF"/>
    </w:rPr>
  </w:style>
  <w:style w:type="paragraph" w:styleId="ListParagraph">
    <w:name w:val="List Paragraph"/>
    <w:basedOn w:val="Normal"/>
    <w:link w:val="ListParagraphChar"/>
    <w:uiPriority w:val="34"/>
    <w:qFormat/>
    <w:rsid w:val="00241ACB"/>
    <w:pPr>
      <w:ind w:left="720"/>
      <w:contextualSpacing/>
    </w:pPr>
  </w:style>
  <w:style w:type="character" w:styleId="IntenseEmphasis">
    <w:name w:val="Intense Emphasis"/>
    <w:basedOn w:val="DefaultParagraphFont"/>
    <w:uiPriority w:val="21"/>
    <w:qFormat/>
    <w:rsid w:val="00241ACB"/>
    <w:rPr>
      <w:i/>
      <w:iCs/>
      <w:color w:val="0F4761" w:themeColor="accent1" w:themeShade="BF"/>
    </w:rPr>
  </w:style>
  <w:style w:type="paragraph" w:styleId="IntenseQuote">
    <w:name w:val="Intense Quote"/>
    <w:basedOn w:val="Normal"/>
    <w:next w:val="Normal"/>
    <w:link w:val="IntenseQuoteChar"/>
    <w:uiPriority w:val="30"/>
    <w:qFormat/>
    <w:rsid w:val="00241A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1ACB"/>
    <w:rPr>
      <w:i/>
      <w:iCs/>
      <w:color w:val="0F4761" w:themeColor="accent1" w:themeShade="BF"/>
    </w:rPr>
  </w:style>
  <w:style w:type="character" w:styleId="IntenseReference">
    <w:name w:val="Intense Reference"/>
    <w:basedOn w:val="DefaultParagraphFont"/>
    <w:uiPriority w:val="32"/>
    <w:qFormat/>
    <w:rsid w:val="00241ACB"/>
    <w:rPr>
      <w:b/>
      <w:bCs/>
      <w:smallCaps/>
      <w:color w:val="0F4761" w:themeColor="accent1" w:themeShade="BF"/>
      <w:spacing w:val="5"/>
    </w:rPr>
  </w:style>
  <w:style w:type="paragraph" w:styleId="Header">
    <w:name w:val="header"/>
    <w:basedOn w:val="Normal"/>
    <w:link w:val="HeaderChar"/>
    <w:uiPriority w:val="99"/>
    <w:unhideWhenUsed/>
    <w:rsid w:val="00241A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1ACB"/>
    <w:rPr>
      <w:rFonts w:eastAsiaTheme="minorEastAsia"/>
      <w:kern w:val="0"/>
      <w:sz w:val="22"/>
      <w:szCs w:val="22"/>
      <w:lang w:val="en-GB"/>
      <w14:ligatures w14:val="none"/>
    </w:rPr>
  </w:style>
  <w:style w:type="paragraph" w:styleId="Footer">
    <w:name w:val="footer"/>
    <w:basedOn w:val="Normal"/>
    <w:link w:val="FooterChar"/>
    <w:uiPriority w:val="99"/>
    <w:unhideWhenUsed/>
    <w:rsid w:val="00241A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1ACB"/>
    <w:rPr>
      <w:rFonts w:eastAsiaTheme="minorEastAsia"/>
      <w:kern w:val="0"/>
      <w:sz w:val="22"/>
      <w:szCs w:val="22"/>
      <w:lang w:val="en-GB"/>
      <w14:ligatures w14:val="none"/>
    </w:rPr>
  </w:style>
  <w:style w:type="paragraph" w:styleId="NoSpacing">
    <w:name w:val="No Spacing"/>
    <w:link w:val="NoSpacingChar"/>
    <w:uiPriority w:val="1"/>
    <w:qFormat/>
    <w:rsid w:val="00241ACB"/>
    <w:pPr>
      <w:spacing w:after="0" w:line="240" w:lineRule="auto"/>
    </w:pPr>
    <w:rPr>
      <w:rFonts w:eastAsiaTheme="minorEastAsia"/>
      <w:kern w:val="0"/>
      <w:sz w:val="22"/>
      <w:szCs w:val="22"/>
      <w14:ligatures w14:val="none"/>
    </w:rPr>
  </w:style>
  <w:style w:type="paragraph" w:styleId="BodyText">
    <w:name w:val="Body Text"/>
    <w:basedOn w:val="Normal"/>
    <w:link w:val="BodyTextChar"/>
    <w:uiPriority w:val="99"/>
    <w:unhideWhenUsed/>
    <w:rsid w:val="00241ACB"/>
    <w:pPr>
      <w:spacing w:after="120"/>
    </w:pPr>
  </w:style>
  <w:style w:type="character" w:customStyle="1" w:styleId="BodyTextChar">
    <w:name w:val="Body Text Char"/>
    <w:basedOn w:val="DefaultParagraphFont"/>
    <w:link w:val="BodyText"/>
    <w:uiPriority w:val="99"/>
    <w:rsid w:val="00241ACB"/>
    <w:rPr>
      <w:rFonts w:eastAsiaTheme="minorEastAsia"/>
      <w:kern w:val="0"/>
      <w:sz w:val="22"/>
      <w:szCs w:val="22"/>
      <w:lang w:val="en-GB"/>
      <w14:ligatures w14:val="none"/>
    </w:rPr>
  </w:style>
  <w:style w:type="paragraph" w:styleId="BodyText2">
    <w:name w:val="Body Text 2"/>
    <w:basedOn w:val="Normal"/>
    <w:link w:val="BodyText2Char"/>
    <w:uiPriority w:val="99"/>
    <w:unhideWhenUsed/>
    <w:rsid w:val="00241ACB"/>
    <w:pPr>
      <w:spacing w:after="120" w:line="480" w:lineRule="auto"/>
    </w:pPr>
  </w:style>
  <w:style w:type="character" w:customStyle="1" w:styleId="BodyText2Char">
    <w:name w:val="Body Text 2 Char"/>
    <w:basedOn w:val="DefaultParagraphFont"/>
    <w:link w:val="BodyText2"/>
    <w:uiPriority w:val="99"/>
    <w:rsid w:val="00241ACB"/>
    <w:rPr>
      <w:rFonts w:eastAsiaTheme="minorEastAsia"/>
      <w:kern w:val="0"/>
      <w:sz w:val="22"/>
      <w:szCs w:val="22"/>
      <w:lang w:val="en-GB"/>
      <w14:ligatures w14:val="none"/>
    </w:rPr>
  </w:style>
  <w:style w:type="paragraph" w:styleId="BodyText3">
    <w:name w:val="Body Text 3"/>
    <w:basedOn w:val="Normal"/>
    <w:link w:val="BodyText3Char"/>
    <w:uiPriority w:val="99"/>
    <w:unhideWhenUsed/>
    <w:rsid w:val="00241ACB"/>
    <w:pPr>
      <w:spacing w:after="120"/>
    </w:pPr>
    <w:rPr>
      <w:sz w:val="16"/>
      <w:szCs w:val="16"/>
    </w:rPr>
  </w:style>
  <w:style w:type="character" w:customStyle="1" w:styleId="BodyText3Char">
    <w:name w:val="Body Text 3 Char"/>
    <w:basedOn w:val="DefaultParagraphFont"/>
    <w:link w:val="BodyText3"/>
    <w:uiPriority w:val="99"/>
    <w:rsid w:val="00241ACB"/>
    <w:rPr>
      <w:rFonts w:eastAsiaTheme="minorEastAsia"/>
      <w:kern w:val="0"/>
      <w:sz w:val="16"/>
      <w:szCs w:val="16"/>
      <w:lang w:val="en-GB"/>
      <w14:ligatures w14:val="none"/>
    </w:rPr>
  </w:style>
  <w:style w:type="paragraph" w:styleId="List">
    <w:name w:val="List"/>
    <w:basedOn w:val="Normal"/>
    <w:uiPriority w:val="99"/>
    <w:unhideWhenUsed/>
    <w:rsid w:val="00241ACB"/>
    <w:pPr>
      <w:ind w:left="360" w:hanging="360"/>
      <w:contextualSpacing/>
    </w:pPr>
  </w:style>
  <w:style w:type="paragraph" w:styleId="List2">
    <w:name w:val="List 2"/>
    <w:basedOn w:val="Normal"/>
    <w:uiPriority w:val="99"/>
    <w:unhideWhenUsed/>
    <w:rsid w:val="00241ACB"/>
    <w:pPr>
      <w:ind w:left="720" w:hanging="360"/>
      <w:contextualSpacing/>
    </w:pPr>
  </w:style>
  <w:style w:type="paragraph" w:styleId="List3">
    <w:name w:val="List 3"/>
    <w:basedOn w:val="Normal"/>
    <w:uiPriority w:val="99"/>
    <w:unhideWhenUsed/>
    <w:rsid w:val="00241ACB"/>
    <w:pPr>
      <w:ind w:left="1080" w:hanging="360"/>
      <w:contextualSpacing/>
    </w:pPr>
  </w:style>
  <w:style w:type="paragraph" w:styleId="ListBullet">
    <w:name w:val="List Bullet"/>
    <w:basedOn w:val="Normal"/>
    <w:uiPriority w:val="99"/>
    <w:unhideWhenUsed/>
    <w:rsid w:val="00241ACB"/>
    <w:pPr>
      <w:numPr>
        <w:numId w:val="1"/>
      </w:numPr>
      <w:contextualSpacing/>
    </w:pPr>
  </w:style>
  <w:style w:type="paragraph" w:styleId="ListBullet2">
    <w:name w:val="List Bullet 2"/>
    <w:basedOn w:val="Normal"/>
    <w:uiPriority w:val="99"/>
    <w:unhideWhenUsed/>
    <w:rsid w:val="00241ACB"/>
    <w:pPr>
      <w:numPr>
        <w:numId w:val="2"/>
      </w:numPr>
      <w:contextualSpacing/>
    </w:pPr>
  </w:style>
  <w:style w:type="paragraph" w:styleId="ListBullet3">
    <w:name w:val="List Bullet 3"/>
    <w:basedOn w:val="Normal"/>
    <w:uiPriority w:val="99"/>
    <w:unhideWhenUsed/>
    <w:rsid w:val="00241ACB"/>
    <w:pPr>
      <w:numPr>
        <w:numId w:val="3"/>
      </w:numPr>
      <w:contextualSpacing/>
    </w:pPr>
  </w:style>
  <w:style w:type="paragraph" w:styleId="ListNumber">
    <w:name w:val="List Number"/>
    <w:basedOn w:val="Normal"/>
    <w:uiPriority w:val="99"/>
    <w:unhideWhenUsed/>
    <w:rsid w:val="00241ACB"/>
    <w:pPr>
      <w:numPr>
        <w:numId w:val="4"/>
      </w:numPr>
      <w:contextualSpacing/>
    </w:pPr>
  </w:style>
  <w:style w:type="paragraph" w:styleId="ListNumber2">
    <w:name w:val="List Number 2"/>
    <w:basedOn w:val="Normal"/>
    <w:uiPriority w:val="99"/>
    <w:unhideWhenUsed/>
    <w:rsid w:val="00241ACB"/>
    <w:pPr>
      <w:numPr>
        <w:numId w:val="5"/>
      </w:numPr>
      <w:contextualSpacing/>
    </w:pPr>
  </w:style>
  <w:style w:type="paragraph" w:styleId="ListNumber3">
    <w:name w:val="List Number 3"/>
    <w:basedOn w:val="Normal"/>
    <w:uiPriority w:val="99"/>
    <w:unhideWhenUsed/>
    <w:rsid w:val="00241ACB"/>
    <w:pPr>
      <w:numPr>
        <w:numId w:val="6"/>
      </w:numPr>
      <w:contextualSpacing/>
    </w:pPr>
  </w:style>
  <w:style w:type="paragraph" w:styleId="ListContinue">
    <w:name w:val="List Continue"/>
    <w:basedOn w:val="Normal"/>
    <w:uiPriority w:val="99"/>
    <w:unhideWhenUsed/>
    <w:rsid w:val="00241ACB"/>
    <w:pPr>
      <w:spacing w:after="120"/>
      <w:ind w:left="360"/>
      <w:contextualSpacing/>
    </w:pPr>
  </w:style>
  <w:style w:type="paragraph" w:styleId="ListContinue2">
    <w:name w:val="List Continue 2"/>
    <w:basedOn w:val="Normal"/>
    <w:uiPriority w:val="99"/>
    <w:unhideWhenUsed/>
    <w:rsid w:val="00241ACB"/>
    <w:pPr>
      <w:spacing w:after="120"/>
      <w:ind w:left="720"/>
      <w:contextualSpacing/>
    </w:pPr>
  </w:style>
  <w:style w:type="paragraph" w:styleId="ListContinue3">
    <w:name w:val="List Continue 3"/>
    <w:basedOn w:val="Normal"/>
    <w:uiPriority w:val="99"/>
    <w:unhideWhenUsed/>
    <w:rsid w:val="00241ACB"/>
    <w:pPr>
      <w:spacing w:after="120"/>
      <w:ind w:left="1080"/>
      <w:contextualSpacing/>
    </w:pPr>
  </w:style>
  <w:style w:type="paragraph" w:styleId="MacroText">
    <w:name w:val="macro"/>
    <w:link w:val="MacroTextChar"/>
    <w:uiPriority w:val="99"/>
    <w:unhideWhenUsed/>
    <w:rsid w:val="00241ACB"/>
    <w:pPr>
      <w:tabs>
        <w:tab w:val="left" w:pos="576"/>
        <w:tab w:val="left" w:pos="1152"/>
        <w:tab w:val="left" w:pos="1728"/>
        <w:tab w:val="left" w:pos="2304"/>
        <w:tab w:val="left" w:pos="2880"/>
        <w:tab w:val="left" w:pos="3456"/>
        <w:tab w:val="left" w:pos="4032"/>
      </w:tabs>
      <w:spacing w:after="200" w:line="276" w:lineRule="auto"/>
    </w:pPr>
    <w:rPr>
      <w:rFonts w:ascii="Courier" w:eastAsiaTheme="minorEastAsia" w:hAnsi="Courier"/>
      <w:kern w:val="0"/>
      <w:sz w:val="20"/>
      <w:szCs w:val="20"/>
      <w14:ligatures w14:val="none"/>
    </w:rPr>
  </w:style>
  <w:style w:type="character" w:customStyle="1" w:styleId="MacroTextChar">
    <w:name w:val="Macro Text Char"/>
    <w:basedOn w:val="DefaultParagraphFont"/>
    <w:link w:val="MacroText"/>
    <w:uiPriority w:val="99"/>
    <w:rsid w:val="00241ACB"/>
    <w:rPr>
      <w:rFonts w:ascii="Courier" w:eastAsiaTheme="minorEastAsia" w:hAnsi="Courier"/>
      <w:kern w:val="0"/>
      <w:sz w:val="20"/>
      <w:szCs w:val="20"/>
      <w14:ligatures w14:val="none"/>
    </w:rPr>
  </w:style>
  <w:style w:type="paragraph" w:styleId="Caption">
    <w:name w:val="caption"/>
    <w:basedOn w:val="Normal"/>
    <w:next w:val="Normal"/>
    <w:uiPriority w:val="35"/>
    <w:semiHidden/>
    <w:unhideWhenUsed/>
    <w:qFormat/>
    <w:rsid w:val="00241ACB"/>
    <w:pPr>
      <w:spacing w:line="240" w:lineRule="auto"/>
    </w:pPr>
    <w:rPr>
      <w:b/>
      <w:bCs/>
      <w:color w:val="156082" w:themeColor="accent1"/>
      <w:sz w:val="18"/>
      <w:szCs w:val="18"/>
    </w:rPr>
  </w:style>
  <w:style w:type="character" w:styleId="Strong">
    <w:name w:val="Strong"/>
    <w:basedOn w:val="DefaultParagraphFont"/>
    <w:uiPriority w:val="22"/>
    <w:qFormat/>
    <w:rsid w:val="00241ACB"/>
    <w:rPr>
      <w:b/>
      <w:bCs/>
    </w:rPr>
  </w:style>
  <w:style w:type="character" w:styleId="Emphasis">
    <w:name w:val="Emphasis"/>
    <w:basedOn w:val="DefaultParagraphFont"/>
    <w:uiPriority w:val="20"/>
    <w:qFormat/>
    <w:rsid w:val="00241ACB"/>
    <w:rPr>
      <w:i/>
      <w:iCs/>
    </w:rPr>
  </w:style>
  <w:style w:type="character" w:styleId="SubtleEmphasis">
    <w:name w:val="Subtle Emphasis"/>
    <w:basedOn w:val="DefaultParagraphFont"/>
    <w:uiPriority w:val="19"/>
    <w:qFormat/>
    <w:rsid w:val="00241ACB"/>
    <w:rPr>
      <w:i/>
      <w:iCs/>
      <w:color w:val="808080" w:themeColor="text1" w:themeTint="7F"/>
    </w:rPr>
  </w:style>
  <w:style w:type="character" w:styleId="SubtleReference">
    <w:name w:val="Subtle Reference"/>
    <w:basedOn w:val="DefaultParagraphFont"/>
    <w:uiPriority w:val="31"/>
    <w:qFormat/>
    <w:rsid w:val="00241ACB"/>
    <w:rPr>
      <w:smallCaps/>
      <w:color w:val="E97132" w:themeColor="accent2"/>
      <w:u w:val="single"/>
    </w:rPr>
  </w:style>
  <w:style w:type="character" w:styleId="BookTitle">
    <w:name w:val="Book Title"/>
    <w:basedOn w:val="DefaultParagraphFont"/>
    <w:uiPriority w:val="33"/>
    <w:qFormat/>
    <w:rsid w:val="00241ACB"/>
    <w:rPr>
      <w:b/>
      <w:bCs/>
      <w:smallCaps/>
      <w:spacing w:val="5"/>
    </w:rPr>
  </w:style>
  <w:style w:type="paragraph" w:styleId="TOCHeading">
    <w:name w:val="TOC Heading"/>
    <w:basedOn w:val="Heading1"/>
    <w:next w:val="Normal"/>
    <w:uiPriority w:val="39"/>
    <w:unhideWhenUsed/>
    <w:qFormat/>
    <w:rsid w:val="00241ACB"/>
    <w:pPr>
      <w:spacing w:before="480" w:after="0"/>
      <w:ind w:left="432" w:hanging="432"/>
      <w:outlineLvl w:val="9"/>
    </w:pPr>
    <w:rPr>
      <w:b/>
      <w:bCs/>
      <w:sz w:val="28"/>
      <w:szCs w:val="28"/>
    </w:rPr>
  </w:style>
  <w:style w:type="table" w:styleId="TableGrid">
    <w:name w:val="Table Grid"/>
    <w:basedOn w:val="TableNormal"/>
    <w:uiPriority w:val="39"/>
    <w:rsid w:val="00241ACB"/>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241ACB"/>
    <w:pPr>
      <w:spacing w:after="0" w:line="240" w:lineRule="auto"/>
    </w:pPr>
    <w:rPr>
      <w:rFonts w:eastAsiaTheme="minorEastAsia"/>
      <w:color w:val="000000" w:themeColor="text1" w:themeShade="BF"/>
      <w:kern w:val="0"/>
      <w:sz w:val="22"/>
      <w:szCs w:val="22"/>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241ACB"/>
    <w:pPr>
      <w:spacing w:after="0" w:line="240" w:lineRule="auto"/>
    </w:pPr>
    <w:rPr>
      <w:rFonts w:eastAsiaTheme="minorEastAsia"/>
      <w:color w:val="0F4761" w:themeColor="accent1" w:themeShade="BF"/>
      <w:kern w:val="0"/>
      <w:sz w:val="22"/>
      <w:szCs w:val="22"/>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styleId="LightShading-Accent2">
    <w:name w:val="Light Shading Accent 2"/>
    <w:basedOn w:val="TableNormal"/>
    <w:uiPriority w:val="60"/>
    <w:rsid w:val="00241ACB"/>
    <w:pPr>
      <w:spacing w:after="0" w:line="240" w:lineRule="auto"/>
    </w:pPr>
    <w:rPr>
      <w:rFonts w:eastAsiaTheme="minorEastAsia"/>
      <w:color w:val="BF4E14" w:themeColor="accent2" w:themeShade="BF"/>
      <w:kern w:val="0"/>
      <w:sz w:val="22"/>
      <w:szCs w:val="22"/>
      <w14:ligatures w14:val="none"/>
    </w:rPr>
    <w:tblPr>
      <w:tblStyleRowBandSize w:val="1"/>
      <w:tblStyleColBandSize w:val="1"/>
      <w:tblBorders>
        <w:top w:val="single" w:sz="8" w:space="0" w:color="E97132" w:themeColor="accent2"/>
        <w:bottom w:val="single" w:sz="8" w:space="0" w:color="E97132" w:themeColor="accent2"/>
      </w:tblBorders>
    </w:tblPr>
    <w:tblStylePr w:type="fir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la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left w:val="nil"/>
          <w:right w:val="nil"/>
          <w:insideH w:val="nil"/>
          <w:insideV w:val="nil"/>
        </w:tcBorders>
        <w:shd w:val="clear" w:color="auto" w:fill="F9DBCC" w:themeFill="accent2" w:themeFillTint="3F"/>
      </w:tcPr>
    </w:tblStylePr>
  </w:style>
  <w:style w:type="table" w:styleId="LightShading-Accent3">
    <w:name w:val="Light Shading Accent 3"/>
    <w:basedOn w:val="TableNormal"/>
    <w:uiPriority w:val="60"/>
    <w:rsid w:val="00241ACB"/>
    <w:pPr>
      <w:spacing w:after="0" w:line="240" w:lineRule="auto"/>
    </w:pPr>
    <w:rPr>
      <w:rFonts w:eastAsiaTheme="minorEastAsia"/>
      <w:color w:val="124F1A" w:themeColor="accent3" w:themeShade="BF"/>
      <w:kern w:val="0"/>
      <w:sz w:val="22"/>
      <w:szCs w:val="22"/>
      <w14:ligatures w14:val="none"/>
    </w:rPr>
    <w:tblPr>
      <w:tblStyleRowBandSize w:val="1"/>
      <w:tblStyleColBandSize w:val="1"/>
      <w:tblBorders>
        <w:top w:val="single" w:sz="8" w:space="0" w:color="196B24" w:themeColor="accent3"/>
        <w:bottom w:val="single" w:sz="8" w:space="0" w:color="196B24" w:themeColor="accent3"/>
      </w:tblBorders>
    </w:tblPr>
    <w:tblStylePr w:type="fir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la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left w:val="nil"/>
          <w:right w:val="nil"/>
          <w:insideH w:val="nil"/>
          <w:insideV w:val="nil"/>
        </w:tcBorders>
        <w:shd w:val="clear" w:color="auto" w:fill="B3EDBA" w:themeFill="accent3" w:themeFillTint="3F"/>
      </w:tcPr>
    </w:tblStylePr>
  </w:style>
  <w:style w:type="table" w:styleId="LightShading-Accent4">
    <w:name w:val="Light Shading Accent 4"/>
    <w:basedOn w:val="TableNormal"/>
    <w:uiPriority w:val="60"/>
    <w:rsid w:val="00241ACB"/>
    <w:pPr>
      <w:spacing w:after="0" w:line="240" w:lineRule="auto"/>
    </w:pPr>
    <w:rPr>
      <w:rFonts w:eastAsiaTheme="minorEastAsia"/>
      <w:color w:val="0B769F" w:themeColor="accent4" w:themeShade="BF"/>
      <w:kern w:val="0"/>
      <w:sz w:val="22"/>
      <w:szCs w:val="22"/>
      <w14:ligatures w14:val="none"/>
    </w:rPr>
    <w:tblPr>
      <w:tblStyleRowBandSize w:val="1"/>
      <w:tblStyleColBandSize w:val="1"/>
      <w:tblBorders>
        <w:top w:val="single" w:sz="8" w:space="0" w:color="0F9ED5" w:themeColor="accent4"/>
        <w:bottom w:val="single" w:sz="8" w:space="0" w:color="0F9ED5" w:themeColor="accent4"/>
      </w:tblBorders>
    </w:tblPr>
    <w:tblStylePr w:type="fir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la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left w:val="nil"/>
          <w:right w:val="nil"/>
          <w:insideH w:val="nil"/>
          <w:insideV w:val="nil"/>
        </w:tcBorders>
        <w:shd w:val="clear" w:color="auto" w:fill="BDE9FA" w:themeFill="accent4" w:themeFillTint="3F"/>
      </w:tcPr>
    </w:tblStylePr>
  </w:style>
  <w:style w:type="table" w:styleId="LightShading-Accent5">
    <w:name w:val="Light Shading Accent 5"/>
    <w:basedOn w:val="TableNormal"/>
    <w:uiPriority w:val="60"/>
    <w:rsid w:val="00241ACB"/>
    <w:pPr>
      <w:spacing w:after="0" w:line="240" w:lineRule="auto"/>
    </w:pPr>
    <w:rPr>
      <w:rFonts w:eastAsiaTheme="minorEastAsia"/>
      <w:color w:val="77206D" w:themeColor="accent5" w:themeShade="BF"/>
      <w:kern w:val="0"/>
      <w:sz w:val="22"/>
      <w:szCs w:val="22"/>
      <w14:ligatures w14:val="none"/>
    </w:rPr>
    <w:tblPr>
      <w:tblStyleRowBandSize w:val="1"/>
      <w:tblStyleColBandSize w:val="1"/>
      <w:tblBorders>
        <w:top w:val="single" w:sz="8" w:space="0" w:color="A02B93" w:themeColor="accent5"/>
        <w:bottom w:val="single" w:sz="8" w:space="0" w:color="A02B93" w:themeColor="accent5"/>
      </w:tblBorders>
    </w:tblPr>
    <w:tblStylePr w:type="fir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la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left w:val="nil"/>
          <w:right w:val="nil"/>
          <w:insideH w:val="nil"/>
          <w:insideV w:val="nil"/>
        </w:tcBorders>
        <w:shd w:val="clear" w:color="auto" w:fill="EFC3E9" w:themeFill="accent5" w:themeFillTint="3F"/>
      </w:tcPr>
    </w:tblStylePr>
  </w:style>
  <w:style w:type="table" w:styleId="LightShading-Accent6">
    <w:name w:val="Light Shading Accent 6"/>
    <w:basedOn w:val="TableNormal"/>
    <w:uiPriority w:val="60"/>
    <w:rsid w:val="00241ACB"/>
    <w:pPr>
      <w:spacing w:after="0" w:line="240" w:lineRule="auto"/>
    </w:pPr>
    <w:rPr>
      <w:rFonts w:eastAsiaTheme="minorEastAsia"/>
      <w:color w:val="3A7C22" w:themeColor="accent6" w:themeShade="BF"/>
      <w:kern w:val="0"/>
      <w:sz w:val="22"/>
      <w:szCs w:val="22"/>
      <w14:ligatures w14:val="none"/>
    </w:rPr>
    <w:tblPr>
      <w:tblStyleRowBandSize w:val="1"/>
      <w:tblStyleColBandSize w:val="1"/>
      <w:tblBorders>
        <w:top w:val="single" w:sz="8" w:space="0" w:color="4EA72E" w:themeColor="accent6"/>
        <w:bottom w:val="single" w:sz="8" w:space="0" w:color="4EA72E" w:themeColor="accent6"/>
      </w:tblBorders>
    </w:tblPr>
    <w:tblStylePr w:type="fir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 w:type="table" w:styleId="LightList">
    <w:name w:val="Light List"/>
    <w:basedOn w:val="TableNormal"/>
    <w:uiPriority w:val="61"/>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table" w:styleId="LightList-Accent2">
    <w:name w:val="Light List Accent 2"/>
    <w:basedOn w:val="TableNormal"/>
    <w:uiPriority w:val="61"/>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pPr>
        <w:spacing w:before="0" w:after="0" w:line="240" w:lineRule="auto"/>
      </w:pPr>
      <w:rPr>
        <w:b/>
        <w:bCs/>
        <w:color w:val="FFFFFF" w:themeColor="background1"/>
      </w:rPr>
      <w:tblPr/>
      <w:tcPr>
        <w:shd w:val="clear" w:color="auto" w:fill="E97132" w:themeFill="accent2"/>
      </w:tcPr>
    </w:tblStylePr>
    <w:tblStylePr w:type="lastRow">
      <w:pPr>
        <w:spacing w:before="0" w:after="0" w:line="240" w:lineRule="auto"/>
      </w:pPr>
      <w:rPr>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tcBorders>
      </w:tcPr>
    </w:tblStylePr>
    <w:tblStylePr w:type="firstCol">
      <w:rPr>
        <w:b/>
        <w:bCs/>
      </w:rPr>
    </w:tblStylePr>
    <w:tblStylePr w:type="lastCol">
      <w:rPr>
        <w:b/>
        <w:bCs/>
      </w:r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style>
  <w:style w:type="table" w:styleId="LightList-Accent3">
    <w:name w:val="Light List Accent 3"/>
    <w:basedOn w:val="TableNormal"/>
    <w:uiPriority w:val="61"/>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pPr>
        <w:spacing w:before="0" w:after="0" w:line="240" w:lineRule="auto"/>
      </w:pPr>
      <w:rPr>
        <w:b/>
        <w:bCs/>
        <w:color w:val="FFFFFF" w:themeColor="background1"/>
      </w:rPr>
      <w:tblPr/>
      <w:tcPr>
        <w:shd w:val="clear" w:color="auto" w:fill="196B24" w:themeFill="accent3"/>
      </w:tcPr>
    </w:tblStylePr>
    <w:tblStylePr w:type="lastRow">
      <w:pPr>
        <w:spacing w:before="0" w:after="0" w:line="240" w:lineRule="auto"/>
      </w:pPr>
      <w:rPr>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tcBorders>
      </w:tcPr>
    </w:tblStylePr>
    <w:tblStylePr w:type="firstCol">
      <w:rPr>
        <w:b/>
        <w:bCs/>
      </w:rPr>
    </w:tblStylePr>
    <w:tblStylePr w:type="lastCol">
      <w:rPr>
        <w:b/>
        <w:bCs/>
      </w:r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style>
  <w:style w:type="table" w:styleId="LightList-Accent4">
    <w:name w:val="Light List Accent 4"/>
    <w:basedOn w:val="TableNormal"/>
    <w:uiPriority w:val="61"/>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pPr>
        <w:spacing w:before="0" w:after="0" w:line="240" w:lineRule="auto"/>
      </w:pPr>
      <w:rPr>
        <w:b/>
        <w:bCs/>
        <w:color w:val="FFFFFF" w:themeColor="background1"/>
      </w:rPr>
      <w:tblPr/>
      <w:tcPr>
        <w:shd w:val="clear" w:color="auto" w:fill="0F9ED5" w:themeFill="accent4"/>
      </w:tcPr>
    </w:tblStylePr>
    <w:tblStylePr w:type="lastRow">
      <w:pPr>
        <w:spacing w:before="0" w:after="0" w:line="240" w:lineRule="auto"/>
      </w:pPr>
      <w:rPr>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tcBorders>
      </w:tcPr>
    </w:tblStylePr>
    <w:tblStylePr w:type="firstCol">
      <w:rPr>
        <w:b/>
        <w:bCs/>
      </w:rPr>
    </w:tblStylePr>
    <w:tblStylePr w:type="lastCol">
      <w:rPr>
        <w:b/>
        <w:bCs/>
      </w:r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style>
  <w:style w:type="table" w:styleId="LightList-Accent5">
    <w:name w:val="Light List Accent 5"/>
    <w:basedOn w:val="TableNormal"/>
    <w:uiPriority w:val="61"/>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pPr>
        <w:spacing w:before="0" w:after="0" w:line="240" w:lineRule="auto"/>
      </w:pPr>
      <w:rPr>
        <w:b/>
        <w:bCs/>
        <w:color w:val="FFFFFF" w:themeColor="background1"/>
      </w:rPr>
      <w:tblPr/>
      <w:tcPr>
        <w:shd w:val="clear" w:color="auto" w:fill="A02B93" w:themeFill="accent5"/>
      </w:tcPr>
    </w:tblStylePr>
    <w:tblStylePr w:type="lastRow">
      <w:pPr>
        <w:spacing w:before="0" w:after="0" w:line="240" w:lineRule="auto"/>
      </w:pPr>
      <w:rPr>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tcBorders>
      </w:tcPr>
    </w:tblStylePr>
    <w:tblStylePr w:type="firstCol">
      <w:rPr>
        <w:b/>
        <w:bCs/>
      </w:rPr>
    </w:tblStylePr>
    <w:tblStylePr w:type="lastCol">
      <w:rPr>
        <w:b/>
        <w:bCs/>
      </w:r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style>
  <w:style w:type="table" w:styleId="LightList-Accent6">
    <w:name w:val="Light List Accent 6"/>
    <w:basedOn w:val="TableNormal"/>
    <w:uiPriority w:val="61"/>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pPr>
        <w:spacing w:before="0" w:after="0" w:line="240" w:lineRule="auto"/>
      </w:pPr>
      <w:rPr>
        <w:b/>
        <w:bCs/>
        <w:color w:val="FFFFFF" w:themeColor="background1"/>
      </w:rPr>
      <w:tblPr/>
      <w:tcPr>
        <w:shd w:val="clear" w:color="auto" w:fill="4EA72E" w:themeFill="accent6"/>
      </w:tcPr>
    </w:tblStylePr>
    <w:tblStylePr w:type="lastRow">
      <w:pPr>
        <w:spacing w:before="0" w:after="0" w:line="240" w:lineRule="auto"/>
      </w:pPr>
      <w:rPr>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tcBorders>
      </w:tcPr>
    </w:tblStylePr>
    <w:tblStylePr w:type="firstCol">
      <w:rPr>
        <w:b/>
        <w:bCs/>
      </w:rPr>
    </w:tblStylePr>
    <w:tblStylePr w:type="lastCol">
      <w:rPr>
        <w:b/>
        <w:bCs/>
      </w:r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style>
  <w:style w:type="table" w:styleId="LightGrid">
    <w:name w:val="Light Grid"/>
    <w:basedOn w:val="TableNormal"/>
    <w:uiPriority w:val="62"/>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 w:type="table" w:styleId="LightGrid-Accent2">
    <w:name w:val="Light Grid Accent 2"/>
    <w:basedOn w:val="TableNormal"/>
    <w:uiPriority w:val="62"/>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18" w:space="0" w:color="E97132" w:themeColor="accent2"/>
          <w:right w:val="single" w:sz="8" w:space="0" w:color="E97132" w:themeColor="accent2"/>
          <w:insideH w:val="nil"/>
          <w:insideV w:val="single" w:sz="8" w:space="0" w:color="E9713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insideH w:val="nil"/>
          <w:insideV w:val="single" w:sz="8" w:space="0" w:color="E9713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shd w:val="clear" w:color="auto" w:fill="F9DBCC" w:themeFill="accent2" w:themeFillTint="3F"/>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shd w:val="clear" w:color="auto" w:fill="F9DBCC" w:themeFill="accent2" w:themeFillTint="3F"/>
      </w:tcPr>
    </w:tblStylePr>
    <w:tblStylePr w:type="band2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tcPr>
    </w:tblStylePr>
  </w:style>
  <w:style w:type="table" w:styleId="LightGrid-Accent3">
    <w:name w:val="Light Grid Accent 3"/>
    <w:basedOn w:val="TableNormal"/>
    <w:uiPriority w:val="62"/>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18" w:space="0" w:color="196B24" w:themeColor="accent3"/>
          <w:right w:val="single" w:sz="8" w:space="0" w:color="196B24" w:themeColor="accent3"/>
          <w:insideH w:val="nil"/>
          <w:insideV w:val="single" w:sz="8" w:space="0" w:color="196B24"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insideH w:val="nil"/>
          <w:insideV w:val="single" w:sz="8" w:space="0" w:color="196B24"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shd w:val="clear" w:color="auto" w:fill="B3EDBA" w:themeFill="accent3" w:themeFillTint="3F"/>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shd w:val="clear" w:color="auto" w:fill="B3EDBA" w:themeFill="accent3" w:themeFillTint="3F"/>
      </w:tcPr>
    </w:tblStylePr>
    <w:tblStylePr w:type="band2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tcPr>
    </w:tblStylePr>
  </w:style>
  <w:style w:type="table" w:styleId="LightGrid-Accent4">
    <w:name w:val="Light Grid Accent 4"/>
    <w:basedOn w:val="TableNormal"/>
    <w:uiPriority w:val="62"/>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18" w:space="0" w:color="0F9ED5" w:themeColor="accent4"/>
          <w:right w:val="single" w:sz="8" w:space="0" w:color="0F9ED5" w:themeColor="accent4"/>
          <w:insideH w:val="nil"/>
          <w:insideV w:val="single" w:sz="8" w:space="0" w:color="0F9ED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insideH w:val="nil"/>
          <w:insideV w:val="single" w:sz="8" w:space="0" w:color="0F9ED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shd w:val="clear" w:color="auto" w:fill="BDE9FA" w:themeFill="accent4" w:themeFillTint="3F"/>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shd w:val="clear" w:color="auto" w:fill="BDE9FA" w:themeFill="accent4" w:themeFillTint="3F"/>
      </w:tcPr>
    </w:tblStylePr>
    <w:tblStylePr w:type="band2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tcPr>
    </w:tblStylePr>
  </w:style>
  <w:style w:type="table" w:styleId="LightGrid-Accent5">
    <w:name w:val="Light Grid Accent 5"/>
    <w:basedOn w:val="TableNormal"/>
    <w:uiPriority w:val="62"/>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18" w:space="0" w:color="A02B93" w:themeColor="accent5"/>
          <w:right w:val="single" w:sz="8" w:space="0" w:color="A02B93" w:themeColor="accent5"/>
          <w:insideH w:val="nil"/>
          <w:insideV w:val="single" w:sz="8" w:space="0" w:color="A02B9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insideH w:val="nil"/>
          <w:insideV w:val="single" w:sz="8" w:space="0" w:color="A02B9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shd w:val="clear" w:color="auto" w:fill="EFC3E9" w:themeFill="accent5" w:themeFillTint="3F"/>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shd w:val="clear" w:color="auto" w:fill="EFC3E9" w:themeFill="accent5" w:themeFillTint="3F"/>
      </w:tcPr>
    </w:tblStylePr>
    <w:tblStylePr w:type="band2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tcPr>
    </w:tblStylePr>
  </w:style>
  <w:style w:type="table" w:styleId="LightGrid-Accent6">
    <w:name w:val="Light Grid Accent 6"/>
    <w:basedOn w:val="TableNormal"/>
    <w:uiPriority w:val="62"/>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18" w:space="0" w:color="4EA72E" w:themeColor="accent6"/>
          <w:right w:val="single" w:sz="8" w:space="0" w:color="4EA72E" w:themeColor="accent6"/>
          <w:insideH w:val="nil"/>
          <w:insideV w:val="single" w:sz="8" w:space="0" w:color="4EA72E"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insideH w:val="nil"/>
          <w:insideV w:val="single" w:sz="8" w:space="0" w:color="4EA72E"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shd w:val="clear" w:color="auto" w:fill="D0EFC5" w:themeFill="accent6" w:themeFillTint="3F"/>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shd w:val="clear" w:color="auto" w:fill="D0EFC5" w:themeFill="accent6" w:themeFillTint="3F"/>
      </w:tcPr>
    </w:tblStylePr>
    <w:tblStylePr w:type="band2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tcPr>
    </w:tblStylePr>
  </w:style>
  <w:style w:type="table" w:styleId="MediumShading1">
    <w:name w:val="Medium Shading 1"/>
    <w:basedOn w:val="TableNormal"/>
    <w:uiPriority w:val="63"/>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tblBorders>
    </w:tblPr>
    <w:tblStylePr w:type="firstRow">
      <w:pPr>
        <w:spacing w:before="0" w:after="0" w:line="240" w:lineRule="auto"/>
      </w:pPr>
      <w:rPr>
        <w:b/>
        <w:bCs/>
        <w:color w:val="FFFFFF" w:themeColor="background1"/>
      </w:rPr>
      <w:tblPr/>
      <w:tcPr>
        <w:tc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shd w:val="clear" w:color="auto" w:fill="156082" w:themeFill="accent1"/>
      </w:tcPr>
    </w:tblStylePr>
    <w:tblStylePr w:type="lastRow">
      <w:pPr>
        <w:spacing w:before="0" w:after="0" w:line="240" w:lineRule="auto"/>
      </w:pPr>
      <w:rPr>
        <w:b/>
        <w:bCs/>
      </w:rPr>
      <w:tblPr/>
      <w:tcPr>
        <w:tcBorders>
          <w:top w:val="double" w:sz="6"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DEF2" w:themeFill="accent1" w:themeFillTint="3F"/>
      </w:tcPr>
    </w:tblStylePr>
    <w:tblStylePr w:type="band1Horz">
      <w:tblPr/>
      <w:tcPr>
        <w:tcBorders>
          <w:insideH w:val="nil"/>
          <w:insideV w:val="nil"/>
        </w:tcBorders>
        <w:shd w:val="clear" w:color="auto" w:fill="B2DEF2"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tblBorders>
    </w:tblPr>
    <w:tblStylePr w:type="firstRow">
      <w:pPr>
        <w:spacing w:before="0" w:after="0" w:line="240" w:lineRule="auto"/>
      </w:pPr>
      <w:rPr>
        <w:b/>
        <w:bCs/>
        <w:color w:val="FFFFFF" w:themeColor="background1"/>
      </w:rPr>
      <w:tblPr/>
      <w:tcPr>
        <w:tc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shd w:val="clear" w:color="auto" w:fill="E97132" w:themeFill="accent2"/>
      </w:tcPr>
    </w:tblStylePr>
    <w:tblStylePr w:type="lastRow">
      <w:pPr>
        <w:spacing w:before="0" w:after="0" w:line="240" w:lineRule="auto"/>
      </w:pPr>
      <w:rPr>
        <w:b/>
        <w:bCs/>
      </w:rPr>
      <w:tblPr/>
      <w:tcPr>
        <w:tcBorders>
          <w:top w:val="double" w:sz="6"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F9DBCC" w:themeFill="accent2" w:themeFillTint="3F"/>
      </w:tcPr>
    </w:tblStylePr>
    <w:tblStylePr w:type="band1Horz">
      <w:tblPr/>
      <w:tcPr>
        <w:tcBorders>
          <w:insideH w:val="nil"/>
          <w:insideV w:val="nil"/>
        </w:tcBorders>
        <w:shd w:val="clear" w:color="auto" w:fill="F9DBC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tblBorders>
    </w:tblPr>
    <w:tblStylePr w:type="firstRow">
      <w:pPr>
        <w:spacing w:before="0" w:after="0" w:line="240" w:lineRule="auto"/>
      </w:pPr>
      <w:rPr>
        <w:b/>
        <w:bCs/>
        <w:color w:val="FFFFFF" w:themeColor="background1"/>
      </w:rPr>
      <w:tblPr/>
      <w:tcPr>
        <w:tc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shd w:val="clear" w:color="auto" w:fill="196B24" w:themeFill="accent3"/>
      </w:tcPr>
    </w:tblStylePr>
    <w:tblStylePr w:type="lastRow">
      <w:pPr>
        <w:spacing w:before="0" w:after="0" w:line="240" w:lineRule="auto"/>
      </w:pPr>
      <w:rPr>
        <w:b/>
        <w:bCs/>
      </w:rPr>
      <w:tblPr/>
      <w:tcPr>
        <w:tcBorders>
          <w:top w:val="double" w:sz="6"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tcPr>
    </w:tblStylePr>
    <w:tblStylePr w:type="firstCol">
      <w:rPr>
        <w:b/>
        <w:bCs/>
      </w:rPr>
    </w:tblStylePr>
    <w:tblStylePr w:type="lastCol">
      <w:rPr>
        <w:b/>
        <w:bCs/>
      </w:rPr>
    </w:tblStylePr>
    <w:tblStylePr w:type="band1Vert">
      <w:tblPr/>
      <w:tcPr>
        <w:shd w:val="clear" w:color="auto" w:fill="B3EDBA" w:themeFill="accent3" w:themeFillTint="3F"/>
      </w:tcPr>
    </w:tblStylePr>
    <w:tblStylePr w:type="band1Horz">
      <w:tblPr/>
      <w:tcPr>
        <w:tcBorders>
          <w:insideH w:val="nil"/>
          <w:insideV w:val="nil"/>
        </w:tcBorders>
        <w:shd w:val="clear" w:color="auto" w:fill="B3EDB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tblBorders>
    </w:tblPr>
    <w:tblStylePr w:type="firstRow">
      <w:pPr>
        <w:spacing w:before="0" w:after="0" w:line="240" w:lineRule="auto"/>
      </w:pPr>
      <w:rPr>
        <w:b/>
        <w:bCs/>
        <w:color w:val="FFFFFF" w:themeColor="background1"/>
      </w:rPr>
      <w:tblPr/>
      <w:tcPr>
        <w:tc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shd w:val="clear" w:color="auto" w:fill="0F9ED5" w:themeFill="accent4"/>
      </w:tcPr>
    </w:tblStylePr>
    <w:tblStylePr w:type="lastRow">
      <w:pPr>
        <w:spacing w:before="0" w:after="0" w:line="240" w:lineRule="auto"/>
      </w:pPr>
      <w:rPr>
        <w:b/>
        <w:bCs/>
      </w:rPr>
      <w:tblPr/>
      <w:tcPr>
        <w:tcBorders>
          <w:top w:val="double" w:sz="6"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tcPr>
    </w:tblStylePr>
    <w:tblStylePr w:type="firstCol">
      <w:rPr>
        <w:b/>
        <w:bCs/>
      </w:rPr>
    </w:tblStylePr>
    <w:tblStylePr w:type="lastCol">
      <w:rPr>
        <w:b/>
        <w:bCs/>
      </w:rPr>
    </w:tblStylePr>
    <w:tblStylePr w:type="band1Vert">
      <w:tblPr/>
      <w:tcPr>
        <w:shd w:val="clear" w:color="auto" w:fill="BDE9FA" w:themeFill="accent4" w:themeFillTint="3F"/>
      </w:tcPr>
    </w:tblStylePr>
    <w:tblStylePr w:type="band1Horz">
      <w:tblPr/>
      <w:tcPr>
        <w:tcBorders>
          <w:insideH w:val="nil"/>
          <w:insideV w:val="nil"/>
        </w:tcBorders>
        <w:shd w:val="clear" w:color="auto" w:fill="BDE9FA"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tblBorders>
    </w:tblPr>
    <w:tblStylePr w:type="firstRow">
      <w:pPr>
        <w:spacing w:before="0" w:after="0" w:line="240" w:lineRule="auto"/>
      </w:pPr>
      <w:rPr>
        <w:b/>
        <w:bCs/>
        <w:color w:val="FFFFFF" w:themeColor="background1"/>
      </w:rPr>
      <w:tblPr/>
      <w:tcPr>
        <w:tc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shd w:val="clear" w:color="auto" w:fill="A02B93" w:themeFill="accent5"/>
      </w:tcPr>
    </w:tblStylePr>
    <w:tblStylePr w:type="lastRow">
      <w:pPr>
        <w:spacing w:before="0" w:after="0" w:line="240" w:lineRule="auto"/>
      </w:pPr>
      <w:rPr>
        <w:b/>
        <w:bCs/>
      </w:rPr>
      <w:tblPr/>
      <w:tcPr>
        <w:tcBorders>
          <w:top w:val="double" w:sz="6"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tcPr>
    </w:tblStylePr>
    <w:tblStylePr w:type="firstCol">
      <w:rPr>
        <w:b/>
        <w:bCs/>
      </w:rPr>
    </w:tblStylePr>
    <w:tblStylePr w:type="lastCol">
      <w:rPr>
        <w:b/>
        <w:bCs/>
      </w:rPr>
    </w:tblStylePr>
    <w:tblStylePr w:type="band1Vert">
      <w:tblPr/>
      <w:tcPr>
        <w:shd w:val="clear" w:color="auto" w:fill="EFC3E9" w:themeFill="accent5" w:themeFillTint="3F"/>
      </w:tcPr>
    </w:tblStylePr>
    <w:tblStylePr w:type="band1Horz">
      <w:tblPr/>
      <w:tcPr>
        <w:tcBorders>
          <w:insideH w:val="nil"/>
          <w:insideV w:val="nil"/>
        </w:tcBorders>
        <w:shd w:val="clear" w:color="auto" w:fill="EFC3E9"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tblBorders>
    </w:tblPr>
    <w:tblStylePr w:type="firstRow">
      <w:pPr>
        <w:spacing w:before="0" w:after="0" w:line="240" w:lineRule="auto"/>
      </w:pPr>
      <w:rPr>
        <w:b/>
        <w:bCs/>
        <w:color w:val="FFFFFF" w:themeColor="background1"/>
      </w:rPr>
      <w:tblPr/>
      <w:tcPr>
        <w:tc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shd w:val="clear" w:color="auto" w:fill="4EA72E" w:themeFill="accent6"/>
      </w:tcPr>
    </w:tblStylePr>
    <w:tblStylePr w:type="lastRow">
      <w:pPr>
        <w:spacing w:before="0" w:after="0" w:line="240" w:lineRule="auto"/>
      </w:pPr>
      <w:rPr>
        <w:b/>
        <w:bCs/>
      </w:rPr>
      <w:tblPr/>
      <w:tcPr>
        <w:tcBorders>
          <w:top w:val="double" w:sz="6"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tcPr>
    </w:tblStylePr>
    <w:tblStylePr w:type="firstCol">
      <w:rPr>
        <w:b/>
        <w:bCs/>
      </w:rPr>
    </w:tblStylePr>
    <w:tblStylePr w:type="lastCol">
      <w:rPr>
        <w:b/>
        <w:bCs/>
      </w:rPr>
    </w:tblStylePr>
    <w:tblStylePr w:type="band1Vert">
      <w:tblPr/>
      <w:tcPr>
        <w:shd w:val="clear" w:color="auto" w:fill="D0EFC5" w:themeFill="accent6" w:themeFillTint="3F"/>
      </w:tcPr>
    </w:tblStylePr>
    <w:tblStylePr w:type="band1Horz">
      <w:tblPr/>
      <w:tcPr>
        <w:tcBorders>
          <w:insideH w:val="nil"/>
          <w:insideV w:val="nil"/>
        </w:tcBorders>
        <w:shd w:val="clear" w:color="auto" w:fill="D0EFC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241ACB"/>
    <w:pPr>
      <w:spacing w:after="0" w:line="240" w:lineRule="auto"/>
    </w:pPr>
    <w:rPr>
      <w:rFonts w:eastAsiaTheme="minorEastAsia"/>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241ACB"/>
    <w:pPr>
      <w:spacing w:after="0" w:line="240" w:lineRule="auto"/>
    </w:pPr>
    <w:rPr>
      <w:rFonts w:eastAsiaTheme="minorEastAsia"/>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5608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56082" w:themeFill="accent1"/>
      </w:tcPr>
    </w:tblStylePr>
    <w:tblStylePr w:type="lastCol">
      <w:rPr>
        <w:b/>
        <w:bCs/>
        <w:color w:val="FFFFFF" w:themeColor="background1"/>
      </w:rPr>
      <w:tblPr/>
      <w:tcPr>
        <w:tcBorders>
          <w:left w:val="nil"/>
          <w:right w:val="nil"/>
          <w:insideH w:val="nil"/>
          <w:insideV w:val="nil"/>
        </w:tcBorders>
        <w:shd w:val="clear" w:color="auto" w:fill="15608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241ACB"/>
    <w:pPr>
      <w:spacing w:after="0" w:line="240" w:lineRule="auto"/>
    </w:pPr>
    <w:rPr>
      <w:rFonts w:eastAsiaTheme="minorEastAsia"/>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9713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97132" w:themeFill="accent2"/>
      </w:tcPr>
    </w:tblStylePr>
    <w:tblStylePr w:type="lastCol">
      <w:rPr>
        <w:b/>
        <w:bCs/>
        <w:color w:val="FFFFFF" w:themeColor="background1"/>
      </w:rPr>
      <w:tblPr/>
      <w:tcPr>
        <w:tcBorders>
          <w:left w:val="nil"/>
          <w:right w:val="nil"/>
          <w:insideH w:val="nil"/>
          <w:insideV w:val="nil"/>
        </w:tcBorders>
        <w:shd w:val="clear" w:color="auto" w:fill="E9713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241ACB"/>
    <w:pPr>
      <w:spacing w:after="0" w:line="240" w:lineRule="auto"/>
    </w:pPr>
    <w:rPr>
      <w:rFonts w:eastAsiaTheme="minorEastAsia"/>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96B2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96B24" w:themeFill="accent3"/>
      </w:tcPr>
    </w:tblStylePr>
    <w:tblStylePr w:type="lastCol">
      <w:rPr>
        <w:b/>
        <w:bCs/>
        <w:color w:val="FFFFFF" w:themeColor="background1"/>
      </w:rPr>
      <w:tblPr/>
      <w:tcPr>
        <w:tcBorders>
          <w:left w:val="nil"/>
          <w:right w:val="nil"/>
          <w:insideH w:val="nil"/>
          <w:insideV w:val="nil"/>
        </w:tcBorders>
        <w:shd w:val="clear" w:color="auto" w:fill="196B2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241ACB"/>
    <w:pPr>
      <w:spacing w:after="0" w:line="240" w:lineRule="auto"/>
    </w:pPr>
    <w:rPr>
      <w:rFonts w:eastAsiaTheme="minorEastAsia"/>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F9ED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F9ED5" w:themeFill="accent4"/>
      </w:tcPr>
    </w:tblStylePr>
    <w:tblStylePr w:type="lastCol">
      <w:rPr>
        <w:b/>
        <w:bCs/>
        <w:color w:val="FFFFFF" w:themeColor="background1"/>
      </w:rPr>
      <w:tblPr/>
      <w:tcPr>
        <w:tcBorders>
          <w:left w:val="nil"/>
          <w:right w:val="nil"/>
          <w:insideH w:val="nil"/>
          <w:insideV w:val="nil"/>
        </w:tcBorders>
        <w:shd w:val="clear" w:color="auto" w:fill="0F9ED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241ACB"/>
    <w:pPr>
      <w:spacing w:after="0" w:line="240" w:lineRule="auto"/>
    </w:pPr>
    <w:rPr>
      <w:rFonts w:eastAsiaTheme="minorEastAsia"/>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02B9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02B93" w:themeFill="accent5"/>
      </w:tcPr>
    </w:tblStylePr>
    <w:tblStylePr w:type="lastCol">
      <w:rPr>
        <w:b/>
        <w:bCs/>
        <w:color w:val="FFFFFF" w:themeColor="background1"/>
      </w:rPr>
      <w:tblPr/>
      <w:tcPr>
        <w:tcBorders>
          <w:left w:val="nil"/>
          <w:right w:val="nil"/>
          <w:insideH w:val="nil"/>
          <w:insideV w:val="nil"/>
        </w:tcBorders>
        <w:shd w:val="clear" w:color="auto" w:fill="A02B9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241ACB"/>
    <w:pPr>
      <w:spacing w:after="0" w:line="240" w:lineRule="auto"/>
    </w:pPr>
    <w:rPr>
      <w:rFonts w:eastAsiaTheme="minorEastAsia"/>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EA72E"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EA72E" w:themeFill="accent6"/>
      </w:tcPr>
    </w:tblStylePr>
    <w:tblStylePr w:type="lastCol">
      <w:rPr>
        <w:b/>
        <w:bCs/>
        <w:color w:val="FFFFFF" w:themeColor="background1"/>
      </w:rPr>
      <w:tblPr/>
      <w:tcPr>
        <w:tcBorders>
          <w:left w:val="nil"/>
          <w:right w:val="nil"/>
          <w:insideH w:val="nil"/>
          <w:insideV w:val="nil"/>
        </w:tcBorders>
        <w:shd w:val="clear" w:color="auto" w:fill="4EA72E"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E284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8" w:space="0" w:color="156082" w:themeColor="accent1"/>
        <w:bottom w:val="single" w:sz="8" w:space="0" w:color="156082" w:themeColor="accent1"/>
      </w:tblBorders>
    </w:tblPr>
    <w:tblStylePr w:type="firstRow">
      <w:rPr>
        <w:rFonts w:asciiTheme="majorHAnsi" w:eastAsiaTheme="majorEastAsia" w:hAnsiTheme="majorHAnsi" w:cstheme="majorBidi"/>
      </w:rPr>
      <w:tblPr/>
      <w:tcPr>
        <w:tcBorders>
          <w:top w:val="nil"/>
          <w:bottom w:val="single" w:sz="8" w:space="0" w:color="156082" w:themeColor="accent1"/>
        </w:tcBorders>
      </w:tcPr>
    </w:tblStylePr>
    <w:tblStylePr w:type="lastRow">
      <w:rPr>
        <w:b/>
        <w:bCs/>
        <w:color w:val="0E2841" w:themeColor="text2"/>
      </w:rPr>
      <w:tblPr/>
      <w:tcPr>
        <w:tcBorders>
          <w:top w:val="single" w:sz="8" w:space="0" w:color="156082" w:themeColor="accent1"/>
          <w:bottom w:val="single" w:sz="8" w:space="0" w:color="156082" w:themeColor="accent1"/>
        </w:tcBorders>
      </w:tcPr>
    </w:tblStylePr>
    <w:tblStylePr w:type="firstCol">
      <w:rPr>
        <w:b/>
        <w:bCs/>
      </w:rPr>
    </w:tblStylePr>
    <w:tblStylePr w:type="lastCol">
      <w:rPr>
        <w:b/>
        <w:bCs/>
      </w:rPr>
      <w:tblPr/>
      <w:tcPr>
        <w:tcBorders>
          <w:top w:val="single" w:sz="8" w:space="0" w:color="156082" w:themeColor="accent1"/>
          <w:bottom w:val="single" w:sz="8" w:space="0" w:color="156082" w:themeColor="accent1"/>
        </w:tcBorders>
      </w:tcPr>
    </w:tblStylePr>
    <w:tblStylePr w:type="band1Vert">
      <w:tblPr/>
      <w:tcPr>
        <w:shd w:val="clear" w:color="auto" w:fill="B2DEF2" w:themeFill="accent1" w:themeFillTint="3F"/>
      </w:tcPr>
    </w:tblStylePr>
    <w:tblStylePr w:type="band1Horz">
      <w:tblPr/>
      <w:tcPr>
        <w:shd w:val="clear" w:color="auto" w:fill="B2DEF2" w:themeFill="accent1" w:themeFillTint="3F"/>
      </w:tcPr>
    </w:tblStylePr>
  </w:style>
  <w:style w:type="table" w:styleId="MediumList1-Accent2">
    <w:name w:val="Medium List 1 Accent 2"/>
    <w:basedOn w:val="TableNormal"/>
    <w:uiPriority w:val="65"/>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8" w:space="0" w:color="E97132" w:themeColor="accent2"/>
        <w:bottom w:val="single" w:sz="8" w:space="0" w:color="E97132" w:themeColor="accent2"/>
      </w:tblBorders>
    </w:tblPr>
    <w:tblStylePr w:type="firstRow">
      <w:rPr>
        <w:rFonts w:asciiTheme="majorHAnsi" w:eastAsiaTheme="majorEastAsia" w:hAnsiTheme="majorHAnsi" w:cstheme="majorBidi"/>
      </w:rPr>
      <w:tblPr/>
      <w:tcPr>
        <w:tcBorders>
          <w:top w:val="nil"/>
          <w:bottom w:val="single" w:sz="8" w:space="0" w:color="E97132" w:themeColor="accent2"/>
        </w:tcBorders>
      </w:tcPr>
    </w:tblStylePr>
    <w:tblStylePr w:type="lastRow">
      <w:rPr>
        <w:b/>
        <w:bCs/>
        <w:color w:val="0E2841" w:themeColor="text2"/>
      </w:rPr>
      <w:tblPr/>
      <w:tcPr>
        <w:tcBorders>
          <w:top w:val="single" w:sz="8" w:space="0" w:color="E97132" w:themeColor="accent2"/>
          <w:bottom w:val="single" w:sz="8" w:space="0" w:color="E97132" w:themeColor="accent2"/>
        </w:tcBorders>
      </w:tcPr>
    </w:tblStylePr>
    <w:tblStylePr w:type="firstCol">
      <w:rPr>
        <w:b/>
        <w:bCs/>
      </w:rPr>
    </w:tblStylePr>
    <w:tblStylePr w:type="lastCol">
      <w:rPr>
        <w:b/>
        <w:bCs/>
      </w:rPr>
      <w:tblPr/>
      <w:tcPr>
        <w:tcBorders>
          <w:top w:val="single" w:sz="8" w:space="0" w:color="E97132" w:themeColor="accent2"/>
          <w:bottom w:val="single" w:sz="8" w:space="0" w:color="E97132" w:themeColor="accent2"/>
        </w:tcBorders>
      </w:tcPr>
    </w:tblStylePr>
    <w:tblStylePr w:type="band1Vert">
      <w:tblPr/>
      <w:tcPr>
        <w:shd w:val="clear" w:color="auto" w:fill="F9DBCC" w:themeFill="accent2" w:themeFillTint="3F"/>
      </w:tcPr>
    </w:tblStylePr>
    <w:tblStylePr w:type="band1Horz">
      <w:tblPr/>
      <w:tcPr>
        <w:shd w:val="clear" w:color="auto" w:fill="F9DBCC" w:themeFill="accent2" w:themeFillTint="3F"/>
      </w:tcPr>
    </w:tblStylePr>
  </w:style>
  <w:style w:type="table" w:styleId="MediumList1-Accent3">
    <w:name w:val="Medium List 1 Accent 3"/>
    <w:basedOn w:val="TableNormal"/>
    <w:uiPriority w:val="65"/>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8" w:space="0" w:color="196B24" w:themeColor="accent3"/>
        <w:bottom w:val="single" w:sz="8" w:space="0" w:color="196B24" w:themeColor="accent3"/>
      </w:tblBorders>
    </w:tblPr>
    <w:tblStylePr w:type="firstRow">
      <w:rPr>
        <w:rFonts w:asciiTheme="majorHAnsi" w:eastAsiaTheme="majorEastAsia" w:hAnsiTheme="majorHAnsi" w:cstheme="majorBidi"/>
      </w:rPr>
      <w:tblPr/>
      <w:tcPr>
        <w:tcBorders>
          <w:top w:val="nil"/>
          <w:bottom w:val="single" w:sz="8" w:space="0" w:color="196B24" w:themeColor="accent3"/>
        </w:tcBorders>
      </w:tcPr>
    </w:tblStylePr>
    <w:tblStylePr w:type="lastRow">
      <w:rPr>
        <w:b/>
        <w:bCs/>
        <w:color w:val="0E2841" w:themeColor="text2"/>
      </w:rPr>
      <w:tblPr/>
      <w:tcPr>
        <w:tcBorders>
          <w:top w:val="single" w:sz="8" w:space="0" w:color="196B24" w:themeColor="accent3"/>
          <w:bottom w:val="single" w:sz="8" w:space="0" w:color="196B24" w:themeColor="accent3"/>
        </w:tcBorders>
      </w:tcPr>
    </w:tblStylePr>
    <w:tblStylePr w:type="firstCol">
      <w:rPr>
        <w:b/>
        <w:bCs/>
      </w:rPr>
    </w:tblStylePr>
    <w:tblStylePr w:type="lastCol">
      <w:rPr>
        <w:b/>
        <w:bCs/>
      </w:rPr>
      <w:tblPr/>
      <w:tcPr>
        <w:tcBorders>
          <w:top w:val="single" w:sz="8" w:space="0" w:color="196B24" w:themeColor="accent3"/>
          <w:bottom w:val="single" w:sz="8" w:space="0" w:color="196B24" w:themeColor="accent3"/>
        </w:tcBorders>
      </w:tcPr>
    </w:tblStylePr>
    <w:tblStylePr w:type="band1Vert">
      <w:tblPr/>
      <w:tcPr>
        <w:shd w:val="clear" w:color="auto" w:fill="B3EDBA" w:themeFill="accent3" w:themeFillTint="3F"/>
      </w:tcPr>
    </w:tblStylePr>
    <w:tblStylePr w:type="band1Horz">
      <w:tblPr/>
      <w:tcPr>
        <w:shd w:val="clear" w:color="auto" w:fill="B3EDBA" w:themeFill="accent3" w:themeFillTint="3F"/>
      </w:tcPr>
    </w:tblStylePr>
  </w:style>
  <w:style w:type="table" w:styleId="MediumList1-Accent4">
    <w:name w:val="Medium List 1 Accent 4"/>
    <w:basedOn w:val="TableNormal"/>
    <w:uiPriority w:val="65"/>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8" w:space="0" w:color="0F9ED5" w:themeColor="accent4"/>
        <w:bottom w:val="single" w:sz="8" w:space="0" w:color="0F9ED5" w:themeColor="accent4"/>
      </w:tblBorders>
    </w:tblPr>
    <w:tblStylePr w:type="firstRow">
      <w:rPr>
        <w:rFonts w:asciiTheme="majorHAnsi" w:eastAsiaTheme="majorEastAsia" w:hAnsiTheme="majorHAnsi" w:cstheme="majorBidi"/>
      </w:rPr>
      <w:tblPr/>
      <w:tcPr>
        <w:tcBorders>
          <w:top w:val="nil"/>
          <w:bottom w:val="single" w:sz="8" w:space="0" w:color="0F9ED5" w:themeColor="accent4"/>
        </w:tcBorders>
      </w:tcPr>
    </w:tblStylePr>
    <w:tblStylePr w:type="lastRow">
      <w:rPr>
        <w:b/>
        <w:bCs/>
        <w:color w:val="0E2841" w:themeColor="text2"/>
      </w:rPr>
      <w:tblPr/>
      <w:tcPr>
        <w:tcBorders>
          <w:top w:val="single" w:sz="8" w:space="0" w:color="0F9ED5" w:themeColor="accent4"/>
          <w:bottom w:val="single" w:sz="8" w:space="0" w:color="0F9ED5" w:themeColor="accent4"/>
        </w:tcBorders>
      </w:tcPr>
    </w:tblStylePr>
    <w:tblStylePr w:type="firstCol">
      <w:rPr>
        <w:b/>
        <w:bCs/>
      </w:rPr>
    </w:tblStylePr>
    <w:tblStylePr w:type="lastCol">
      <w:rPr>
        <w:b/>
        <w:bCs/>
      </w:rPr>
      <w:tblPr/>
      <w:tcPr>
        <w:tcBorders>
          <w:top w:val="single" w:sz="8" w:space="0" w:color="0F9ED5" w:themeColor="accent4"/>
          <w:bottom w:val="single" w:sz="8" w:space="0" w:color="0F9ED5" w:themeColor="accent4"/>
        </w:tcBorders>
      </w:tcPr>
    </w:tblStylePr>
    <w:tblStylePr w:type="band1Vert">
      <w:tblPr/>
      <w:tcPr>
        <w:shd w:val="clear" w:color="auto" w:fill="BDE9FA" w:themeFill="accent4" w:themeFillTint="3F"/>
      </w:tcPr>
    </w:tblStylePr>
    <w:tblStylePr w:type="band1Horz">
      <w:tblPr/>
      <w:tcPr>
        <w:shd w:val="clear" w:color="auto" w:fill="BDE9FA" w:themeFill="accent4" w:themeFillTint="3F"/>
      </w:tcPr>
    </w:tblStylePr>
  </w:style>
  <w:style w:type="table" w:styleId="MediumList1-Accent5">
    <w:name w:val="Medium List 1 Accent 5"/>
    <w:basedOn w:val="TableNormal"/>
    <w:uiPriority w:val="65"/>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8" w:space="0" w:color="A02B93" w:themeColor="accent5"/>
        <w:bottom w:val="single" w:sz="8" w:space="0" w:color="A02B93" w:themeColor="accent5"/>
      </w:tblBorders>
    </w:tblPr>
    <w:tblStylePr w:type="firstRow">
      <w:rPr>
        <w:rFonts w:asciiTheme="majorHAnsi" w:eastAsiaTheme="majorEastAsia" w:hAnsiTheme="majorHAnsi" w:cstheme="majorBidi"/>
      </w:rPr>
      <w:tblPr/>
      <w:tcPr>
        <w:tcBorders>
          <w:top w:val="nil"/>
          <w:bottom w:val="single" w:sz="8" w:space="0" w:color="A02B93" w:themeColor="accent5"/>
        </w:tcBorders>
      </w:tcPr>
    </w:tblStylePr>
    <w:tblStylePr w:type="lastRow">
      <w:rPr>
        <w:b/>
        <w:bCs/>
        <w:color w:val="0E2841" w:themeColor="text2"/>
      </w:rPr>
      <w:tblPr/>
      <w:tcPr>
        <w:tcBorders>
          <w:top w:val="single" w:sz="8" w:space="0" w:color="A02B93" w:themeColor="accent5"/>
          <w:bottom w:val="single" w:sz="8" w:space="0" w:color="A02B93" w:themeColor="accent5"/>
        </w:tcBorders>
      </w:tcPr>
    </w:tblStylePr>
    <w:tblStylePr w:type="firstCol">
      <w:rPr>
        <w:b/>
        <w:bCs/>
      </w:rPr>
    </w:tblStylePr>
    <w:tblStylePr w:type="lastCol">
      <w:rPr>
        <w:b/>
        <w:bCs/>
      </w:rPr>
      <w:tblPr/>
      <w:tcPr>
        <w:tcBorders>
          <w:top w:val="single" w:sz="8" w:space="0" w:color="A02B93" w:themeColor="accent5"/>
          <w:bottom w:val="single" w:sz="8" w:space="0" w:color="A02B93" w:themeColor="accent5"/>
        </w:tcBorders>
      </w:tcPr>
    </w:tblStylePr>
    <w:tblStylePr w:type="band1Vert">
      <w:tblPr/>
      <w:tcPr>
        <w:shd w:val="clear" w:color="auto" w:fill="EFC3E9" w:themeFill="accent5" w:themeFillTint="3F"/>
      </w:tcPr>
    </w:tblStylePr>
    <w:tblStylePr w:type="band1Horz">
      <w:tblPr/>
      <w:tcPr>
        <w:shd w:val="clear" w:color="auto" w:fill="EFC3E9" w:themeFill="accent5" w:themeFillTint="3F"/>
      </w:tcPr>
    </w:tblStylePr>
  </w:style>
  <w:style w:type="table" w:styleId="MediumList1-Accent6">
    <w:name w:val="Medium List 1 Accent 6"/>
    <w:basedOn w:val="TableNormal"/>
    <w:uiPriority w:val="65"/>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8" w:space="0" w:color="4EA72E" w:themeColor="accent6"/>
        <w:bottom w:val="single" w:sz="8" w:space="0" w:color="4EA72E" w:themeColor="accent6"/>
      </w:tblBorders>
    </w:tblPr>
    <w:tblStylePr w:type="firstRow">
      <w:rPr>
        <w:rFonts w:asciiTheme="majorHAnsi" w:eastAsiaTheme="majorEastAsia" w:hAnsiTheme="majorHAnsi" w:cstheme="majorBidi"/>
      </w:rPr>
      <w:tblPr/>
      <w:tcPr>
        <w:tcBorders>
          <w:top w:val="nil"/>
          <w:bottom w:val="single" w:sz="8" w:space="0" w:color="4EA72E" w:themeColor="accent6"/>
        </w:tcBorders>
      </w:tcPr>
    </w:tblStylePr>
    <w:tblStylePr w:type="lastRow">
      <w:rPr>
        <w:b/>
        <w:bCs/>
        <w:color w:val="0E2841" w:themeColor="text2"/>
      </w:rPr>
      <w:tblPr/>
      <w:tcPr>
        <w:tcBorders>
          <w:top w:val="single" w:sz="8" w:space="0" w:color="4EA72E" w:themeColor="accent6"/>
          <w:bottom w:val="single" w:sz="8" w:space="0" w:color="4EA72E" w:themeColor="accent6"/>
        </w:tcBorders>
      </w:tcPr>
    </w:tblStylePr>
    <w:tblStylePr w:type="firstCol">
      <w:rPr>
        <w:b/>
        <w:bCs/>
      </w:rPr>
    </w:tblStylePr>
    <w:tblStylePr w:type="lastCol">
      <w:rPr>
        <w:b/>
        <w:bCs/>
      </w:rPr>
      <w:tblPr/>
      <w:tcPr>
        <w:tcBorders>
          <w:top w:val="single" w:sz="8" w:space="0" w:color="4EA72E" w:themeColor="accent6"/>
          <w:bottom w:val="single" w:sz="8" w:space="0" w:color="4EA72E" w:themeColor="accent6"/>
        </w:tcBorders>
      </w:tcPr>
    </w:tblStylePr>
    <w:tblStylePr w:type="band1Vert">
      <w:tblPr/>
      <w:tcPr>
        <w:shd w:val="clear" w:color="auto" w:fill="D0EFC5" w:themeFill="accent6" w:themeFillTint="3F"/>
      </w:tcPr>
    </w:tblStylePr>
    <w:tblStylePr w:type="band1Horz">
      <w:tblPr/>
      <w:tcPr>
        <w:shd w:val="clear" w:color="auto" w:fill="D0EFC5" w:themeFill="accent6" w:themeFillTint="3F"/>
      </w:tcPr>
    </w:tblStylePr>
  </w:style>
  <w:style w:type="table" w:styleId="MediumList2">
    <w:name w:val="Medium List 2"/>
    <w:basedOn w:val="TableNormal"/>
    <w:uiPriority w:val="66"/>
    <w:rsid w:val="00241ACB"/>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241ACB"/>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rPr>
        <w:sz w:val="24"/>
        <w:szCs w:val="24"/>
      </w:rPr>
      <w:tblPr/>
      <w:tcPr>
        <w:tcBorders>
          <w:top w:val="nil"/>
          <w:left w:val="nil"/>
          <w:bottom w:val="single" w:sz="24" w:space="0" w:color="156082" w:themeColor="accent1"/>
          <w:right w:val="nil"/>
          <w:insideH w:val="nil"/>
          <w:insideV w:val="nil"/>
        </w:tcBorders>
        <w:shd w:val="clear" w:color="auto" w:fill="FFFFFF" w:themeFill="background1"/>
      </w:tcPr>
    </w:tblStylePr>
    <w:tblStylePr w:type="lastRow">
      <w:tblPr/>
      <w:tcPr>
        <w:tcBorders>
          <w:top w:val="single" w:sz="8" w:space="0" w:color="156082"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56082" w:themeColor="accent1"/>
          <w:insideH w:val="nil"/>
          <w:insideV w:val="nil"/>
        </w:tcBorders>
        <w:shd w:val="clear" w:color="auto" w:fill="FFFFFF" w:themeFill="background1"/>
      </w:tcPr>
    </w:tblStylePr>
    <w:tblStylePr w:type="lastCol">
      <w:tblPr/>
      <w:tcPr>
        <w:tcBorders>
          <w:top w:val="nil"/>
          <w:left w:val="single" w:sz="8" w:space="0" w:color="15608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top w:val="nil"/>
          <w:bottom w:val="nil"/>
          <w:insideH w:val="nil"/>
          <w:insideV w:val="nil"/>
        </w:tcBorders>
        <w:shd w:val="clear" w:color="auto" w:fill="B2DEF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241ACB"/>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rPr>
        <w:sz w:val="24"/>
        <w:szCs w:val="24"/>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tblPr/>
      <w:tcPr>
        <w:tcBorders>
          <w:top w:val="single" w:sz="8" w:space="0" w:color="E97132"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97132" w:themeColor="accent2"/>
          <w:insideH w:val="nil"/>
          <w:insideV w:val="nil"/>
        </w:tcBorders>
        <w:shd w:val="clear" w:color="auto" w:fill="FFFFFF" w:themeFill="background1"/>
      </w:tcPr>
    </w:tblStylePr>
    <w:tblStylePr w:type="lastCol">
      <w:tblPr/>
      <w:tcPr>
        <w:tcBorders>
          <w:top w:val="nil"/>
          <w:left w:val="single" w:sz="8" w:space="0" w:color="E9713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top w:val="nil"/>
          <w:bottom w:val="nil"/>
          <w:insideH w:val="nil"/>
          <w:insideV w:val="nil"/>
        </w:tcBorders>
        <w:shd w:val="clear" w:color="auto" w:fill="F9DB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241ACB"/>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rPr>
        <w:sz w:val="24"/>
        <w:szCs w:val="24"/>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tblPr/>
      <w:tcPr>
        <w:tcBorders>
          <w:top w:val="single" w:sz="8" w:space="0" w:color="196B24"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96B24" w:themeColor="accent3"/>
          <w:insideH w:val="nil"/>
          <w:insideV w:val="nil"/>
        </w:tcBorders>
        <w:shd w:val="clear" w:color="auto" w:fill="FFFFFF" w:themeFill="background1"/>
      </w:tcPr>
    </w:tblStylePr>
    <w:tblStylePr w:type="lastCol">
      <w:tblPr/>
      <w:tcPr>
        <w:tcBorders>
          <w:top w:val="nil"/>
          <w:left w:val="single" w:sz="8" w:space="0" w:color="196B2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top w:val="nil"/>
          <w:bottom w:val="nil"/>
          <w:insideH w:val="nil"/>
          <w:insideV w:val="nil"/>
        </w:tcBorders>
        <w:shd w:val="clear" w:color="auto" w:fill="B3EDB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241ACB"/>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rPr>
        <w:sz w:val="24"/>
        <w:szCs w:val="24"/>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tblPr/>
      <w:tcPr>
        <w:tcBorders>
          <w:top w:val="single" w:sz="8" w:space="0" w:color="0F9ED5"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9ED5" w:themeColor="accent4"/>
          <w:insideH w:val="nil"/>
          <w:insideV w:val="nil"/>
        </w:tcBorders>
        <w:shd w:val="clear" w:color="auto" w:fill="FFFFFF" w:themeFill="background1"/>
      </w:tcPr>
    </w:tblStylePr>
    <w:tblStylePr w:type="lastCol">
      <w:tblPr/>
      <w:tcPr>
        <w:tcBorders>
          <w:top w:val="nil"/>
          <w:left w:val="single" w:sz="8" w:space="0" w:color="0F9ED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top w:val="nil"/>
          <w:bottom w:val="nil"/>
          <w:insideH w:val="nil"/>
          <w:insideV w:val="nil"/>
        </w:tcBorders>
        <w:shd w:val="clear" w:color="auto" w:fill="BDE9F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241ACB"/>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rPr>
        <w:sz w:val="24"/>
        <w:szCs w:val="24"/>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tblPr/>
      <w:tcPr>
        <w:tcBorders>
          <w:top w:val="single" w:sz="8" w:space="0" w:color="A02B93"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02B93" w:themeColor="accent5"/>
          <w:insideH w:val="nil"/>
          <w:insideV w:val="nil"/>
        </w:tcBorders>
        <w:shd w:val="clear" w:color="auto" w:fill="FFFFFF" w:themeFill="background1"/>
      </w:tcPr>
    </w:tblStylePr>
    <w:tblStylePr w:type="lastCol">
      <w:tblPr/>
      <w:tcPr>
        <w:tcBorders>
          <w:top w:val="nil"/>
          <w:left w:val="single" w:sz="8" w:space="0" w:color="A02B9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top w:val="nil"/>
          <w:bottom w:val="nil"/>
          <w:insideH w:val="nil"/>
          <w:insideV w:val="nil"/>
        </w:tcBorders>
        <w:shd w:val="clear" w:color="auto" w:fill="EFC3E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241ACB"/>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rPr>
        <w:sz w:val="24"/>
        <w:szCs w:val="24"/>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tblPr/>
      <w:tcPr>
        <w:tcBorders>
          <w:top w:val="single" w:sz="8" w:space="0" w:color="4EA72E"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EA72E" w:themeColor="accent6"/>
          <w:insideH w:val="nil"/>
          <w:insideV w:val="nil"/>
        </w:tcBorders>
        <w:shd w:val="clear" w:color="auto" w:fill="FFFFFF" w:themeFill="background1"/>
      </w:tcPr>
    </w:tblStylePr>
    <w:tblStylePr w:type="lastCol">
      <w:tblPr/>
      <w:tcPr>
        <w:tcBorders>
          <w:top w:val="nil"/>
          <w:left w:val="single" w:sz="8" w:space="0" w:color="4EA72E"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top w:val="nil"/>
          <w:bottom w:val="nil"/>
          <w:insideH w:val="nil"/>
          <w:insideV w:val="nil"/>
        </w:tcBorders>
        <w:shd w:val="clear" w:color="auto" w:fill="D0EFC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insideV w:val="single" w:sz="8" w:space="0" w:color="2198CF" w:themeColor="accent1" w:themeTint="BF"/>
      </w:tblBorders>
    </w:tblPr>
    <w:tcPr>
      <w:shd w:val="clear" w:color="auto" w:fill="B2DEF2" w:themeFill="accent1" w:themeFillTint="3F"/>
    </w:tcPr>
    <w:tblStylePr w:type="firstRow">
      <w:rPr>
        <w:b/>
        <w:bCs/>
      </w:rPr>
    </w:tblStylePr>
    <w:tblStylePr w:type="lastRow">
      <w:rPr>
        <w:b/>
        <w:bCs/>
      </w:rPr>
      <w:tblPr/>
      <w:tcPr>
        <w:tcBorders>
          <w:top w:val="single" w:sz="18" w:space="0" w:color="2198CF" w:themeColor="accent1" w:themeTint="BF"/>
        </w:tcBorders>
      </w:tcPr>
    </w:tblStylePr>
    <w:tblStylePr w:type="firstCol">
      <w:rPr>
        <w:b/>
        <w:bCs/>
      </w:rPr>
    </w:tblStylePr>
    <w:tblStylePr w:type="lastCol">
      <w:rPr>
        <w:b/>
        <w:bCs/>
      </w:r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MediumGrid1-Accent2">
    <w:name w:val="Medium Grid 1 Accent 2"/>
    <w:basedOn w:val="TableNormal"/>
    <w:uiPriority w:val="67"/>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insideV w:val="single" w:sz="8" w:space="0" w:color="EE9465" w:themeColor="accent2" w:themeTint="BF"/>
      </w:tblBorders>
    </w:tblPr>
    <w:tcPr>
      <w:shd w:val="clear" w:color="auto" w:fill="F9DBCC" w:themeFill="accent2" w:themeFillTint="3F"/>
    </w:tcPr>
    <w:tblStylePr w:type="firstRow">
      <w:rPr>
        <w:b/>
        <w:bCs/>
      </w:rPr>
    </w:tblStylePr>
    <w:tblStylePr w:type="lastRow">
      <w:rPr>
        <w:b/>
        <w:bCs/>
      </w:rPr>
      <w:tblPr/>
      <w:tcPr>
        <w:tcBorders>
          <w:top w:val="single" w:sz="18" w:space="0" w:color="EE9465" w:themeColor="accent2" w:themeTint="BF"/>
        </w:tcBorders>
      </w:tcPr>
    </w:tblStylePr>
    <w:tblStylePr w:type="firstCol">
      <w:rPr>
        <w:b/>
        <w:bCs/>
      </w:rPr>
    </w:tblStylePr>
    <w:tblStylePr w:type="lastCol">
      <w:rPr>
        <w:b/>
        <w:bCs/>
      </w:r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MediumGrid1-Accent3">
    <w:name w:val="Medium Grid 1 Accent 3"/>
    <w:basedOn w:val="TableNormal"/>
    <w:uiPriority w:val="67"/>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insideV w:val="single" w:sz="8" w:space="0" w:color="2BB73D" w:themeColor="accent3" w:themeTint="BF"/>
      </w:tblBorders>
    </w:tblPr>
    <w:tcPr>
      <w:shd w:val="clear" w:color="auto" w:fill="B3EDBA" w:themeFill="accent3" w:themeFillTint="3F"/>
    </w:tcPr>
    <w:tblStylePr w:type="firstRow">
      <w:rPr>
        <w:b/>
        <w:bCs/>
      </w:rPr>
    </w:tblStylePr>
    <w:tblStylePr w:type="lastRow">
      <w:rPr>
        <w:b/>
        <w:bCs/>
      </w:rPr>
      <w:tblPr/>
      <w:tcPr>
        <w:tcBorders>
          <w:top w:val="single" w:sz="18" w:space="0" w:color="2BB73D" w:themeColor="accent3" w:themeTint="BF"/>
        </w:tcBorders>
      </w:tcPr>
    </w:tblStylePr>
    <w:tblStylePr w:type="firstCol">
      <w:rPr>
        <w:b/>
        <w:bCs/>
      </w:rPr>
    </w:tblStylePr>
    <w:tblStylePr w:type="lastCol">
      <w:rPr>
        <w:b/>
        <w:bCs/>
      </w:r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MediumGrid1-Accent4">
    <w:name w:val="Medium Grid 1 Accent 4"/>
    <w:basedOn w:val="TableNormal"/>
    <w:uiPriority w:val="67"/>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insideV w:val="single" w:sz="8" w:space="0" w:color="39BEF1" w:themeColor="accent4" w:themeTint="BF"/>
      </w:tblBorders>
    </w:tblPr>
    <w:tcPr>
      <w:shd w:val="clear" w:color="auto" w:fill="BDE9FA" w:themeFill="accent4" w:themeFillTint="3F"/>
    </w:tcPr>
    <w:tblStylePr w:type="firstRow">
      <w:rPr>
        <w:b/>
        <w:bCs/>
      </w:rPr>
    </w:tblStylePr>
    <w:tblStylePr w:type="lastRow">
      <w:rPr>
        <w:b/>
        <w:bCs/>
      </w:rPr>
      <w:tblPr/>
      <w:tcPr>
        <w:tcBorders>
          <w:top w:val="single" w:sz="18" w:space="0" w:color="39BEF1" w:themeColor="accent4" w:themeTint="BF"/>
        </w:tcBorders>
      </w:tcPr>
    </w:tblStylePr>
    <w:tblStylePr w:type="firstCol">
      <w:rPr>
        <w:b/>
        <w:bCs/>
      </w:rPr>
    </w:tblStylePr>
    <w:tblStylePr w:type="lastCol">
      <w:rPr>
        <w:b/>
        <w:bCs/>
      </w:r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MediumGrid1-Accent5">
    <w:name w:val="Medium Grid 1 Accent 5"/>
    <w:basedOn w:val="TableNormal"/>
    <w:uiPriority w:val="67"/>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insideV w:val="single" w:sz="8" w:space="0" w:color="CE49BF" w:themeColor="accent5" w:themeTint="BF"/>
      </w:tblBorders>
    </w:tblPr>
    <w:tcPr>
      <w:shd w:val="clear" w:color="auto" w:fill="EFC3E9" w:themeFill="accent5" w:themeFillTint="3F"/>
    </w:tcPr>
    <w:tblStylePr w:type="firstRow">
      <w:rPr>
        <w:b/>
        <w:bCs/>
      </w:rPr>
    </w:tblStylePr>
    <w:tblStylePr w:type="lastRow">
      <w:rPr>
        <w:b/>
        <w:bCs/>
      </w:rPr>
      <w:tblPr/>
      <w:tcPr>
        <w:tcBorders>
          <w:top w:val="single" w:sz="18" w:space="0" w:color="CE49BF" w:themeColor="accent5" w:themeTint="BF"/>
        </w:tcBorders>
      </w:tcPr>
    </w:tblStylePr>
    <w:tblStylePr w:type="firstCol">
      <w:rPr>
        <w:b/>
        <w:bCs/>
      </w:rPr>
    </w:tblStylePr>
    <w:tblStylePr w:type="lastCol">
      <w:rPr>
        <w:b/>
        <w:bCs/>
      </w:r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MediumGrid1-Accent6">
    <w:name w:val="Medium Grid 1 Accent 6"/>
    <w:basedOn w:val="TableNormal"/>
    <w:uiPriority w:val="67"/>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insideV w:val="single" w:sz="8" w:space="0" w:color="71CF50" w:themeColor="accent6" w:themeTint="BF"/>
      </w:tblBorders>
    </w:tblPr>
    <w:tcPr>
      <w:shd w:val="clear" w:color="auto" w:fill="D0EFC5" w:themeFill="accent6" w:themeFillTint="3F"/>
    </w:tcPr>
    <w:tblStylePr w:type="firstRow">
      <w:rPr>
        <w:b/>
        <w:bCs/>
      </w:rPr>
    </w:tblStylePr>
    <w:tblStylePr w:type="lastRow">
      <w:rPr>
        <w:b/>
        <w:bCs/>
      </w:rPr>
      <w:tblPr/>
      <w:tcPr>
        <w:tcBorders>
          <w:top w:val="single" w:sz="18" w:space="0" w:color="71CF50" w:themeColor="accent6" w:themeTint="BF"/>
        </w:tcBorders>
      </w:tcPr>
    </w:tblStylePr>
    <w:tblStylePr w:type="firstCol">
      <w:rPr>
        <w:b/>
        <w:bCs/>
      </w:rPr>
    </w:tblStylePr>
    <w:tblStylePr w:type="lastCol">
      <w:rPr>
        <w:b/>
        <w:bCs/>
      </w:r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MediumGrid2">
    <w:name w:val="Medium Grid 2"/>
    <w:basedOn w:val="TableNormal"/>
    <w:uiPriority w:val="68"/>
    <w:rsid w:val="00241ACB"/>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241ACB"/>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cPr>
      <w:shd w:val="clear" w:color="auto" w:fill="B2DEF2" w:themeFill="accent1" w:themeFillTint="3F"/>
    </w:tcPr>
    <w:tblStylePr w:type="firstRow">
      <w:rPr>
        <w:b/>
        <w:bCs/>
        <w:color w:val="000000" w:themeColor="text1"/>
      </w:rPr>
      <w:tblPr/>
      <w:tcPr>
        <w:shd w:val="clear" w:color="auto" w:fill="E0F2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E4F5" w:themeFill="accent1" w:themeFillTint="33"/>
      </w:tcPr>
    </w:tblStylePr>
    <w:tblStylePr w:type="band1Vert">
      <w:tblPr/>
      <w:tcPr>
        <w:shd w:val="clear" w:color="auto" w:fill="64BDE6" w:themeFill="accent1" w:themeFillTint="7F"/>
      </w:tcPr>
    </w:tblStylePr>
    <w:tblStylePr w:type="band1Horz">
      <w:tblPr/>
      <w:tcPr>
        <w:tcBorders>
          <w:insideH w:val="single" w:sz="6" w:space="0" w:color="156082" w:themeColor="accent1"/>
          <w:insideV w:val="single" w:sz="6" w:space="0" w:color="156082" w:themeColor="accent1"/>
        </w:tcBorders>
        <w:shd w:val="clear" w:color="auto" w:fill="64BDE6"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241ACB"/>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cPr>
      <w:shd w:val="clear" w:color="auto" w:fill="F9DBCC" w:themeFill="accent2" w:themeFillTint="3F"/>
    </w:tcPr>
    <w:tblStylePr w:type="firstRow">
      <w:rPr>
        <w:b/>
        <w:bCs/>
        <w:color w:val="000000" w:themeColor="text1"/>
      </w:rPr>
      <w:tblPr/>
      <w:tcPr>
        <w:shd w:val="clear" w:color="auto" w:fill="FCF0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E2D5" w:themeFill="accent2" w:themeFillTint="33"/>
      </w:tcPr>
    </w:tblStylePr>
    <w:tblStylePr w:type="band1Vert">
      <w:tblPr/>
      <w:tcPr>
        <w:shd w:val="clear" w:color="auto" w:fill="F4B798" w:themeFill="accent2" w:themeFillTint="7F"/>
      </w:tcPr>
    </w:tblStylePr>
    <w:tblStylePr w:type="band1Horz">
      <w:tblPr/>
      <w:tcPr>
        <w:tcBorders>
          <w:insideH w:val="single" w:sz="6" w:space="0" w:color="E97132" w:themeColor="accent2"/>
          <w:insideV w:val="single" w:sz="6" w:space="0" w:color="E97132" w:themeColor="accent2"/>
        </w:tcBorders>
        <w:shd w:val="clear" w:color="auto" w:fill="F4B7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241ACB"/>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cPr>
      <w:shd w:val="clear" w:color="auto" w:fill="B3EDBA" w:themeFill="accent3" w:themeFillTint="3F"/>
    </w:tcPr>
    <w:tblStylePr w:type="firstRow">
      <w:rPr>
        <w:b/>
        <w:bCs/>
        <w:color w:val="000000" w:themeColor="text1"/>
      </w:rPr>
      <w:tblPr/>
      <w:tcPr>
        <w:shd w:val="clear" w:color="auto" w:fill="E0F8E3"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F0C7" w:themeFill="accent3" w:themeFillTint="33"/>
      </w:tcPr>
    </w:tblStylePr>
    <w:tblStylePr w:type="band1Vert">
      <w:tblPr/>
      <w:tcPr>
        <w:shd w:val="clear" w:color="auto" w:fill="66DB75" w:themeFill="accent3" w:themeFillTint="7F"/>
      </w:tcPr>
    </w:tblStylePr>
    <w:tblStylePr w:type="band1Horz">
      <w:tblPr/>
      <w:tcPr>
        <w:tcBorders>
          <w:insideH w:val="single" w:sz="6" w:space="0" w:color="196B24" w:themeColor="accent3"/>
          <w:insideV w:val="single" w:sz="6" w:space="0" w:color="196B24" w:themeColor="accent3"/>
        </w:tcBorders>
        <w:shd w:val="clear" w:color="auto" w:fill="66DB75"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241ACB"/>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cPr>
      <w:shd w:val="clear" w:color="auto" w:fill="BDE9FA" w:themeFill="accent4" w:themeFillTint="3F"/>
    </w:tcPr>
    <w:tblStylePr w:type="firstRow">
      <w:rPr>
        <w:b/>
        <w:bCs/>
        <w:color w:val="000000" w:themeColor="text1"/>
      </w:rPr>
      <w:tblPr/>
      <w:tcPr>
        <w:shd w:val="clear" w:color="auto" w:fill="E5F6F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EDFB" w:themeFill="accent4" w:themeFillTint="33"/>
      </w:tcPr>
    </w:tblStylePr>
    <w:tblStylePr w:type="band1Vert">
      <w:tblPr/>
      <w:tcPr>
        <w:shd w:val="clear" w:color="auto" w:fill="7BD3F5" w:themeFill="accent4" w:themeFillTint="7F"/>
      </w:tcPr>
    </w:tblStylePr>
    <w:tblStylePr w:type="band1Horz">
      <w:tblPr/>
      <w:tcPr>
        <w:tcBorders>
          <w:insideH w:val="single" w:sz="6" w:space="0" w:color="0F9ED5" w:themeColor="accent4"/>
          <w:insideV w:val="single" w:sz="6" w:space="0" w:color="0F9ED5" w:themeColor="accent4"/>
        </w:tcBorders>
        <w:shd w:val="clear" w:color="auto" w:fill="7BD3F5"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241ACB"/>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cPr>
      <w:shd w:val="clear" w:color="auto" w:fill="EFC3E9" w:themeFill="accent5" w:themeFillTint="3F"/>
    </w:tcPr>
    <w:tblStylePr w:type="firstRow">
      <w:rPr>
        <w:b/>
        <w:bCs/>
        <w:color w:val="000000" w:themeColor="text1"/>
      </w:rPr>
      <w:tblPr/>
      <w:tcPr>
        <w:shd w:val="clear" w:color="auto" w:fill="F8E7F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EED" w:themeFill="accent5" w:themeFillTint="33"/>
      </w:tcPr>
    </w:tblStylePr>
    <w:tblStylePr w:type="band1Vert">
      <w:tblPr/>
      <w:tcPr>
        <w:shd w:val="clear" w:color="auto" w:fill="DE86D4" w:themeFill="accent5" w:themeFillTint="7F"/>
      </w:tcPr>
    </w:tblStylePr>
    <w:tblStylePr w:type="band1Horz">
      <w:tblPr/>
      <w:tcPr>
        <w:tcBorders>
          <w:insideH w:val="single" w:sz="6" w:space="0" w:color="A02B93" w:themeColor="accent5"/>
          <w:insideV w:val="single" w:sz="6" w:space="0" w:color="A02B93" w:themeColor="accent5"/>
        </w:tcBorders>
        <w:shd w:val="clear" w:color="auto" w:fill="DE86D4"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241ACB"/>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cPr>
      <w:shd w:val="clear" w:color="auto" w:fill="D0EFC5" w:themeFill="accent6" w:themeFillTint="3F"/>
    </w:tcPr>
    <w:tblStylePr w:type="firstRow">
      <w:rPr>
        <w:b/>
        <w:bCs/>
        <w:color w:val="000000" w:themeColor="text1"/>
      </w:rPr>
      <w:tblPr/>
      <w:tcPr>
        <w:shd w:val="clear" w:color="auto" w:fill="ECF8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F2D0" w:themeFill="accent6" w:themeFillTint="33"/>
      </w:tcPr>
    </w:tblStylePr>
    <w:tblStylePr w:type="band1Vert">
      <w:tblPr/>
      <w:tcPr>
        <w:shd w:val="clear" w:color="auto" w:fill="A0DF8A" w:themeFill="accent6" w:themeFillTint="7F"/>
      </w:tcPr>
    </w:tblStylePr>
    <w:tblStylePr w:type="band1Horz">
      <w:tblPr/>
      <w:tcPr>
        <w:tcBorders>
          <w:insideH w:val="single" w:sz="6" w:space="0" w:color="4EA72E" w:themeColor="accent6"/>
          <w:insideV w:val="single" w:sz="6" w:space="0" w:color="4EA72E" w:themeColor="accent6"/>
        </w:tcBorders>
        <w:shd w:val="clear" w:color="auto" w:fill="A0DF8A"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DEF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5608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5608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4BDE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4BDE6" w:themeFill="accent1" w:themeFillTint="7F"/>
      </w:tcPr>
    </w:tblStylePr>
  </w:style>
  <w:style w:type="table" w:styleId="MediumGrid3-Accent2">
    <w:name w:val="Medium Grid 3 Accent 2"/>
    <w:basedOn w:val="TableNormal"/>
    <w:uiPriority w:val="69"/>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B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9713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9713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B7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B798" w:themeFill="accent2" w:themeFillTint="7F"/>
      </w:tcPr>
    </w:tblStylePr>
  </w:style>
  <w:style w:type="table" w:styleId="MediumGrid3-Accent3">
    <w:name w:val="Medium Grid 3 Accent 3"/>
    <w:basedOn w:val="TableNormal"/>
    <w:uiPriority w:val="69"/>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EDB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96B2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96B2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6DB7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6DB75" w:themeFill="accent3" w:themeFillTint="7F"/>
      </w:tcPr>
    </w:tblStylePr>
  </w:style>
  <w:style w:type="table" w:styleId="MediumGrid3-Accent4">
    <w:name w:val="Medium Grid 3 Accent 4"/>
    <w:basedOn w:val="TableNormal"/>
    <w:uiPriority w:val="69"/>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DE9F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F9ED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F9ED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BD3F5"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BD3F5" w:themeFill="accent4" w:themeFillTint="7F"/>
      </w:tcPr>
    </w:tblStylePr>
  </w:style>
  <w:style w:type="table" w:styleId="MediumGrid3-Accent5">
    <w:name w:val="Medium Grid 3 Accent 5"/>
    <w:basedOn w:val="TableNormal"/>
    <w:uiPriority w:val="69"/>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3E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02B9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02B9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E86D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E86D4" w:themeFill="accent5" w:themeFillTint="7F"/>
      </w:tcPr>
    </w:tblStylePr>
  </w:style>
  <w:style w:type="table" w:styleId="MediumGrid3-Accent6">
    <w:name w:val="Medium Grid 3 Accent 6"/>
    <w:basedOn w:val="TableNormal"/>
    <w:uiPriority w:val="69"/>
    <w:rsid w:val="00241ACB"/>
    <w:pPr>
      <w:spacing w:after="0" w:line="240" w:lineRule="auto"/>
    </w:pPr>
    <w:rPr>
      <w:rFonts w:eastAsiaTheme="minorEastAsia"/>
      <w:kern w:val="0"/>
      <w:sz w:val="22"/>
      <w:szCs w:val="22"/>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EFC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EA72E"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EA72E"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DF8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0DF8A" w:themeFill="accent6" w:themeFillTint="7F"/>
      </w:tcPr>
    </w:tblStylePr>
  </w:style>
  <w:style w:type="table" w:styleId="DarkList">
    <w:name w:val="Dark List"/>
    <w:basedOn w:val="TableNormal"/>
    <w:uiPriority w:val="70"/>
    <w:rsid w:val="00241ACB"/>
    <w:pPr>
      <w:spacing w:after="0" w:line="240" w:lineRule="auto"/>
    </w:pPr>
    <w:rPr>
      <w:rFonts w:eastAsiaTheme="minorEastAsia"/>
      <w:color w:val="FFFFFF" w:themeColor="background1"/>
      <w:kern w:val="0"/>
      <w:sz w:val="22"/>
      <w:szCs w:val="22"/>
      <w14:ligatures w14:val="non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241ACB"/>
    <w:pPr>
      <w:spacing w:after="0" w:line="240" w:lineRule="auto"/>
    </w:pPr>
    <w:rPr>
      <w:rFonts w:eastAsiaTheme="minorEastAsia"/>
      <w:color w:val="FFFFFF" w:themeColor="background1"/>
      <w:kern w:val="0"/>
      <w:sz w:val="22"/>
      <w:szCs w:val="22"/>
      <w14:ligatures w14:val="none"/>
    </w:rPr>
    <w:tblPr>
      <w:tblStyleRowBandSize w:val="1"/>
      <w:tblStyleColBandSize w:val="1"/>
    </w:tblPr>
    <w:tcPr>
      <w:shd w:val="clear" w:color="auto" w:fill="15608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A2F4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F476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F4761" w:themeFill="accent1" w:themeFillShade="BF"/>
      </w:tcPr>
    </w:tblStylePr>
    <w:tblStylePr w:type="band1Vert">
      <w:tblPr/>
      <w:tcPr>
        <w:tcBorders>
          <w:top w:val="nil"/>
          <w:left w:val="nil"/>
          <w:bottom w:val="nil"/>
          <w:right w:val="nil"/>
          <w:insideH w:val="nil"/>
          <w:insideV w:val="nil"/>
        </w:tcBorders>
        <w:shd w:val="clear" w:color="auto" w:fill="0F4761" w:themeFill="accent1" w:themeFillShade="BF"/>
      </w:tcPr>
    </w:tblStylePr>
    <w:tblStylePr w:type="band1Horz">
      <w:tblPr/>
      <w:tcPr>
        <w:tcBorders>
          <w:top w:val="nil"/>
          <w:left w:val="nil"/>
          <w:bottom w:val="nil"/>
          <w:right w:val="nil"/>
          <w:insideH w:val="nil"/>
          <w:insideV w:val="nil"/>
        </w:tcBorders>
        <w:shd w:val="clear" w:color="auto" w:fill="0F4761" w:themeFill="accent1" w:themeFillShade="BF"/>
      </w:tcPr>
    </w:tblStylePr>
  </w:style>
  <w:style w:type="table" w:styleId="DarkList-Accent2">
    <w:name w:val="Dark List Accent 2"/>
    <w:basedOn w:val="TableNormal"/>
    <w:uiPriority w:val="70"/>
    <w:rsid w:val="00241ACB"/>
    <w:pPr>
      <w:spacing w:after="0" w:line="240" w:lineRule="auto"/>
    </w:pPr>
    <w:rPr>
      <w:rFonts w:eastAsiaTheme="minorEastAsia"/>
      <w:color w:val="FFFFFF" w:themeColor="background1"/>
      <w:kern w:val="0"/>
      <w:sz w:val="22"/>
      <w:szCs w:val="22"/>
      <w14:ligatures w14:val="none"/>
    </w:rPr>
    <w:tblPr>
      <w:tblStyleRowBandSize w:val="1"/>
      <w:tblStyleColBandSize w:val="1"/>
    </w:tblPr>
    <w:tcPr>
      <w:shd w:val="clear" w:color="auto" w:fill="E9713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340D"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BF4E1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BF4E14" w:themeFill="accent2" w:themeFillShade="BF"/>
      </w:tcPr>
    </w:tblStylePr>
    <w:tblStylePr w:type="band1Vert">
      <w:tblPr/>
      <w:tcPr>
        <w:tcBorders>
          <w:top w:val="nil"/>
          <w:left w:val="nil"/>
          <w:bottom w:val="nil"/>
          <w:right w:val="nil"/>
          <w:insideH w:val="nil"/>
          <w:insideV w:val="nil"/>
        </w:tcBorders>
        <w:shd w:val="clear" w:color="auto" w:fill="BF4E14" w:themeFill="accent2" w:themeFillShade="BF"/>
      </w:tcPr>
    </w:tblStylePr>
    <w:tblStylePr w:type="band1Horz">
      <w:tblPr/>
      <w:tcPr>
        <w:tcBorders>
          <w:top w:val="nil"/>
          <w:left w:val="nil"/>
          <w:bottom w:val="nil"/>
          <w:right w:val="nil"/>
          <w:insideH w:val="nil"/>
          <w:insideV w:val="nil"/>
        </w:tcBorders>
        <w:shd w:val="clear" w:color="auto" w:fill="BF4E14" w:themeFill="accent2" w:themeFillShade="BF"/>
      </w:tcPr>
    </w:tblStylePr>
  </w:style>
  <w:style w:type="table" w:styleId="DarkList-Accent3">
    <w:name w:val="Dark List Accent 3"/>
    <w:basedOn w:val="TableNormal"/>
    <w:uiPriority w:val="70"/>
    <w:rsid w:val="00241ACB"/>
    <w:pPr>
      <w:spacing w:after="0" w:line="240" w:lineRule="auto"/>
    </w:pPr>
    <w:rPr>
      <w:rFonts w:eastAsiaTheme="minorEastAsia"/>
      <w:color w:val="FFFFFF" w:themeColor="background1"/>
      <w:kern w:val="0"/>
      <w:sz w:val="22"/>
      <w:szCs w:val="22"/>
      <w14:ligatures w14:val="none"/>
    </w:rPr>
    <w:tblPr>
      <w:tblStyleRowBandSize w:val="1"/>
      <w:tblStyleColBandSize w:val="1"/>
    </w:tblPr>
    <w:tcPr>
      <w:shd w:val="clear" w:color="auto" w:fill="196B2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C35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24F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24F1A" w:themeFill="accent3" w:themeFillShade="BF"/>
      </w:tcPr>
    </w:tblStylePr>
    <w:tblStylePr w:type="band1Vert">
      <w:tblPr/>
      <w:tcPr>
        <w:tcBorders>
          <w:top w:val="nil"/>
          <w:left w:val="nil"/>
          <w:bottom w:val="nil"/>
          <w:right w:val="nil"/>
          <w:insideH w:val="nil"/>
          <w:insideV w:val="nil"/>
        </w:tcBorders>
        <w:shd w:val="clear" w:color="auto" w:fill="124F1A" w:themeFill="accent3" w:themeFillShade="BF"/>
      </w:tcPr>
    </w:tblStylePr>
    <w:tblStylePr w:type="band1Horz">
      <w:tblPr/>
      <w:tcPr>
        <w:tcBorders>
          <w:top w:val="nil"/>
          <w:left w:val="nil"/>
          <w:bottom w:val="nil"/>
          <w:right w:val="nil"/>
          <w:insideH w:val="nil"/>
          <w:insideV w:val="nil"/>
        </w:tcBorders>
        <w:shd w:val="clear" w:color="auto" w:fill="124F1A" w:themeFill="accent3" w:themeFillShade="BF"/>
      </w:tcPr>
    </w:tblStylePr>
  </w:style>
  <w:style w:type="table" w:styleId="DarkList-Accent4">
    <w:name w:val="Dark List Accent 4"/>
    <w:basedOn w:val="TableNormal"/>
    <w:uiPriority w:val="70"/>
    <w:rsid w:val="00241ACB"/>
    <w:pPr>
      <w:spacing w:after="0" w:line="240" w:lineRule="auto"/>
    </w:pPr>
    <w:rPr>
      <w:rFonts w:eastAsiaTheme="minorEastAsia"/>
      <w:color w:val="FFFFFF" w:themeColor="background1"/>
      <w:kern w:val="0"/>
      <w:sz w:val="22"/>
      <w:szCs w:val="22"/>
      <w14:ligatures w14:val="none"/>
    </w:rPr>
    <w:tblPr>
      <w:tblStyleRowBandSize w:val="1"/>
      <w:tblStyleColBandSize w:val="1"/>
    </w:tblPr>
    <w:tcPr>
      <w:shd w:val="clear" w:color="auto" w:fill="0F9ED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74E6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B769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B769F" w:themeFill="accent4" w:themeFillShade="BF"/>
      </w:tcPr>
    </w:tblStylePr>
    <w:tblStylePr w:type="band1Vert">
      <w:tblPr/>
      <w:tcPr>
        <w:tcBorders>
          <w:top w:val="nil"/>
          <w:left w:val="nil"/>
          <w:bottom w:val="nil"/>
          <w:right w:val="nil"/>
          <w:insideH w:val="nil"/>
          <w:insideV w:val="nil"/>
        </w:tcBorders>
        <w:shd w:val="clear" w:color="auto" w:fill="0B769F" w:themeFill="accent4" w:themeFillShade="BF"/>
      </w:tcPr>
    </w:tblStylePr>
    <w:tblStylePr w:type="band1Horz">
      <w:tblPr/>
      <w:tcPr>
        <w:tcBorders>
          <w:top w:val="nil"/>
          <w:left w:val="nil"/>
          <w:bottom w:val="nil"/>
          <w:right w:val="nil"/>
          <w:insideH w:val="nil"/>
          <w:insideV w:val="nil"/>
        </w:tcBorders>
        <w:shd w:val="clear" w:color="auto" w:fill="0B769F" w:themeFill="accent4" w:themeFillShade="BF"/>
      </w:tcPr>
    </w:tblStylePr>
  </w:style>
  <w:style w:type="table" w:styleId="DarkList-Accent5">
    <w:name w:val="Dark List Accent 5"/>
    <w:basedOn w:val="TableNormal"/>
    <w:uiPriority w:val="70"/>
    <w:rsid w:val="00241ACB"/>
    <w:pPr>
      <w:spacing w:after="0" w:line="240" w:lineRule="auto"/>
    </w:pPr>
    <w:rPr>
      <w:rFonts w:eastAsiaTheme="minorEastAsia"/>
      <w:color w:val="FFFFFF" w:themeColor="background1"/>
      <w:kern w:val="0"/>
      <w:sz w:val="22"/>
      <w:szCs w:val="22"/>
      <w14:ligatures w14:val="none"/>
    </w:rPr>
    <w:tblPr>
      <w:tblStyleRowBandSize w:val="1"/>
      <w:tblStyleColBandSize w:val="1"/>
    </w:tblPr>
    <w:tcPr>
      <w:shd w:val="clear" w:color="auto" w:fill="A02B9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154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77206D"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77206D" w:themeFill="accent5" w:themeFillShade="BF"/>
      </w:tcPr>
    </w:tblStylePr>
    <w:tblStylePr w:type="band1Vert">
      <w:tblPr/>
      <w:tcPr>
        <w:tcBorders>
          <w:top w:val="nil"/>
          <w:left w:val="nil"/>
          <w:bottom w:val="nil"/>
          <w:right w:val="nil"/>
          <w:insideH w:val="nil"/>
          <w:insideV w:val="nil"/>
        </w:tcBorders>
        <w:shd w:val="clear" w:color="auto" w:fill="77206D" w:themeFill="accent5" w:themeFillShade="BF"/>
      </w:tcPr>
    </w:tblStylePr>
    <w:tblStylePr w:type="band1Horz">
      <w:tblPr/>
      <w:tcPr>
        <w:tcBorders>
          <w:top w:val="nil"/>
          <w:left w:val="nil"/>
          <w:bottom w:val="nil"/>
          <w:right w:val="nil"/>
          <w:insideH w:val="nil"/>
          <w:insideV w:val="nil"/>
        </w:tcBorders>
        <w:shd w:val="clear" w:color="auto" w:fill="77206D" w:themeFill="accent5" w:themeFillShade="BF"/>
      </w:tcPr>
    </w:tblStylePr>
  </w:style>
  <w:style w:type="table" w:styleId="DarkList-Accent6">
    <w:name w:val="Dark List Accent 6"/>
    <w:basedOn w:val="TableNormal"/>
    <w:uiPriority w:val="70"/>
    <w:rsid w:val="00241ACB"/>
    <w:pPr>
      <w:spacing w:after="0" w:line="240" w:lineRule="auto"/>
    </w:pPr>
    <w:rPr>
      <w:rFonts w:eastAsiaTheme="minorEastAsia"/>
      <w:color w:val="FFFFFF" w:themeColor="background1"/>
      <w:kern w:val="0"/>
      <w:sz w:val="22"/>
      <w:szCs w:val="22"/>
      <w14:ligatures w14:val="none"/>
    </w:rPr>
    <w:tblPr>
      <w:tblStyleRowBandSize w:val="1"/>
      <w:tblStyleColBandSize w:val="1"/>
    </w:tblPr>
    <w:tcPr>
      <w:shd w:val="clear" w:color="auto" w:fill="4EA72E"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531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A7C2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A7C22" w:themeFill="accent6" w:themeFillShade="BF"/>
      </w:tcPr>
    </w:tblStylePr>
    <w:tblStylePr w:type="band1Vert">
      <w:tblPr/>
      <w:tcPr>
        <w:tcBorders>
          <w:top w:val="nil"/>
          <w:left w:val="nil"/>
          <w:bottom w:val="nil"/>
          <w:right w:val="nil"/>
          <w:insideH w:val="nil"/>
          <w:insideV w:val="nil"/>
        </w:tcBorders>
        <w:shd w:val="clear" w:color="auto" w:fill="3A7C22" w:themeFill="accent6" w:themeFillShade="BF"/>
      </w:tcPr>
    </w:tblStylePr>
    <w:tblStylePr w:type="band1Horz">
      <w:tblPr/>
      <w:tcPr>
        <w:tcBorders>
          <w:top w:val="nil"/>
          <w:left w:val="nil"/>
          <w:bottom w:val="nil"/>
          <w:right w:val="nil"/>
          <w:insideH w:val="nil"/>
          <w:insideV w:val="nil"/>
        </w:tcBorders>
        <w:shd w:val="clear" w:color="auto" w:fill="3A7C22" w:themeFill="accent6" w:themeFillShade="BF"/>
      </w:tcPr>
    </w:tblStylePr>
  </w:style>
  <w:style w:type="table" w:styleId="ColorfulShading">
    <w:name w:val="Colorful Shading"/>
    <w:basedOn w:val="TableNormal"/>
    <w:uiPriority w:val="71"/>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24" w:space="0" w:color="E9713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24" w:space="0" w:color="E97132" w:themeColor="accent2"/>
        <w:left w:val="single" w:sz="4" w:space="0" w:color="156082" w:themeColor="accent1"/>
        <w:bottom w:val="single" w:sz="4" w:space="0" w:color="156082" w:themeColor="accent1"/>
        <w:right w:val="single" w:sz="4" w:space="0" w:color="156082" w:themeColor="accent1"/>
        <w:insideH w:val="single" w:sz="4" w:space="0" w:color="FFFFFF" w:themeColor="background1"/>
        <w:insideV w:val="single" w:sz="4" w:space="0" w:color="FFFFFF" w:themeColor="background1"/>
      </w:tblBorders>
    </w:tblPr>
    <w:tcPr>
      <w:shd w:val="clear" w:color="auto" w:fill="E0F2FA" w:themeFill="accen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394D" w:themeFill="accent1" w:themeFillShade="99"/>
      </w:tcPr>
    </w:tblStylePr>
    <w:tblStylePr w:type="firstCol">
      <w:rPr>
        <w:color w:val="FFFFFF" w:themeColor="background1"/>
      </w:rPr>
      <w:tblPr/>
      <w:tcPr>
        <w:tcBorders>
          <w:top w:val="nil"/>
          <w:left w:val="nil"/>
          <w:bottom w:val="nil"/>
          <w:right w:val="nil"/>
          <w:insideH w:val="single" w:sz="4" w:space="0" w:color="0C394D" w:themeColor="accent1" w:themeShade="99"/>
          <w:insideV w:val="nil"/>
        </w:tcBorders>
        <w:shd w:val="clear" w:color="auto" w:fill="0C394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394D" w:themeFill="accent1" w:themeFillShade="99"/>
      </w:tcPr>
    </w:tblStylePr>
    <w:tblStylePr w:type="band1Vert">
      <w:tblPr/>
      <w:tcPr>
        <w:shd w:val="clear" w:color="auto" w:fill="83CAEB" w:themeFill="accent1" w:themeFillTint="66"/>
      </w:tcPr>
    </w:tblStylePr>
    <w:tblStylePr w:type="band1Horz">
      <w:tblPr/>
      <w:tcPr>
        <w:shd w:val="clear" w:color="auto" w:fill="64BDE6"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24" w:space="0" w:color="E97132" w:themeColor="accent2"/>
        <w:left w:val="single" w:sz="4" w:space="0" w:color="E97132" w:themeColor="accent2"/>
        <w:bottom w:val="single" w:sz="4" w:space="0" w:color="E97132" w:themeColor="accent2"/>
        <w:right w:val="single" w:sz="4" w:space="0" w:color="E97132" w:themeColor="accent2"/>
        <w:insideH w:val="single" w:sz="4" w:space="0" w:color="FFFFFF" w:themeColor="background1"/>
        <w:insideV w:val="single" w:sz="4" w:space="0" w:color="FFFFFF" w:themeColor="background1"/>
      </w:tblBorders>
    </w:tblPr>
    <w:tcPr>
      <w:shd w:val="clear" w:color="auto" w:fill="FCF0EA" w:themeFill="accent2"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3F10" w:themeFill="accent2" w:themeFillShade="99"/>
      </w:tcPr>
    </w:tblStylePr>
    <w:tblStylePr w:type="firstCol">
      <w:rPr>
        <w:color w:val="FFFFFF" w:themeColor="background1"/>
      </w:rPr>
      <w:tblPr/>
      <w:tcPr>
        <w:tcBorders>
          <w:top w:val="nil"/>
          <w:left w:val="nil"/>
          <w:bottom w:val="nil"/>
          <w:right w:val="nil"/>
          <w:insideH w:val="single" w:sz="4" w:space="0" w:color="993F10" w:themeColor="accent2" w:themeShade="99"/>
          <w:insideV w:val="nil"/>
        </w:tcBorders>
        <w:shd w:val="clear" w:color="auto" w:fill="993F1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93F10" w:themeFill="accent2" w:themeFillShade="99"/>
      </w:tcPr>
    </w:tblStylePr>
    <w:tblStylePr w:type="band1Vert">
      <w:tblPr/>
      <w:tcPr>
        <w:shd w:val="clear" w:color="auto" w:fill="F6C5AC" w:themeFill="accent2" w:themeFillTint="66"/>
      </w:tcPr>
    </w:tblStylePr>
    <w:tblStylePr w:type="band1Horz">
      <w:tblPr/>
      <w:tcPr>
        <w:shd w:val="clear" w:color="auto" w:fill="F4B7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24" w:space="0" w:color="0F9ED5" w:themeColor="accent4"/>
        <w:left w:val="single" w:sz="4" w:space="0" w:color="196B24" w:themeColor="accent3"/>
        <w:bottom w:val="single" w:sz="4" w:space="0" w:color="196B24" w:themeColor="accent3"/>
        <w:right w:val="single" w:sz="4" w:space="0" w:color="196B24" w:themeColor="accent3"/>
        <w:insideH w:val="single" w:sz="4" w:space="0" w:color="FFFFFF" w:themeColor="background1"/>
        <w:insideV w:val="single" w:sz="4" w:space="0" w:color="FFFFFF" w:themeColor="background1"/>
      </w:tblBorders>
    </w:tblPr>
    <w:tcPr>
      <w:shd w:val="clear" w:color="auto" w:fill="E0F8E3" w:themeFill="accent3" w:themeFillTint="19"/>
    </w:tcPr>
    <w:tblStylePr w:type="firstRow">
      <w:rPr>
        <w:b/>
        <w:bCs/>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F4015" w:themeFill="accent3" w:themeFillShade="99"/>
      </w:tcPr>
    </w:tblStylePr>
    <w:tblStylePr w:type="firstCol">
      <w:rPr>
        <w:color w:val="FFFFFF" w:themeColor="background1"/>
      </w:rPr>
      <w:tblPr/>
      <w:tcPr>
        <w:tcBorders>
          <w:top w:val="nil"/>
          <w:left w:val="nil"/>
          <w:bottom w:val="nil"/>
          <w:right w:val="nil"/>
          <w:insideH w:val="single" w:sz="4" w:space="0" w:color="0F4015" w:themeColor="accent3" w:themeShade="99"/>
          <w:insideV w:val="nil"/>
        </w:tcBorders>
        <w:shd w:val="clear" w:color="auto" w:fill="0F40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F4015" w:themeFill="accent3" w:themeFillShade="99"/>
      </w:tcPr>
    </w:tblStylePr>
    <w:tblStylePr w:type="band1Vert">
      <w:tblPr/>
      <w:tcPr>
        <w:shd w:val="clear" w:color="auto" w:fill="84E290" w:themeFill="accent3" w:themeFillTint="66"/>
      </w:tcPr>
    </w:tblStylePr>
    <w:tblStylePr w:type="band1Horz">
      <w:tblPr/>
      <w:tcPr>
        <w:shd w:val="clear" w:color="auto" w:fill="66DB75" w:themeFill="accent3" w:themeFillTint="7F"/>
      </w:tcPr>
    </w:tblStylePr>
  </w:style>
  <w:style w:type="table" w:styleId="ColorfulShading-Accent4">
    <w:name w:val="Colorful Shading Accent 4"/>
    <w:basedOn w:val="TableNormal"/>
    <w:uiPriority w:val="71"/>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24" w:space="0" w:color="196B24" w:themeColor="accent3"/>
        <w:left w:val="single" w:sz="4" w:space="0" w:color="0F9ED5" w:themeColor="accent4"/>
        <w:bottom w:val="single" w:sz="4" w:space="0" w:color="0F9ED5" w:themeColor="accent4"/>
        <w:right w:val="single" w:sz="4" w:space="0" w:color="0F9ED5" w:themeColor="accent4"/>
        <w:insideH w:val="single" w:sz="4" w:space="0" w:color="FFFFFF" w:themeColor="background1"/>
        <w:insideV w:val="single" w:sz="4" w:space="0" w:color="FFFFFF" w:themeColor="background1"/>
      </w:tblBorders>
    </w:tblPr>
    <w:tcPr>
      <w:shd w:val="clear" w:color="auto" w:fill="E5F6FD" w:themeFill="accent4" w:themeFillTint="19"/>
    </w:tcPr>
    <w:tblStylePr w:type="firstRow">
      <w:rPr>
        <w:b/>
        <w:bCs/>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5E7F" w:themeFill="accent4" w:themeFillShade="99"/>
      </w:tcPr>
    </w:tblStylePr>
    <w:tblStylePr w:type="firstCol">
      <w:rPr>
        <w:color w:val="FFFFFF" w:themeColor="background1"/>
      </w:rPr>
      <w:tblPr/>
      <w:tcPr>
        <w:tcBorders>
          <w:top w:val="nil"/>
          <w:left w:val="nil"/>
          <w:bottom w:val="nil"/>
          <w:right w:val="nil"/>
          <w:insideH w:val="single" w:sz="4" w:space="0" w:color="095E7F" w:themeColor="accent4" w:themeShade="99"/>
          <w:insideV w:val="nil"/>
        </w:tcBorders>
        <w:shd w:val="clear" w:color="auto" w:fill="095E7F"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95E7F" w:themeFill="accent4" w:themeFillShade="99"/>
      </w:tcPr>
    </w:tblStylePr>
    <w:tblStylePr w:type="band1Vert">
      <w:tblPr/>
      <w:tcPr>
        <w:shd w:val="clear" w:color="auto" w:fill="95DCF7" w:themeFill="accent4" w:themeFillTint="66"/>
      </w:tcPr>
    </w:tblStylePr>
    <w:tblStylePr w:type="band1Horz">
      <w:tblPr/>
      <w:tcPr>
        <w:shd w:val="clear" w:color="auto" w:fill="7BD3F5"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24" w:space="0" w:color="4EA72E" w:themeColor="accent6"/>
        <w:left w:val="single" w:sz="4" w:space="0" w:color="A02B93" w:themeColor="accent5"/>
        <w:bottom w:val="single" w:sz="4" w:space="0" w:color="A02B93" w:themeColor="accent5"/>
        <w:right w:val="single" w:sz="4" w:space="0" w:color="A02B93" w:themeColor="accent5"/>
        <w:insideH w:val="single" w:sz="4" w:space="0" w:color="FFFFFF" w:themeColor="background1"/>
        <w:insideV w:val="single" w:sz="4" w:space="0" w:color="FFFFFF" w:themeColor="background1"/>
      </w:tblBorders>
    </w:tblPr>
    <w:tcPr>
      <w:shd w:val="clear" w:color="auto" w:fill="F8E7F6" w:themeFill="accent5" w:themeFillTint="19"/>
    </w:tcPr>
    <w:tblStylePr w:type="firstRow">
      <w:rPr>
        <w:b/>
        <w:bCs/>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1957" w:themeFill="accent5" w:themeFillShade="99"/>
      </w:tcPr>
    </w:tblStylePr>
    <w:tblStylePr w:type="firstCol">
      <w:rPr>
        <w:color w:val="FFFFFF" w:themeColor="background1"/>
      </w:rPr>
      <w:tblPr/>
      <w:tcPr>
        <w:tcBorders>
          <w:top w:val="nil"/>
          <w:left w:val="nil"/>
          <w:bottom w:val="nil"/>
          <w:right w:val="nil"/>
          <w:insideH w:val="single" w:sz="4" w:space="0" w:color="5F1957" w:themeColor="accent5" w:themeShade="99"/>
          <w:insideV w:val="nil"/>
        </w:tcBorders>
        <w:shd w:val="clear" w:color="auto" w:fill="5F195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F1957" w:themeFill="accent5" w:themeFillShade="99"/>
      </w:tcPr>
    </w:tblStylePr>
    <w:tblStylePr w:type="band1Vert">
      <w:tblPr/>
      <w:tcPr>
        <w:shd w:val="clear" w:color="auto" w:fill="E59EDC" w:themeFill="accent5" w:themeFillTint="66"/>
      </w:tcPr>
    </w:tblStylePr>
    <w:tblStylePr w:type="band1Horz">
      <w:tblPr/>
      <w:tcPr>
        <w:shd w:val="clear" w:color="auto" w:fill="DE86D4"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24" w:space="0" w:color="A02B93" w:themeColor="accent5"/>
        <w:left w:val="single" w:sz="4" w:space="0" w:color="4EA72E" w:themeColor="accent6"/>
        <w:bottom w:val="single" w:sz="4" w:space="0" w:color="4EA72E" w:themeColor="accent6"/>
        <w:right w:val="single" w:sz="4" w:space="0" w:color="4EA72E" w:themeColor="accent6"/>
        <w:insideH w:val="single" w:sz="4" w:space="0" w:color="FFFFFF" w:themeColor="background1"/>
        <w:insideV w:val="single" w:sz="4" w:space="0" w:color="FFFFFF" w:themeColor="background1"/>
      </w:tblBorders>
    </w:tblPr>
    <w:tcPr>
      <w:shd w:val="clear" w:color="auto" w:fill="ECF8E8" w:themeFill="accent6" w:themeFillTint="19"/>
    </w:tcPr>
    <w:tblStylePr w:type="firstRow">
      <w:rPr>
        <w:b/>
        <w:bCs/>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641B" w:themeFill="accent6" w:themeFillShade="99"/>
      </w:tcPr>
    </w:tblStylePr>
    <w:tblStylePr w:type="firstCol">
      <w:rPr>
        <w:color w:val="FFFFFF" w:themeColor="background1"/>
      </w:rPr>
      <w:tblPr/>
      <w:tcPr>
        <w:tcBorders>
          <w:top w:val="nil"/>
          <w:left w:val="nil"/>
          <w:bottom w:val="nil"/>
          <w:right w:val="nil"/>
          <w:insideH w:val="single" w:sz="4" w:space="0" w:color="2E641B" w:themeColor="accent6" w:themeShade="99"/>
          <w:insideV w:val="nil"/>
        </w:tcBorders>
        <w:shd w:val="clear" w:color="auto" w:fill="2E64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641B" w:themeFill="accent6" w:themeFillShade="99"/>
      </w:tcPr>
    </w:tblStylePr>
    <w:tblStylePr w:type="band1Vert">
      <w:tblPr/>
      <w:tcPr>
        <w:shd w:val="clear" w:color="auto" w:fill="B3E5A1" w:themeFill="accent6" w:themeFillTint="66"/>
      </w:tcPr>
    </w:tblStylePr>
    <w:tblStylePr w:type="band1Horz">
      <w:tblPr/>
      <w:tcPr>
        <w:shd w:val="clear" w:color="auto" w:fill="A0DF8A"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241ACB"/>
    <w:pPr>
      <w:spacing w:after="0" w:line="240" w:lineRule="auto"/>
    </w:pPr>
    <w:rPr>
      <w:rFonts w:eastAsiaTheme="minorEastAsia"/>
      <w:color w:val="000000" w:themeColor="text1"/>
      <w:kern w:val="0"/>
      <w:sz w:val="22"/>
      <w:szCs w:val="22"/>
      <w14:ligatures w14:val="non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241ACB"/>
    <w:pPr>
      <w:spacing w:after="0" w:line="240" w:lineRule="auto"/>
    </w:pPr>
    <w:rPr>
      <w:rFonts w:eastAsiaTheme="minorEastAsia"/>
      <w:color w:val="000000" w:themeColor="text1"/>
      <w:kern w:val="0"/>
      <w:sz w:val="22"/>
      <w:szCs w:val="22"/>
      <w14:ligatures w14:val="none"/>
    </w:rPr>
    <w:tblPr>
      <w:tblStyleRowBandSize w:val="1"/>
      <w:tblStyleColBandSize w:val="1"/>
    </w:tblPr>
    <w:tcPr>
      <w:shd w:val="clear" w:color="auto" w:fill="E0F2FA" w:themeFill="accen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hemeFill="accent1" w:themeFillTint="3F"/>
      </w:tcPr>
    </w:tblStylePr>
    <w:tblStylePr w:type="band1Horz">
      <w:tblPr/>
      <w:tcPr>
        <w:shd w:val="clear" w:color="auto" w:fill="C1E4F5" w:themeFill="accent1" w:themeFillTint="33"/>
      </w:tcPr>
    </w:tblStylePr>
  </w:style>
  <w:style w:type="table" w:styleId="ColorfulList-Accent2">
    <w:name w:val="Colorful List Accent 2"/>
    <w:basedOn w:val="TableNormal"/>
    <w:uiPriority w:val="72"/>
    <w:rsid w:val="00241ACB"/>
    <w:pPr>
      <w:spacing w:after="0" w:line="240" w:lineRule="auto"/>
    </w:pPr>
    <w:rPr>
      <w:rFonts w:eastAsiaTheme="minorEastAsia"/>
      <w:color w:val="000000" w:themeColor="text1"/>
      <w:kern w:val="0"/>
      <w:sz w:val="22"/>
      <w:szCs w:val="22"/>
      <w14:ligatures w14:val="none"/>
    </w:rPr>
    <w:tblPr>
      <w:tblStyleRowBandSize w:val="1"/>
      <w:tblStyleColBandSize w:val="1"/>
    </w:tblPr>
    <w:tcPr>
      <w:shd w:val="clear" w:color="auto" w:fill="FCF0EA" w:themeFill="accent2"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hemeFill="accent2" w:themeFillTint="3F"/>
      </w:tcPr>
    </w:tblStylePr>
    <w:tblStylePr w:type="band1Horz">
      <w:tblPr/>
      <w:tcPr>
        <w:shd w:val="clear" w:color="auto" w:fill="FAE2D5" w:themeFill="accent2" w:themeFillTint="33"/>
      </w:tcPr>
    </w:tblStylePr>
  </w:style>
  <w:style w:type="table" w:styleId="ColorfulList-Accent3">
    <w:name w:val="Colorful List Accent 3"/>
    <w:basedOn w:val="TableNormal"/>
    <w:uiPriority w:val="72"/>
    <w:rsid w:val="00241ACB"/>
    <w:pPr>
      <w:spacing w:after="0" w:line="240" w:lineRule="auto"/>
    </w:pPr>
    <w:rPr>
      <w:rFonts w:eastAsiaTheme="minorEastAsia"/>
      <w:color w:val="000000" w:themeColor="text1"/>
      <w:kern w:val="0"/>
      <w:sz w:val="22"/>
      <w:szCs w:val="22"/>
      <w14:ligatures w14:val="none"/>
    </w:rPr>
    <w:tblPr>
      <w:tblStyleRowBandSize w:val="1"/>
      <w:tblStyleColBandSize w:val="1"/>
    </w:tblPr>
    <w:tcPr>
      <w:shd w:val="clear" w:color="auto" w:fill="E0F8E3" w:themeFill="accent3" w:themeFillTint="19"/>
    </w:tcPr>
    <w:tblStylePr w:type="firstRow">
      <w:rPr>
        <w:b/>
        <w:bCs/>
        <w:color w:val="FFFFFF" w:themeColor="background1"/>
      </w:rPr>
      <w:tblPr/>
      <w:tcPr>
        <w:tcBorders>
          <w:bottom w:val="single" w:sz="12" w:space="0" w:color="FFFFFF" w:themeColor="background1"/>
        </w:tcBorders>
        <w:shd w:val="clear" w:color="auto" w:fill="0C7EAA" w:themeFill="accent4" w:themeFillShade="CC"/>
      </w:tcPr>
    </w:tblStylePr>
    <w:tblStylePr w:type="lastRow">
      <w:rPr>
        <w:b/>
        <w:bCs/>
        <w:color w:val="0C7EA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hemeFill="accent3" w:themeFillTint="3F"/>
      </w:tcPr>
    </w:tblStylePr>
    <w:tblStylePr w:type="band1Horz">
      <w:tblPr/>
      <w:tcPr>
        <w:shd w:val="clear" w:color="auto" w:fill="C1F0C7" w:themeFill="accent3" w:themeFillTint="33"/>
      </w:tcPr>
    </w:tblStylePr>
  </w:style>
  <w:style w:type="table" w:styleId="ColorfulList-Accent4">
    <w:name w:val="Colorful List Accent 4"/>
    <w:basedOn w:val="TableNormal"/>
    <w:uiPriority w:val="72"/>
    <w:rsid w:val="00241ACB"/>
    <w:pPr>
      <w:spacing w:after="0" w:line="240" w:lineRule="auto"/>
    </w:pPr>
    <w:rPr>
      <w:rFonts w:eastAsiaTheme="minorEastAsia"/>
      <w:color w:val="000000" w:themeColor="text1"/>
      <w:kern w:val="0"/>
      <w:sz w:val="22"/>
      <w:szCs w:val="22"/>
      <w14:ligatures w14:val="none"/>
    </w:rPr>
    <w:tblPr>
      <w:tblStyleRowBandSize w:val="1"/>
      <w:tblStyleColBandSize w:val="1"/>
    </w:tblPr>
    <w:tcPr>
      <w:shd w:val="clear" w:color="auto" w:fill="E5F6FD" w:themeFill="accent4" w:themeFillTint="19"/>
    </w:tcPr>
    <w:tblStylePr w:type="firstRow">
      <w:rPr>
        <w:b/>
        <w:bCs/>
        <w:color w:val="FFFFFF" w:themeColor="background1"/>
      </w:rPr>
      <w:tblPr/>
      <w:tcPr>
        <w:tcBorders>
          <w:bottom w:val="single" w:sz="12" w:space="0" w:color="FFFFFF" w:themeColor="background1"/>
        </w:tcBorders>
        <w:shd w:val="clear" w:color="auto" w:fill="14551C" w:themeFill="accent3" w:themeFillShade="CC"/>
      </w:tcPr>
    </w:tblStylePr>
    <w:tblStylePr w:type="lastRow">
      <w:rPr>
        <w:b/>
        <w:bCs/>
        <w:color w:val="14551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hemeFill="accent4" w:themeFillTint="3F"/>
      </w:tcPr>
    </w:tblStylePr>
    <w:tblStylePr w:type="band1Horz">
      <w:tblPr/>
      <w:tcPr>
        <w:shd w:val="clear" w:color="auto" w:fill="CAEDFB" w:themeFill="accent4" w:themeFillTint="33"/>
      </w:tcPr>
    </w:tblStylePr>
  </w:style>
  <w:style w:type="table" w:styleId="ColorfulList-Accent5">
    <w:name w:val="Colorful List Accent 5"/>
    <w:basedOn w:val="TableNormal"/>
    <w:uiPriority w:val="72"/>
    <w:rsid w:val="00241ACB"/>
    <w:pPr>
      <w:spacing w:after="0" w:line="240" w:lineRule="auto"/>
    </w:pPr>
    <w:rPr>
      <w:rFonts w:eastAsiaTheme="minorEastAsia"/>
      <w:color w:val="000000" w:themeColor="text1"/>
      <w:kern w:val="0"/>
      <w:sz w:val="22"/>
      <w:szCs w:val="22"/>
      <w14:ligatures w14:val="none"/>
    </w:rPr>
    <w:tblPr>
      <w:tblStyleRowBandSize w:val="1"/>
      <w:tblStyleColBandSize w:val="1"/>
    </w:tblPr>
    <w:tcPr>
      <w:shd w:val="clear" w:color="auto" w:fill="F8E7F6" w:themeFill="accent5" w:themeFillTint="19"/>
    </w:tcPr>
    <w:tblStylePr w:type="firstRow">
      <w:rPr>
        <w:b/>
        <w:bCs/>
        <w:color w:val="FFFFFF" w:themeColor="background1"/>
      </w:rPr>
      <w:tblPr/>
      <w:tcPr>
        <w:tcBorders>
          <w:bottom w:val="single" w:sz="12" w:space="0" w:color="FFFFFF" w:themeColor="background1"/>
        </w:tcBorders>
        <w:shd w:val="clear" w:color="auto" w:fill="3E8524" w:themeFill="accent6" w:themeFillShade="CC"/>
      </w:tcPr>
    </w:tblStylePr>
    <w:tblStylePr w:type="lastRow">
      <w:rPr>
        <w:b/>
        <w:bCs/>
        <w:color w:val="3E85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hemeFill="accent5" w:themeFillTint="3F"/>
      </w:tcPr>
    </w:tblStylePr>
    <w:tblStylePr w:type="band1Horz">
      <w:tblPr/>
      <w:tcPr>
        <w:shd w:val="clear" w:color="auto" w:fill="F2CEED" w:themeFill="accent5" w:themeFillTint="33"/>
      </w:tcPr>
    </w:tblStylePr>
  </w:style>
  <w:style w:type="table" w:styleId="ColorfulList-Accent6">
    <w:name w:val="Colorful List Accent 6"/>
    <w:basedOn w:val="TableNormal"/>
    <w:uiPriority w:val="72"/>
    <w:rsid w:val="00241ACB"/>
    <w:pPr>
      <w:spacing w:after="0" w:line="240" w:lineRule="auto"/>
    </w:pPr>
    <w:rPr>
      <w:rFonts w:eastAsiaTheme="minorEastAsia"/>
      <w:color w:val="000000" w:themeColor="text1"/>
      <w:kern w:val="0"/>
      <w:sz w:val="22"/>
      <w:szCs w:val="22"/>
      <w14:ligatures w14:val="none"/>
    </w:rPr>
    <w:tblPr>
      <w:tblStyleRowBandSize w:val="1"/>
      <w:tblStyleColBandSize w:val="1"/>
    </w:tblPr>
    <w:tcPr>
      <w:shd w:val="clear" w:color="auto" w:fill="ECF8E8" w:themeFill="accent6" w:themeFillTint="19"/>
    </w:tcPr>
    <w:tblStylePr w:type="firstRow">
      <w:rPr>
        <w:b/>
        <w:bCs/>
        <w:color w:val="FFFFFF" w:themeColor="background1"/>
      </w:rPr>
      <w:tblPr/>
      <w:tcPr>
        <w:tcBorders>
          <w:bottom w:val="single" w:sz="12" w:space="0" w:color="FFFFFF" w:themeColor="background1"/>
        </w:tcBorders>
        <w:shd w:val="clear" w:color="auto" w:fill="7F2275" w:themeFill="accent5" w:themeFillShade="CC"/>
      </w:tcPr>
    </w:tblStylePr>
    <w:tblStylePr w:type="lastRow">
      <w:rPr>
        <w:b/>
        <w:bCs/>
        <w:color w:val="7F227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hemeFill="accent6" w:themeFillTint="3F"/>
      </w:tcPr>
    </w:tblStylePr>
    <w:tblStylePr w:type="band1Horz">
      <w:tblPr/>
      <w:tcPr>
        <w:shd w:val="clear" w:color="auto" w:fill="D9F2D0" w:themeFill="accent6" w:themeFillTint="33"/>
      </w:tcPr>
    </w:tblStylePr>
  </w:style>
  <w:style w:type="table" w:styleId="ColorfulGrid">
    <w:name w:val="Colorful Grid"/>
    <w:basedOn w:val="TableNormal"/>
    <w:uiPriority w:val="73"/>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insideH w:val="single" w:sz="4" w:space="0" w:color="FFFFFF" w:themeColor="background1"/>
      </w:tblBorders>
    </w:tblPr>
    <w:tcPr>
      <w:shd w:val="clear" w:color="auto" w:fill="C1E4F5" w:themeFill="accent1" w:themeFillTint="33"/>
    </w:tcPr>
    <w:tblStylePr w:type="firstRow">
      <w:rPr>
        <w:b/>
        <w:bCs/>
      </w:rPr>
      <w:tblPr/>
      <w:tcPr>
        <w:shd w:val="clear" w:color="auto" w:fill="83CAEB" w:themeFill="accent1" w:themeFillTint="66"/>
      </w:tcPr>
    </w:tblStylePr>
    <w:tblStylePr w:type="lastRow">
      <w:rPr>
        <w:b/>
        <w:bCs/>
        <w:color w:val="000000" w:themeColor="text1"/>
      </w:rPr>
      <w:tblPr/>
      <w:tcPr>
        <w:shd w:val="clear" w:color="auto" w:fill="83CAEB" w:themeFill="accent1" w:themeFillTint="66"/>
      </w:tcPr>
    </w:tblStylePr>
    <w:tblStylePr w:type="firstCol">
      <w:rPr>
        <w:color w:val="FFFFFF" w:themeColor="background1"/>
      </w:rPr>
      <w:tblPr/>
      <w:tcPr>
        <w:shd w:val="clear" w:color="auto" w:fill="0F4761" w:themeFill="accent1" w:themeFillShade="BF"/>
      </w:tcPr>
    </w:tblStylePr>
    <w:tblStylePr w:type="lastCol">
      <w:rPr>
        <w:color w:val="FFFFFF" w:themeColor="background1"/>
      </w:rPr>
      <w:tblPr/>
      <w:tcPr>
        <w:shd w:val="clear" w:color="auto" w:fill="0F4761" w:themeFill="accent1" w:themeFillShade="BF"/>
      </w:tc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ColorfulGrid-Accent2">
    <w:name w:val="Colorful Grid Accent 2"/>
    <w:basedOn w:val="TableNormal"/>
    <w:uiPriority w:val="73"/>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insideH w:val="single" w:sz="4" w:space="0" w:color="FFFFFF" w:themeColor="background1"/>
      </w:tblBorders>
    </w:tblPr>
    <w:tcPr>
      <w:shd w:val="clear" w:color="auto" w:fill="FAE2D5" w:themeFill="accent2" w:themeFillTint="33"/>
    </w:tcPr>
    <w:tblStylePr w:type="firstRow">
      <w:rPr>
        <w:b/>
        <w:bCs/>
      </w:rPr>
      <w:tblPr/>
      <w:tcPr>
        <w:shd w:val="clear" w:color="auto" w:fill="F6C5AC" w:themeFill="accent2" w:themeFillTint="66"/>
      </w:tcPr>
    </w:tblStylePr>
    <w:tblStylePr w:type="lastRow">
      <w:rPr>
        <w:b/>
        <w:bCs/>
        <w:color w:val="000000" w:themeColor="text1"/>
      </w:rPr>
      <w:tblPr/>
      <w:tcPr>
        <w:shd w:val="clear" w:color="auto" w:fill="F6C5AC" w:themeFill="accent2" w:themeFillTint="66"/>
      </w:tcPr>
    </w:tblStylePr>
    <w:tblStylePr w:type="firstCol">
      <w:rPr>
        <w:color w:val="FFFFFF" w:themeColor="background1"/>
      </w:rPr>
      <w:tblPr/>
      <w:tcPr>
        <w:shd w:val="clear" w:color="auto" w:fill="BF4E14" w:themeFill="accent2" w:themeFillShade="BF"/>
      </w:tcPr>
    </w:tblStylePr>
    <w:tblStylePr w:type="lastCol">
      <w:rPr>
        <w:color w:val="FFFFFF" w:themeColor="background1"/>
      </w:rPr>
      <w:tblPr/>
      <w:tcPr>
        <w:shd w:val="clear" w:color="auto" w:fill="BF4E14" w:themeFill="accent2" w:themeFillShade="BF"/>
      </w:tc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ColorfulGrid-Accent3">
    <w:name w:val="Colorful Grid Accent 3"/>
    <w:basedOn w:val="TableNormal"/>
    <w:uiPriority w:val="73"/>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insideH w:val="single" w:sz="4" w:space="0" w:color="FFFFFF" w:themeColor="background1"/>
      </w:tblBorders>
    </w:tblPr>
    <w:tcPr>
      <w:shd w:val="clear" w:color="auto" w:fill="C1F0C7" w:themeFill="accent3" w:themeFillTint="33"/>
    </w:tcPr>
    <w:tblStylePr w:type="firstRow">
      <w:rPr>
        <w:b/>
        <w:bCs/>
      </w:rPr>
      <w:tblPr/>
      <w:tcPr>
        <w:shd w:val="clear" w:color="auto" w:fill="84E290" w:themeFill="accent3" w:themeFillTint="66"/>
      </w:tcPr>
    </w:tblStylePr>
    <w:tblStylePr w:type="lastRow">
      <w:rPr>
        <w:b/>
        <w:bCs/>
        <w:color w:val="000000" w:themeColor="text1"/>
      </w:rPr>
      <w:tblPr/>
      <w:tcPr>
        <w:shd w:val="clear" w:color="auto" w:fill="84E290" w:themeFill="accent3" w:themeFillTint="66"/>
      </w:tcPr>
    </w:tblStylePr>
    <w:tblStylePr w:type="firstCol">
      <w:rPr>
        <w:color w:val="FFFFFF" w:themeColor="background1"/>
      </w:rPr>
      <w:tblPr/>
      <w:tcPr>
        <w:shd w:val="clear" w:color="auto" w:fill="124F1A" w:themeFill="accent3" w:themeFillShade="BF"/>
      </w:tcPr>
    </w:tblStylePr>
    <w:tblStylePr w:type="lastCol">
      <w:rPr>
        <w:color w:val="FFFFFF" w:themeColor="background1"/>
      </w:rPr>
      <w:tblPr/>
      <w:tcPr>
        <w:shd w:val="clear" w:color="auto" w:fill="124F1A" w:themeFill="accent3" w:themeFillShade="BF"/>
      </w:tc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ColorfulGrid-Accent4">
    <w:name w:val="Colorful Grid Accent 4"/>
    <w:basedOn w:val="TableNormal"/>
    <w:uiPriority w:val="73"/>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insideH w:val="single" w:sz="4" w:space="0" w:color="FFFFFF" w:themeColor="background1"/>
      </w:tblBorders>
    </w:tblPr>
    <w:tcPr>
      <w:shd w:val="clear" w:color="auto" w:fill="CAEDFB" w:themeFill="accent4" w:themeFillTint="33"/>
    </w:tcPr>
    <w:tblStylePr w:type="firstRow">
      <w:rPr>
        <w:b/>
        <w:bCs/>
      </w:rPr>
      <w:tblPr/>
      <w:tcPr>
        <w:shd w:val="clear" w:color="auto" w:fill="95DCF7" w:themeFill="accent4" w:themeFillTint="66"/>
      </w:tcPr>
    </w:tblStylePr>
    <w:tblStylePr w:type="lastRow">
      <w:rPr>
        <w:b/>
        <w:bCs/>
        <w:color w:val="000000" w:themeColor="text1"/>
      </w:rPr>
      <w:tblPr/>
      <w:tcPr>
        <w:shd w:val="clear" w:color="auto" w:fill="95DCF7" w:themeFill="accent4" w:themeFillTint="66"/>
      </w:tcPr>
    </w:tblStylePr>
    <w:tblStylePr w:type="firstCol">
      <w:rPr>
        <w:color w:val="FFFFFF" w:themeColor="background1"/>
      </w:rPr>
      <w:tblPr/>
      <w:tcPr>
        <w:shd w:val="clear" w:color="auto" w:fill="0B769F" w:themeFill="accent4" w:themeFillShade="BF"/>
      </w:tcPr>
    </w:tblStylePr>
    <w:tblStylePr w:type="lastCol">
      <w:rPr>
        <w:color w:val="FFFFFF" w:themeColor="background1"/>
      </w:rPr>
      <w:tblPr/>
      <w:tcPr>
        <w:shd w:val="clear" w:color="auto" w:fill="0B769F" w:themeFill="accent4" w:themeFillShade="BF"/>
      </w:tc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ColorfulGrid-Accent5">
    <w:name w:val="Colorful Grid Accent 5"/>
    <w:basedOn w:val="TableNormal"/>
    <w:uiPriority w:val="73"/>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insideH w:val="single" w:sz="4" w:space="0" w:color="FFFFFF" w:themeColor="background1"/>
      </w:tblBorders>
    </w:tblPr>
    <w:tcPr>
      <w:shd w:val="clear" w:color="auto" w:fill="F2CEED" w:themeFill="accent5" w:themeFillTint="33"/>
    </w:tcPr>
    <w:tblStylePr w:type="firstRow">
      <w:rPr>
        <w:b/>
        <w:bCs/>
      </w:rPr>
      <w:tblPr/>
      <w:tcPr>
        <w:shd w:val="clear" w:color="auto" w:fill="E59EDC" w:themeFill="accent5" w:themeFillTint="66"/>
      </w:tcPr>
    </w:tblStylePr>
    <w:tblStylePr w:type="lastRow">
      <w:rPr>
        <w:b/>
        <w:bCs/>
        <w:color w:val="000000" w:themeColor="text1"/>
      </w:rPr>
      <w:tblPr/>
      <w:tcPr>
        <w:shd w:val="clear" w:color="auto" w:fill="E59EDC" w:themeFill="accent5" w:themeFillTint="66"/>
      </w:tcPr>
    </w:tblStylePr>
    <w:tblStylePr w:type="firstCol">
      <w:rPr>
        <w:color w:val="FFFFFF" w:themeColor="background1"/>
      </w:rPr>
      <w:tblPr/>
      <w:tcPr>
        <w:shd w:val="clear" w:color="auto" w:fill="77206D" w:themeFill="accent5" w:themeFillShade="BF"/>
      </w:tcPr>
    </w:tblStylePr>
    <w:tblStylePr w:type="lastCol">
      <w:rPr>
        <w:color w:val="FFFFFF" w:themeColor="background1"/>
      </w:rPr>
      <w:tblPr/>
      <w:tcPr>
        <w:shd w:val="clear" w:color="auto" w:fill="77206D" w:themeFill="accent5" w:themeFillShade="BF"/>
      </w:tc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ColorfulGrid-Accent6">
    <w:name w:val="Colorful Grid Accent 6"/>
    <w:basedOn w:val="TableNormal"/>
    <w:uiPriority w:val="73"/>
    <w:rsid w:val="00241ACB"/>
    <w:pPr>
      <w:spacing w:after="0" w:line="240" w:lineRule="auto"/>
    </w:pPr>
    <w:rPr>
      <w:rFonts w:eastAsiaTheme="minorEastAsia"/>
      <w:color w:val="000000" w:themeColor="text1"/>
      <w:kern w:val="0"/>
      <w:sz w:val="22"/>
      <w:szCs w:val="22"/>
      <w14:ligatures w14:val="none"/>
    </w:rPr>
    <w:tblPr>
      <w:tblStyleRowBandSize w:val="1"/>
      <w:tblStyleColBandSize w:val="1"/>
      <w:tblBorders>
        <w:insideH w:val="single" w:sz="4" w:space="0" w:color="FFFFFF" w:themeColor="background1"/>
      </w:tblBorders>
    </w:tblPr>
    <w:tcPr>
      <w:shd w:val="clear" w:color="auto" w:fill="D9F2D0" w:themeFill="accent6" w:themeFillTint="33"/>
    </w:tcPr>
    <w:tblStylePr w:type="firstRow">
      <w:rPr>
        <w:b/>
        <w:bCs/>
      </w:rPr>
      <w:tblPr/>
      <w:tcPr>
        <w:shd w:val="clear" w:color="auto" w:fill="B3E5A1" w:themeFill="accent6" w:themeFillTint="66"/>
      </w:tcPr>
    </w:tblStylePr>
    <w:tblStylePr w:type="lastRow">
      <w:rPr>
        <w:b/>
        <w:bCs/>
        <w:color w:val="000000" w:themeColor="text1"/>
      </w:rPr>
      <w:tblPr/>
      <w:tcPr>
        <w:shd w:val="clear" w:color="auto" w:fill="B3E5A1" w:themeFill="accent6" w:themeFillTint="66"/>
      </w:tcPr>
    </w:tblStylePr>
    <w:tblStylePr w:type="firstCol">
      <w:rPr>
        <w:color w:val="FFFFFF" w:themeColor="background1"/>
      </w:rPr>
      <w:tblPr/>
      <w:tcPr>
        <w:shd w:val="clear" w:color="auto" w:fill="3A7C22" w:themeFill="accent6" w:themeFillShade="BF"/>
      </w:tcPr>
    </w:tblStylePr>
    <w:tblStylePr w:type="lastCol">
      <w:rPr>
        <w:color w:val="FFFFFF" w:themeColor="background1"/>
      </w:rPr>
      <w:tblPr/>
      <w:tcPr>
        <w:shd w:val="clear" w:color="auto" w:fill="3A7C22" w:themeFill="accent6" w:themeFillShade="BF"/>
      </w:tc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paragraph" w:customStyle="1" w:styleId="SAH3">
    <w:name w:val="SA_H3"/>
    <w:basedOn w:val="Heading3"/>
    <w:link w:val="SAH3Char"/>
    <w:qFormat/>
    <w:rsid w:val="00241ACB"/>
    <w:pPr>
      <w:numPr>
        <w:ilvl w:val="2"/>
      </w:numPr>
      <w:spacing w:before="40" w:after="0" w:line="360" w:lineRule="auto"/>
      <w:ind w:left="4406" w:hanging="720"/>
    </w:pPr>
    <w:rPr>
      <w:rFonts w:ascii="Arial" w:hAnsi="Arial"/>
      <w:b/>
      <w:color w:val="000000" w:themeColor="text1"/>
    </w:rPr>
  </w:style>
  <w:style w:type="character" w:customStyle="1" w:styleId="SAH3Char">
    <w:name w:val="SA_H3 Char"/>
    <w:basedOn w:val="Heading3Char"/>
    <w:link w:val="SAH3"/>
    <w:rsid w:val="00241ACB"/>
    <w:rPr>
      <w:rFonts w:ascii="Arial" w:eastAsiaTheme="majorEastAsia" w:hAnsi="Arial" w:cstheme="majorBidi"/>
      <w:b/>
      <w:color w:val="000000" w:themeColor="text1"/>
      <w:kern w:val="0"/>
      <w:sz w:val="28"/>
      <w:szCs w:val="28"/>
      <w:lang w:val="en-GB"/>
      <w14:ligatures w14:val="none"/>
    </w:rPr>
  </w:style>
  <w:style w:type="character" w:customStyle="1" w:styleId="ListParagraphChar">
    <w:name w:val="List Paragraph Char"/>
    <w:basedOn w:val="DefaultParagraphFont"/>
    <w:link w:val="ListParagraph"/>
    <w:uiPriority w:val="34"/>
    <w:rsid w:val="00241ACB"/>
  </w:style>
  <w:style w:type="paragraph" w:customStyle="1" w:styleId="SAChp">
    <w:name w:val="SA_Chp"/>
    <w:basedOn w:val="Heading1"/>
    <w:next w:val="Normal"/>
    <w:link w:val="SAChpChar"/>
    <w:qFormat/>
    <w:rsid w:val="00241ACB"/>
    <w:pPr>
      <w:spacing w:before="240" w:after="0" w:line="360" w:lineRule="auto"/>
    </w:pPr>
    <w:rPr>
      <w:rFonts w:ascii="Arial" w:hAnsi="Arial"/>
      <w:b/>
      <w:color w:val="000000" w:themeColor="text1"/>
      <w:sz w:val="32"/>
      <w:szCs w:val="32"/>
    </w:rPr>
  </w:style>
  <w:style w:type="numbering" w:customStyle="1" w:styleId="Style1">
    <w:name w:val="Style1"/>
    <w:uiPriority w:val="99"/>
    <w:rsid w:val="00241ACB"/>
    <w:pPr>
      <w:numPr>
        <w:numId w:val="7"/>
      </w:numPr>
    </w:pPr>
  </w:style>
  <w:style w:type="character" w:customStyle="1" w:styleId="SAChpChar">
    <w:name w:val="SA_Chp Char"/>
    <w:basedOn w:val="ListParagraphChar"/>
    <w:link w:val="SAChp"/>
    <w:rsid w:val="00241ACB"/>
    <w:rPr>
      <w:rFonts w:ascii="Arial" w:eastAsiaTheme="majorEastAsia" w:hAnsi="Arial" w:cstheme="majorBidi"/>
      <w:b/>
      <w:color w:val="000000" w:themeColor="text1"/>
      <w:kern w:val="0"/>
      <w:sz w:val="32"/>
      <w:szCs w:val="32"/>
      <w:lang w:val="en-GB"/>
      <w14:ligatures w14:val="none"/>
    </w:rPr>
  </w:style>
  <w:style w:type="paragraph" w:styleId="TOC2">
    <w:name w:val="toc 2"/>
    <w:basedOn w:val="Normal"/>
    <w:next w:val="Normal"/>
    <w:autoRedefine/>
    <w:uiPriority w:val="39"/>
    <w:unhideWhenUsed/>
    <w:rsid w:val="00241ACB"/>
    <w:pPr>
      <w:spacing w:after="0" w:line="259" w:lineRule="auto"/>
      <w:ind w:left="220"/>
    </w:pPr>
    <w:rPr>
      <w:rFonts w:eastAsiaTheme="minorHAnsi" w:cstheme="minorHAnsi"/>
      <w:smallCaps/>
      <w:sz w:val="20"/>
      <w:szCs w:val="20"/>
    </w:rPr>
  </w:style>
  <w:style w:type="paragraph" w:styleId="TOC3">
    <w:name w:val="toc 3"/>
    <w:basedOn w:val="Normal"/>
    <w:next w:val="Normal"/>
    <w:autoRedefine/>
    <w:uiPriority w:val="39"/>
    <w:unhideWhenUsed/>
    <w:rsid w:val="00241ACB"/>
    <w:pPr>
      <w:spacing w:after="0" w:line="259" w:lineRule="auto"/>
      <w:ind w:left="440"/>
    </w:pPr>
    <w:rPr>
      <w:rFonts w:eastAsiaTheme="minorHAnsi" w:cstheme="minorHAnsi"/>
      <w:i/>
      <w:iCs/>
      <w:sz w:val="20"/>
      <w:szCs w:val="20"/>
    </w:rPr>
  </w:style>
  <w:style w:type="character" w:styleId="Hyperlink">
    <w:name w:val="Hyperlink"/>
    <w:basedOn w:val="DefaultParagraphFont"/>
    <w:uiPriority w:val="99"/>
    <w:unhideWhenUsed/>
    <w:rsid w:val="00241ACB"/>
    <w:rPr>
      <w:color w:val="467886" w:themeColor="hyperlink"/>
      <w:u w:val="single"/>
    </w:rPr>
  </w:style>
  <w:style w:type="paragraph" w:styleId="TOC1">
    <w:name w:val="toc 1"/>
    <w:basedOn w:val="Normal"/>
    <w:next w:val="Normal"/>
    <w:autoRedefine/>
    <w:uiPriority w:val="39"/>
    <w:unhideWhenUsed/>
    <w:rsid w:val="00241ACB"/>
    <w:pPr>
      <w:spacing w:before="120" w:after="120" w:line="259" w:lineRule="auto"/>
    </w:pPr>
    <w:rPr>
      <w:rFonts w:eastAsiaTheme="minorHAnsi" w:cstheme="minorHAnsi"/>
      <w:b/>
      <w:bCs/>
      <w:caps/>
      <w:sz w:val="20"/>
      <w:szCs w:val="20"/>
    </w:rPr>
  </w:style>
  <w:style w:type="paragraph" w:styleId="TOC4">
    <w:name w:val="toc 4"/>
    <w:basedOn w:val="Normal"/>
    <w:next w:val="Normal"/>
    <w:autoRedefine/>
    <w:uiPriority w:val="39"/>
    <w:unhideWhenUsed/>
    <w:rsid w:val="00241ACB"/>
    <w:pPr>
      <w:spacing w:after="0" w:line="259" w:lineRule="auto"/>
      <w:ind w:left="660"/>
    </w:pPr>
    <w:rPr>
      <w:rFonts w:eastAsiaTheme="minorHAnsi" w:cstheme="minorHAnsi"/>
      <w:sz w:val="18"/>
      <w:szCs w:val="18"/>
    </w:rPr>
  </w:style>
  <w:style w:type="paragraph" w:customStyle="1" w:styleId="Default">
    <w:name w:val="Default"/>
    <w:link w:val="DefaultChar"/>
    <w:rsid w:val="00241ACB"/>
    <w:pPr>
      <w:autoSpaceDE w:val="0"/>
      <w:autoSpaceDN w:val="0"/>
      <w:adjustRightInd w:val="0"/>
      <w:spacing w:after="0" w:line="240" w:lineRule="auto"/>
    </w:pPr>
    <w:rPr>
      <w:rFonts w:ascii="Droid Sans" w:hAnsi="Droid Sans" w:cs="Droid Sans"/>
      <w:color w:val="000000"/>
      <w:kern w:val="0"/>
      <w:lang w:val="en-GB"/>
      <w14:ligatures w14:val="none"/>
    </w:rPr>
  </w:style>
  <w:style w:type="character" w:customStyle="1" w:styleId="UnresolvedMention1">
    <w:name w:val="Unresolved Mention1"/>
    <w:basedOn w:val="DefaultParagraphFont"/>
    <w:uiPriority w:val="99"/>
    <w:unhideWhenUsed/>
    <w:rsid w:val="00241ACB"/>
    <w:rPr>
      <w:color w:val="605E5C"/>
      <w:shd w:val="clear" w:color="auto" w:fill="E1DFDD"/>
    </w:rPr>
  </w:style>
  <w:style w:type="paragraph" w:styleId="NormalWeb">
    <w:name w:val="Normal (Web)"/>
    <w:basedOn w:val="Normal"/>
    <w:uiPriority w:val="99"/>
    <w:unhideWhenUsed/>
    <w:rsid w:val="00241AC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efaultChar">
    <w:name w:val="Default Char"/>
    <w:basedOn w:val="DefaultParagraphFont"/>
    <w:link w:val="Default"/>
    <w:rsid w:val="00241ACB"/>
    <w:rPr>
      <w:rFonts w:ascii="Droid Sans" w:hAnsi="Droid Sans" w:cs="Droid Sans"/>
      <w:color w:val="000000"/>
      <w:kern w:val="0"/>
      <w:lang w:val="en-GB"/>
      <w14:ligatures w14:val="none"/>
    </w:rPr>
  </w:style>
  <w:style w:type="character" w:customStyle="1" w:styleId="NoSpacingChar">
    <w:name w:val="No Spacing Char"/>
    <w:basedOn w:val="DefaultParagraphFont"/>
    <w:link w:val="NoSpacing"/>
    <w:uiPriority w:val="1"/>
    <w:locked/>
    <w:rsid w:val="00241ACB"/>
    <w:rPr>
      <w:rFonts w:eastAsiaTheme="minorEastAsia"/>
      <w:kern w:val="0"/>
      <w:sz w:val="22"/>
      <w:szCs w:val="22"/>
      <w14:ligatures w14:val="none"/>
    </w:rPr>
  </w:style>
  <w:style w:type="paragraph" w:styleId="FootnoteText">
    <w:name w:val="footnote text"/>
    <w:basedOn w:val="Normal"/>
    <w:link w:val="FootnoteTextChar"/>
    <w:uiPriority w:val="99"/>
    <w:semiHidden/>
    <w:unhideWhenUsed/>
    <w:rsid w:val="00241AC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41ACB"/>
    <w:rPr>
      <w:rFonts w:eastAsiaTheme="minorEastAsia"/>
      <w:kern w:val="0"/>
      <w:sz w:val="20"/>
      <w:szCs w:val="20"/>
      <w:lang w:val="en-GB"/>
      <w14:ligatures w14:val="none"/>
    </w:rPr>
  </w:style>
  <w:style w:type="character" w:styleId="FootnoteReference">
    <w:name w:val="footnote reference"/>
    <w:basedOn w:val="DefaultParagraphFont"/>
    <w:uiPriority w:val="99"/>
    <w:semiHidden/>
    <w:unhideWhenUsed/>
    <w:rsid w:val="00241ACB"/>
    <w:rPr>
      <w:vertAlign w:val="superscript"/>
    </w:rPr>
  </w:style>
  <w:style w:type="character" w:styleId="FollowedHyperlink">
    <w:name w:val="FollowedHyperlink"/>
    <w:basedOn w:val="DefaultParagraphFont"/>
    <w:uiPriority w:val="99"/>
    <w:semiHidden/>
    <w:unhideWhenUsed/>
    <w:rsid w:val="00241ACB"/>
    <w:rPr>
      <w:color w:val="96607D" w:themeColor="followedHyperlink"/>
      <w:u w:val="single"/>
    </w:rPr>
  </w:style>
  <w:style w:type="paragraph" w:customStyle="1" w:styleId="EndNoteBibliographyTitle">
    <w:name w:val="EndNote Bibliography Title"/>
    <w:basedOn w:val="Normal"/>
    <w:link w:val="EndNoteBibliographyTitleChar"/>
    <w:rsid w:val="00241ACB"/>
    <w:pPr>
      <w:spacing w:after="0" w:line="264" w:lineRule="auto"/>
      <w:jc w:val="center"/>
    </w:pPr>
    <w:rPr>
      <w:rFonts w:ascii="Cambria" w:hAnsi="Cambria" w:cs="Calibri"/>
      <w:noProof/>
      <w:szCs w:val="21"/>
    </w:rPr>
  </w:style>
  <w:style w:type="character" w:customStyle="1" w:styleId="EndNoteBibliographyTitleChar">
    <w:name w:val="EndNote Bibliography Title Char"/>
    <w:basedOn w:val="DefaultParagraphFont"/>
    <w:link w:val="EndNoteBibliographyTitle"/>
    <w:rsid w:val="00241ACB"/>
    <w:rPr>
      <w:rFonts w:ascii="Cambria" w:eastAsiaTheme="minorEastAsia" w:hAnsi="Cambria" w:cs="Calibri"/>
      <w:noProof/>
      <w:kern w:val="0"/>
      <w:sz w:val="22"/>
      <w:szCs w:val="21"/>
      <w:lang w:val="en-GB"/>
      <w14:ligatures w14:val="none"/>
    </w:rPr>
  </w:style>
  <w:style w:type="paragraph" w:customStyle="1" w:styleId="EndNoteBibliography">
    <w:name w:val="EndNote Bibliography"/>
    <w:basedOn w:val="Normal"/>
    <w:link w:val="EndNoteBibliographyChar"/>
    <w:rsid w:val="00241ACB"/>
    <w:pPr>
      <w:spacing w:after="120" w:line="240" w:lineRule="auto"/>
    </w:pPr>
    <w:rPr>
      <w:rFonts w:ascii="Cambria" w:hAnsi="Cambria" w:cs="Calibri"/>
      <w:noProof/>
      <w:szCs w:val="21"/>
    </w:rPr>
  </w:style>
  <w:style w:type="character" w:customStyle="1" w:styleId="EndNoteBibliographyChar">
    <w:name w:val="EndNote Bibliography Char"/>
    <w:basedOn w:val="DefaultParagraphFont"/>
    <w:link w:val="EndNoteBibliography"/>
    <w:rsid w:val="00241ACB"/>
    <w:rPr>
      <w:rFonts w:ascii="Cambria" w:eastAsiaTheme="minorEastAsia" w:hAnsi="Cambria" w:cs="Calibri"/>
      <w:noProof/>
      <w:kern w:val="0"/>
      <w:sz w:val="22"/>
      <w:szCs w:val="21"/>
      <w:lang w:val="en-GB"/>
      <w14:ligatures w14:val="none"/>
    </w:rPr>
  </w:style>
  <w:style w:type="paragraph" w:customStyle="1" w:styleId="msonormal0">
    <w:name w:val="msonormal"/>
    <w:basedOn w:val="Normal"/>
    <w:rsid w:val="00241ACB"/>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xl63">
    <w:name w:val="xl63"/>
    <w:basedOn w:val="Normal"/>
    <w:rsid w:val="00241ACB"/>
    <w:pPr>
      <w:pBdr>
        <w:top w:val="single" w:sz="4" w:space="0" w:color="auto"/>
        <w:left w:val="single" w:sz="4" w:space="0" w:color="auto"/>
        <w:bottom w:val="single" w:sz="4" w:space="0" w:color="auto"/>
        <w:right w:val="single" w:sz="4" w:space="0" w:color="auto"/>
      </w:pBdr>
      <w:shd w:val="clear" w:color="000000" w:fill="9CC2E5"/>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en-AU"/>
    </w:rPr>
  </w:style>
  <w:style w:type="paragraph" w:customStyle="1" w:styleId="xl64">
    <w:name w:val="xl64"/>
    <w:basedOn w:val="Normal"/>
    <w:rsid w:val="00241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0"/>
      <w:szCs w:val="20"/>
      <w:lang w:eastAsia="en-AU"/>
    </w:rPr>
  </w:style>
  <w:style w:type="paragraph" w:customStyle="1" w:styleId="xl65">
    <w:name w:val="xl65"/>
    <w:basedOn w:val="Normal"/>
    <w:rsid w:val="00241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eastAsia="en-AU"/>
    </w:rPr>
  </w:style>
  <w:style w:type="paragraph" w:customStyle="1" w:styleId="xl66">
    <w:name w:val="xl66"/>
    <w:basedOn w:val="Normal"/>
    <w:rsid w:val="00241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lang w:eastAsia="en-AU"/>
    </w:rPr>
  </w:style>
  <w:style w:type="character" w:styleId="CommentReference">
    <w:name w:val="annotation reference"/>
    <w:basedOn w:val="DefaultParagraphFont"/>
    <w:uiPriority w:val="99"/>
    <w:rsid w:val="00241ACB"/>
    <w:rPr>
      <w:sz w:val="16"/>
      <w:szCs w:val="16"/>
    </w:rPr>
  </w:style>
  <w:style w:type="paragraph" w:styleId="CommentText">
    <w:name w:val="annotation text"/>
    <w:basedOn w:val="Normal"/>
    <w:link w:val="CommentTextChar"/>
    <w:uiPriority w:val="99"/>
    <w:unhideWhenUsed/>
    <w:rsid w:val="00241ACB"/>
    <w:pPr>
      <w:spacing w:after="120" w:line="240" w:lineRule="auto"/>
    </w:pPr>
    <w:rPr>
      <w:sz w:val="20"/>
      <w:szCs w:val="20"/>
    </w:rPr>
  </w:style>
  <w:style w:type="character" w:customStyle="1" w:styleId="CommentTextChar">
    <w:name w:val="Comment Text Char"/>
    <w:basedOn w:val="DefaultParagraphFont"/>
    <w:link w:val="CommentText"/>
    <w:uiPriority w:val="99"/>
    <w:rsid w:val="00241ACB"/>
    <w:rPr>
      <w:rFonts w:eastAsiaTheme="minorEastAsia"/>
      <w:kern w:val="0"/>
      <w:sz w:val="20"/>
      <w:szCs w:val="20"/>
      <w:lang w:val="en-GB"/>
      <w14:ligatures w14:val="none"/>
    </w:rPr>
  </w:style>
  <w:style w:type="paragraph" w:styleId="BalloonText">
    <w:name w:val="Balloon Text"/>
    <w:basedOn w:val="Normal"/>
    <w:link w:val="BalloonTextChar"/>
    <w:uiPriority w:val="99"/>
    <w:semiHidden/>
    <w:unhideWhenUsed/>
    <w:rsid w:val="00241A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1ACB"/>
    <w:rPr>
      <w:rFonts w:ascii="Segoe UI" w:eastAsiaTheme="minorEastAsia" w:hAnsi="Segoe UI" w:cs="Segoe UI"/>
      <w:kern w:val="0"/>
      <w:sz w:val="18"/>
      <w:szCs w:val="18"/>
      <w:lang w:val="en-GB"/>
      <w14:ligatures w14:val="none"/>
    </w:rPr>
  </w:style>
  <w:style w:type="paragraph" w:customStyle="1" w:styleId="Normal0">
    <w:name w:val="[Normal]"/>
    <w:rsid w:val="00241ACB"/>
    <w:pPr>
      <w:widowControl w:val="0"/>
      <w:autoSpaceDE w:val="0"/>
      <w:autoSpaceDN w:val="0"/>
      <w:adjustRightInd w:val="0"/>
      <w:spacing w:after="0" w:line="240" w:lineRule="auto"/>
    </w:pPr>
    <w:rPr>
      <w:rFonts w:ascii="Arial" w:hAnsi="Arial" w:cs="Arial"/>
      <w:kern w:val="0"/>
      <w:lang w:val="en-GB"/>
      <w14:ligatures w14:val="none"/>
    </w:rPr>
  </w:style>
  <w:style w:type="character" w:customStyle="1" w:styleId="transcript-sync">
    <w:name w:val="transcript-sync"/>
    <w:basedOn w:val="DefaultParagraphFont"/>
    <w:rsid w:val="00241ACB"/>
  </w:style>
  <w:style w:type="paragraph" w:customStyle="1" w:styleId="H2">
    <w:name w:val="H2"/>
    <w:next w:val="Normal"/>
    <w:rsid w:val="00241ACB"/>
    <w:pPr>
      <w:spacing w:after="240" w:line="240" w:lineRule="auto"/>
    </w:pPr>
    <w:rPr>
      <w:rFonts w:eastAsiaTheme="minorEastAsia"/>
      <w:b/>
      <w:color w:val="000000"/>
      <w:kern w:val="0"/>
      <w:sz w:val="48"/>
      <w:szCs w:val="48"/>
      <w14:ligatures w14:val="none"/>
    </w:rPr>
  </w:style>
  <w:style w:type="paragraph" w:customStyle="1" w:styleId="p3">
    <w:name w:val="p3"/>
    <w:basedOn w:val="Normal"/>
    <w:rsid w:val="00241ACB"/>
    <w:pPr>
      <w:spacing w:after="0" w:line="240" w:lineRule="auto"/>
      <w:ind w:left="360" w:hanging="360"/>
    </w:pPr>
    <w:rPr>
      <w:rFonts w:ascii="Arial Narrow" w:eastAsia="Times New Roman" w:hAnsi="Arial Narrow" w:cs="Times New Roman"/>
      <w:sz w:val="18"/>
      <w:szCs w:val="20"/>
    </w:rPr>
  </w:style>
  <w:style w:type="paragraph" w:customStyle="1" w:styleId="ql-indent-1">
    <w:name w:val="ql-indent-1"/>
    <w:basedOn w:val="Normal"/>
    <w:rsid w:val="00241AC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CommentSubject">
    <w:name w:val="annotation subject"/>
    <w:basedOn w:val="CommentText"/>
    <w:next w:val="CommentText"/>
    <w:link w:val="CommentSubjectChar"/>
    <w:uiPriority w:val="99"/>
    <w:semiHidden/>
    <w:unhideWhenUsed/>
    <w:rsid w:val="00241ACB"/>
    <w:pPr>
      <w:spacing w:after="160"/>
    </w:pPr>
    <w:rPr>
      <w:rFonts w:eastAsiaTheme="minorHAnsi"/>
      <w:b/>
      <w:bCs/>
      <w:lang w:val="en-AU"/>
    </w:rPr>
  </w:style>
  <w:style w:type="character" w:customStyle="1" w:styleId="CommentSubjectChar">
    <w:name w:val="Comment Subject Char"/>
    <w:basedOn w:val="CommentTextChar"/>
    <w:link w:val="CommentSubject"/>
    <w:uiPriority w:val="99"/>
    <w:semiHidden/>
    <w:rsid w:val="00241ACB"/>
    <w:rPr>
      <w:rFonts w:eastAsiaTheme="minorEastAsia"/>
      <w:b/>
      <w:bCs/>
      <w:kern w:val="0"/>
      <w:sz w:val="20"/>
      <w:szCs w:val="20"/>
      <w:lang w:val="en-AU"/>
      <w14:ligatures w14:val="none"/>
    </w:rPr>
  </w:style>
  <w:style w:type="numbering" w:customStyle="1" w:styleId="CurrentList1">
    <w:name w:val="Current List1"/>
    <w:uiPriority w:val="99"/>
    <w:rsid w:val="00241ACB"/>
    <w:pPr>
      <w:numPr>
        <w:numId w:val="8"/>
      </w:numPr>
    </w:pPr>
  </w:style>
  <w:style w:type="paragraph" w:styleId="TOC5">
    <w:name w:val="toc 5"/>
    <w:basedOn w:val="Normal"/>
    <w:next w:val="Normal"/>
    <w:autoRedefine/>
    <w:uiPriority w:val="39"/>
    <w:unhideWhenUsed/>
    <w:rsid w:val="00241ACB"/>
    <w:pPr>
      <w:spacing w:after="0" w:line="259" w:lineRule="auto"/>
      <w:ind w:left="880"/>
    </w:pPr>
    <w:rPr>
      <w:rFonts w:eastAsiaTheme="minorHAnsi" w:cstheme="minorHAnsi"/>
      <w:sz w:val="18"/>
      <w:szCs w:val="18"/>
    </w:rPr>
  </w:style>
  <w:style w:type="paragraph" w:styleId="TOC6">
    <w:name w:val="toc 6"/>
    <w:basedOn w:val="Normal"/>
    <w:next w:val="Normal"/>
    <w:autoRedefine/>
    <w:uiPriority w:val="39"/>
    <w:unhideWhenUsed/>
    <w:rsid w:val="00241ACB"/>
    <w:pPr>
      <w:spacing w:after="0" w:line="259" w:lineRule="auto"/>
      <w:ind w:left="1100"/>
    </w:pPr>
    <w:rPr>
      <w:rFonts w:eastAsiaTheme="minorHAnsi" w:cstheme="minorHAnsi"/>
      <w:sz w:val="18"/>
      <w:szCs w:val="18"/>
    </w:rPr>
  </w:style>
  <w:style w:type="paragraph" w:styleId="TOC7">
    <w:name w:val="toc 7"/>
    <w:basedOn w:val="Normal"/>
    <w:next w:val="Normal"/>
    <w:autoRedefine/>
    <w:uiPriority w:val="39"/>
    <w:unhideWhenUsed/>
    <w:rsid w:val="00241ACB"/>
    <w:pPr>
      <w:spacing w:after="0" w:line="259" w:lineRule="auto"/>
      <w:ind w:left="1320"/>
    </w:pPr>
    <w:rPr>
      <w:rFonts w:eastAsiaTheme="minorHAnsi" w:cstheme="minorHAnsi"/>
      <w:sz w:val="18"/>
      <w:szCs w:val="18"/>
    </w:rPr>
  </w:style>
  <w:style w:type="paragraph" w:styleId="TOC8">
    <w:name w:val="toc 8"/>
    <w:basedOn w:val="Normal"/>
    <w:next w:val="Normal"/>
    <w:autoRedefine/>
    <w:uiPriority w:val="39"/>
    <w:unhideWhenUsed/>
    <w:rsid w:val="00241ACB"/>
    <w:pPr>
      <w:spacing w:after="0" w:line="259" w:lineRule="auto"/>
      <w:ind w:left="1540"/>
    </w:pPr>
    <w:rPr>
      <w:rFonts w:eastAsiaTheme="minorHAnsi" w:cstheme="minorHAnsi"/>
      <w:sz w:val="18"/>
      <w:szCs w:val="18"/>
    </w:rPr>
  </w:style>
  <w:style w:type="paragraph" w:styleId="TOC9">
    <w:name w:val="toc 9"/>
    <w:basedOn w:val="Normal"/>
    <w:next w:val="Normal"/>
    <w:autoRedefine/>
    <w:uiPriority w:val="39"/>
    <w:unhideWhenUsed/>
    <w:rsid w:val="00241ACB"/>
    <w:pPr>
      <w:spacing w:after="0" w:line="259" w:lineRule="auto"/>
      <w:ind w:left="1760"/>
    </w:pPr>
    <w:rPr>
      <w:rFonts w:eastAsiaTheme="minorHAnsi" w:cstheme="minorHAnsi"/>
      <w:sz w:val="18"/>
      <w:szCs w:val="18"/>
    </w:rPr>
  </w:style>
  <w:style w:type="paragraph" w:customStyle="1" w:styleId="xl67">
    <w:name w:val="xl67"/>
    <w:basedOn w:val="Normal"/>
    <w:rsid w:val="00241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16"/>
      <w:szCs w:val="16"/>
      <w:lang w:eastAsia="en-AU"/>
    </w:rPr>
  </w:style>
  <w:style w:type="paragraph" w:customStyle="1" w:styleId="xl68">
    <w:name w:val="xl68"/>
    <w:basedOn w:val="Normal"/>
    <w:rsid w:val="00241A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16"/>
      <w:szCs w:val="16"/>
      <w:lang w:eastAsia="en-AU"/>
    </w:rPr>
  </w:style>
  <w:style w:type="paragraph" w:styleId="Revision">
    <w:name w:val="Revision"/>
    <w:hidden/>
    <w:uiPriority w:val="99"/>
    <w:semiHidden/>
    <w:rsid w:val="00241ACB"/>
    <w:pPr>
      <w:spacing w:after="0" w:line="240" w:lineRule="auto"/>
    </w:pPr>
    <w:rPr>
      <w:kern w:val="0"/>
      <w:sz w:val="22"/>
      <w:szCs w:val="22"/>
      <w:lang w:val="en-AU"/>
      <w14:ligatures w14:val="none"/>
    </w:rPr>
  </w:style>
  <w:style w:type="character" w:customStyle="1" w:styleId="line-clamp-1">
    <w:name w:val="line-clamp-1"/>
    <w:basedOn w:val="DefaultParagraphFont"/>
    <w:rsid w:val="00241ACB"/>
  </w:style>
  <w:style w:type="character" w:customStyle="1" w:styleId="overflow-hidden">
    <w:name w:val="overflow-hidden"/>
    <w:basedOn w:val="DefaultParagraphFont"/>
    <w:rsid w:val="00241ACB"/>
  </w:style>
  <w:style w:type="character" w:styleId="UnresolvedMention">
    <w:name w:val="Unresolved Mention"/>
    <w:basedOn w:val="DefaultParagraphFont"/>
    <w:uiPriority w:val="99"/>
    <w:semiHidden/>
    <w:unhideWhenUsed/>
    <w:rsid w:val="00241A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17446</Words>
  <Characters>99448</Characters>
  <Application>Microsoft Office Word</Application>
  <DocSecurity>0</DocSecurity>
  <Lines>828</Lines>
  <Paragraphs>233</Paragraphs>
  <ScaleCrop>false</ScaleCrop>
  <Company/>
  <LinksUpToDate>false</LinksUpToDate>
  <CharactersWithSpaces>116661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2025-03-18T08:00:00Z</dcterms:created>
  <dcterms:modified xsi:type="dcterms:W3CDTF">2025-03-18T08:01:00Z</dcterms:modified>
</cp:coreProperties>
</file>