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29531" w14:textId="77777777" w:rsidR="002E08BF" w:rsidRPr="00CD3AEE" w:rsidRDefault="002E08BF" w:rsidP="002E08BF">
      <w:pPr>
        <w:rPr>
          <w:b/>
          <w:bCs/>
        </w:rPr>
      </w:pPr>
      <w:r w:rsidRPr="00CD3AEE">
        <w:rPr>
          <w:b/>
          <w:bCs/>
        </w:rPr>
        <w:t>Supplementary Data</w:t>
      </w:r>
    </w:p>
    <w:p w14:paraId="11924CA6" w14:textId="77777777" w:rsidR="002E08BF" w:rsidRPr="00CD3AEE" w:rsidRDefault="002E08BF" w:rsidP="002E08BF">
      <w:r w:rsidRPr="00CD3AEE">
        <w:rPr>
          <w:b/>
          <w:bCs/>
        </w:rPr>
        <w:t>Supplementary Table 1.</w:t>
      </w:r>
      <w:r w:rsidRPr="00CD3AEE">
        <w:t xml:space="preserve"> Summary of the clinicopathologic data including patient signalment, histopathologic findings, staging information and follow-up data.  Domestic shorthair (DSH), British shorthair (BSH). </w:t>
      </w:r>
    </w:p>
    <w:tbl>
      <w:tblPr>
        <w:tblpPr w:leftFromText="180" w:rightFromText="180" w:vertAnchor="text" w:horzAnchor="margin" w:tblpXSpec="center" w:tblpY="289"/>
        <w:tblW w:w="15026" w:type="dxa"/>
        <w:tblLook w:val="01E0" w:firstRow="1" w:lastRow="1" w:firstColumn="1" w:lastColumn="1" w:noHBand="0" w:noVBand="0"/>
      </w:tblPr>
      <w:tblGrid>
        <w:gridCol w:w="418"/>
        <w:gridCol w:w="696"/>
        <w:gridCol w:w="867"/>
        <w:gridCol w:w="643"/>
        <w:gridCol w:w="67"/>
        <w:gridCol w:w="698"/>
        <w:gridCol w:w="3983"/>
        <w:gridCol w:w="708"/>
        <w:gridCol w:w="2170"/>
        <w:gridCol w:w="1033"/>
        <w:gridCol w:w="800"/>
        <w:gridCol w:w="739"/>
        <w:gridCol w:w="2204"/>
      </w:tblGrid>
      <w:tr w:rsidR="002E08BF" w:rsidRPr="00DA006D" w14:paraId="4CCAA35C" w14:textId="77777777" w:rsidTr="00BC2AF6">
        <w:tc>
          <w:tcPr>
            <w:tcW w:w="418" w:type="dxa"/>
            <w:tcBorders>
              <w:top w:val="single" w:sz="4" w:space="0" w:color="000000"/>
              <w:bottom w:val="single" w:sz="4" w:space="0" w:color="000000"/>
            </w:tcBorders>
            <w:shd w:val="clear" w:color="auto" w:fill="auto"/>
          </w:tcPr>
          <w:p w14:paraId="34933999" w14:textId="77777777" w:rsidR="002E08BF" w:rsidRPr="00DA006D" w:rsidRDefault="002E08BF" w:rsidP="00BC2AF6">
            <w:pPr>
              <w:pStyle w:val="TableHead"/>
              <w:spacing w:line="360" w:lineRule="auto"/>
              <w:jc w:val="left"/>
              <w:rPr>
                <w:rFonts w:ascii="Times New Roman" w:hAnsi="Times New Roman"/>
                <w:sz w:val="12"/>
                <w:szCs w:val="12"/>
              </w:rPr>
            </w:pPr>
            <w:r w:rsidRPr="001E7164">
              <w:rPr>
                <w:rFonts w:ascii="Times New Roman" w:hAnsi="Times New Roman"/>
                <w:sz w:val="12"/>
                <w:szCs w:val="12"/>
              </w:rPr>
              <w:t xml:space="preserve">Cat </w:t>
            </w:r>
          </w:p>
        </w:tc>
        <w:tc>
          <w:tcPr>
            <w:tcW w:w="696" w:type="dxa"/>
            <w:tcBorders>
              <w:top w:val="single" w:sz="4" w:space="0" w:color="000000"/>
              <w:bottom w:val="single" w:sz="4" w:space="0" w:color="000000"/>
            </w:tcBorders>
          </w:tcPr>
          <w:p w14:paraId="0F156C64" w14:textId="77777777" w:rsidR="002E08BF" w:rsidRPr="00DA006D" w:rsidRDefault="002E08BF" w:rsidP="00BC2AF6">
            <w:pPr>
              <w:pStyle w:val="TableHead"/>
              <w:spacing w:line="360" w:lineRule="auto"/>
              <w:jc w:val="center"/>
              <w:rPr>
                <w:rFonts w:ascii="Times New Roman" w:hAnsi="Times New Roman"/>
                <w:sz w:val="12"/>
                <w:szCs w:val="12"/>
              </w:rPr>
            </w:pPr>
            <w:r w:rsidRPr="001E7164">
              <w:rPr>
                <w:rFonts w:ascii="Times New Roman" w:hAnsi="Times New Roman"/>
                <w:sz w:val="12"/>
                <w:szCs w:val="12"/>
              </w:rPr>
              <w:t xml:space="preserve">Cohort </w:t>
            </w:r>
          </w:p>
        </w:tc>
        <w:tc>
          <w:tcPr>
            <w:tcW w:w="868" w:type="dxa"/>
            <w:tcBorders>
              <w:top w:val="single" w:sz="4" w:space="0" w:color="000000"/>
              <w:bottom w:val="single" w:sz="4" w:space="0" w:color="000000"/>
            </w:tcBorders>
            <w:shd w:val="clear" w:color="auto" w:fill="auto"/>
          </w:tcPr>
          <w:p w14:paraId="43EBE895" w14:textId="77777777" w:rsidR="002E08BF" w:rsidRPr="00DA006D" w:rsidRDefault="002E08BF" w:rsidP="00BC2AF6">
            <w:pPr>
              <w:pStyle w:val="TableHead"/>
              <w:spacing w:line="360" w:lineRule="auto"/>
              <w:jc w:val="center"/>
              <w:rPr>
                <w:rFonts w:ascii="Times New Roman" w:hAnsi="Times New Roman"/>
                <w:sz w:val="12"/>
                <w:szCs w:val="12"/>
              </w:rPr>
            </w:pPr>
            <w:r w:rsidRPr="001E7164">
              <w:rPr>
                <w:rFonts w:ascii="Times New Roman" w:hAnsi="Times New Roman"/>
                <w:sz w:val="12"/>
                <w:szCs w:val="12"/>
              </w:rPr>
              <w:t>Age (at time of enucleation</w:t>
            </w:r>
          </w:p>
        </w:tc>
        <w:tc>
          <w:tcPr>
            <w:tcW w:w="710" w:type="dxa"/>
            <w:gridSpan w:val="2"/>
            <w:tcBorders>
              <w:top w:val="single" w:sz="4" w:space="0" w:color="000000"/>
              <w:bottom w:val="single" w:sz="4" w:space="0" w:color="000000"/>
            </w:tcBorders>
            <w:shd w:val="clear" w:color="auto" w:fill="auto"/>
          </w:tcPr>
          <w:p w14:paraId="4C467512" w14:textId="77777777" w:rsidR="002E08BF" w:rsidRPr="00DA006D" w:rsidRDefault="002E08BF" w:rsidP="00BC2AF6">
            <w:pPr>
              <w:pStyle w:val="TableHead"/>
              <w:spacing w:line="360" w:lineRule="auto"/>
              <w:jc w:val="center"/>
              <w:rPr>
                <w:rFonts w:ascii="Times New Roman" w:hAnsi="Times New Roman"/>
                <w:sz w:val="12"/>
                <w:szCs w:val="12"/>
              </w:rPr>
            </w:pPr>
            <w:r w:rsidRPr="001E7164">
              <w:rPr>
                <w:rFonts w:ascii="Times New Roman" w:hAnsi="Times New Roman"/>
                <w:sz w:val="12"/>
                <w:szCs w:val="12"/>
              </w:rPr>
              <w:t>Breed</w:t>
            </w:r>
          </w:p>
        </w:tc>
        <w:tc>
          <w:tcPr>
            <w:tcW w:w="699" w:type="dxa"/>
            <w:tcBorders>
              <w:top w:val="single" w:sz="4" w:space="0" w:color="000000"/>
              <w:bottom w:val="single" w:sz="4" w:space="0" w:color="000000"/>
            </w:tcBorders>
            <w:shd w:val="clear" w:color="auto" w:fill="auto"/>
          </w:tcPr>
          <w:p w14:paraId="4605FE51" w14:textId="77777777" w:rsidR="002E08BF" w:rsidRPr="00DA006D" w:rsidRDefault="002E08BF" w:rsidP="00BC2AF6">
            <w:pPr>
              <w:pStyle w:val="TableHead"/>
              <w:spacing w:line="360" w:lineRule="auto"/>
              <w:jc w:val="center"/>
              <w:rPr>
                <w:rFonts w:ascii="Times New Roman" w:hAnsi="Times New Roman"/>
                <w:sz w:val="12"/>
                <w:szCs w:val="12"/>
              </w:rPr>
            </w:pPr>
            <w:r w:rsidRPr="001E7164">
              <w:rPr>
                <w:rFonts w:ascii="Times New Roman" w:hAnsi="Times New Roman"/>
                <w:sz w:val="12"/>
                <w:szCs w:val="12"/>
              </w:rPr>
              <w:t>Sex</w:t>
            </w:r>
          </w:p>
        </w:tc>
        <w:tc>
          <w:tcPr>
            <w:tcW w:w="3999" w:type="dxa"/>
            <w:tcBorders>
              <w:top w:val="single" w:sz="4" w:space="0" w:color="000000"/>
              <w:bottom w:val="single" w:sz="4" w:space="0" w:color="000000"/>
            </w:tcBorders>
          </w:tcPr>
          <w:p w14:paraId="6EFA4DE7" w14:textId="77777777" w:rsidR="002E08BF" w:rsidRPr="00DA006D" w:rsidRDefault="002E08BF" w:rsidP="00BC2AF6">
            <w:pPr>
              <w:pStyle w:val="TableHead"/>
              <w:spacing w:line="360" w:lineRule="auto"/>
              <w:jc w:val="center"/>
              <w:rPr>
                <w:rFonts w:ascii="Times New Roman" w:hAnsi="Times New Roman"/>
                <w:sz w:val="12"/>
                <w:szCs w:val="12"/>
              </w:rPr>
            </w:pPr>
            <w:r w:rsidRPr="001E7164">
              <w:rPr>
                <w:rFonts w:ascii="Times New Roman" w:hAnsi="Times New Roman"/>
                <w:sz w:val="12"/>
                <w:szCs w:val="12"/>
              </w:rPr>
              <w:t>Histopathological characteristics</w:t>
            </w:r>
          </w:p>
        </w:tc>
        <w:tc>
          <w:tcPr>
            <w:tcW w:w="708" w:type="dxa"/>
            <w:tcBorders>
              <w:top w:val="single" w:sz="4" w:space="0" w:color="000000"/>
              <w:bottom w:val="single" w:sz="4" w:space="0" w:color="000000"/>
            </w:tcBorders>
          </w:tcPr>
          <w:p w14:paraId="138B8704" w14:textId="77777777" w:rsidR="002E08BF" w:rsidRPr="00DA006D" w:rsidRDefault="002E08BF" w:rsidP="00BC2AF6">
            <w:pPr>
              <w:pStyle w:val="TableHead"/>
              <w:spacing w:line="360" w:lineRule="auto"/>
              <w:jc w:val="center"/>
              <w:rPr>
                <w:rFonts w:ascii="Times New Roman" w:hAnsi="Times New Roman"/>
                <w:sz w:val="12"/>
                <w:szCs w:val="12"/>
              </w:rPr>
            </w:pPr>
            <w:r w:rsidRPr="001E7164">
              <w:rPr>
                <w:rFonts w:ascii="Times New Roman" w:hAnsi="Times New Roman"/>
                <w:sz w:val="12"/>
                <w:szCs w:val="12"/>
              </w:rPr>
              <w:t>Mitotic figures (per high power field; 2.37mm</w:t>
            </w:r>
            <w:r w:rsidRPr="001E7164">
              <w:rPr>
                <w:rFonts w:ascii="Times New Roman" w:hAnsi="Times New Roman"/>
                <w:sz w:val="12"/>
                <w:szCs w:val="12"/>
                <w:vertAlign w:val="superscript"/>
              </w:rPr>
              <w:t>2</w:t>
            </w:r>
            <w:r w:rsidRPr="001E7164">
              <w:rPr>
                <w:rFonts w:ascii="Times New Roman" w:hAnsi="Times New Roman"/>
                <w:sz w:val="12"/>
                <w:szCs w:val="12"/>
              </w:rPr>
              <w:t>)</w:t>
            </w:r>
          </w:p>
        </w:tc>
        <w:tc>
          <w:tcPr>
            <w:tcW w:w="2176" w:type="dxa"/>
            <w:tcBorders>
              <w:top w:val="single" w:sz="4" w:space="0" w:color="000000"/>
              <w:bottom w:val="single" w:sz="4" w:space="0" w:color="000000"/>
            </w:tcBorders>
            <w:shd w:val="clear" w:color="auto" w:fill="auto"/>
          </w:tcPr>
          <w:p w14:paraId="6AC74DBD" w14:textId="77777777" w:rsidR="002E08BF" w:rsidRPr="00DA006D" w:rsidRDefault="002E08BF" w:rsidP="00BC2AF6">
            <w:pPr>
              <w:pStyle w:val="TableHead"/>
              <w:spacing w:line="360" w:lineRule="auto"/>
              <w:jc w:val="center"/>
              <w:rPr>
                <w:rFonts w:ascii="Times New Roman" w:hAnsi="Times New Roman"/>
                <w:sz w:val="12"/>
                <w:szCs w:val="12"/>
              </w:rPr>
            </w:pPr>
            <w:r w:rsidRPr="001E7164">
              <w:rPr>
                <w:rFonts w:ascii="Times New Roman" w:hAnsi="Times New Roman"/>
                <w:sz w:val="12"/>
                <w:szCs w:val="12"/>
              </w:rPr>
              <w:t>Staging information</w:t>
            </w:r>
          </w:p>
        </w:tc>
        <w:tc>
          <w:tcPr>
            <w:tcW w:w="1003" w:type="dxa"/>
            <w:tcBorders>
              <w:top w:val="single" w:sz="4" w:space="0" w:color="000000"/>
              <w:bottom w:val="single" w:sz="4" w:space="0" w:color="000000"/>
            </w:tcBorders>
          </w:tcPr>
          <w:p w14:paraId="7AFE28B8" w14:textId="77777777" w:rsidR="002E08BF" w:rsidRPr="00DA006D" w:rsidRDefault="002E08BF" w:rsidP="00BC2AF6">
            <w:pPr>
              <w:pStyle w:val="TableHead"/>
              <w:spacing w:line="360" w:lineRule="auto"/>
              <w:jc w:val="center"/>
              <w:rPr>
                <w:rFonts w:ascii="Times New Roman" w:hAnsi="Times New Roman"/>
                <w:sz w:val="12"/>
                <w:szCs w:val="12"/>
              </w:rPr>
            </w:pPr>
            <w:r w:rsidRPr="001E7164">
              <w:rPr>
                <w:rFonts w:ascii="Times New Roman" w:hAnsi="Times New Roman"/>
                <w:sz w:val="12"/>
                <w:szCs w:val="12"/>
              </w:rPr>
              <w:t>Metastatic status at presentation</w:t>
            </w:r>
          </w:p>
        </w:tc>
        <w:tc>
          <w:tcPr>
            <w:tcW w:w="800" w:type="dxa"/>
            <w:tcBorders>
              <w:top w:val="single" w:sz="4" w:space="0" w:color="000000"/>
              <w:bottom w:val="single" w:sz="4" w:space="0" w:color="000000"/>
            </w:tcBorders>
          </w:tcPr>
          <w:p w14:paraId="036D0BC4" w14:textId="77777777" w:rsidR="002E08BF" w:rsidRPr="00DA006D" w:rsidRDefault="002E08BF" w:rsidP="00BC2AF6">
            <w:pPr>
              <w:pStyle w:val="TableHead"/>
              <w:spacing w:line="360" w:lineRule="auto"/>
              <w:jc w:val="center"/>
              <w:rPr>
                <w:rFonts w:ascii="Times New Roman" w:hAnsi="Times New Roman"/>
                <w:sz w:val="12"/>
                <w:szCs w:val="12"/>
                <w:vertAlign w:val="superscript"/>
              </w:rPr>
            </w:pPr>
            <w:r w:rsidRPr="001E7164">
              <w:rPr>
                <w:rFonts w:ascii="Times New Roman" w:hAnsi="Times New Roman"/>
                <w:sz w:val="12"/>
                <w:szCs w:val="12"/>
              </w:rPr>
              <w:t>Deceased</w:t>
            </w:r>
            <w:r w:rsidRPr="001E7164">
              <w:rPr>
                <w:rFonts w:ascii="Times New Roman" w:hAnsi="Times New Roman"/>
                <w:sz w:val="12"/>
                <w:szCs w:val="12"/>
                <w:vertAlign w:val="superscript"/>
              </w:rPr>
              <w:t>*</w:t>
            </w:r>
          </w:p>
        </w:tc>
        <w:tc>
          <w:tcPr>
            <w:tcW w:w="739" w:type="dxa"/>
            <w:tcBorders>
              <w:top w:val="single" w:sz="4" w:space="0" w:color="000000"/>
              <w:bottom w:val="single" w:sz="4" w:space="0" w:color="000000"/>
            </w:tcBorders>
          </w:tcPr>
          <w:p w14:paraId="0969077E" w14:textId="77777777" w:rsidR="002E08BF" w:rsidRPr="00DA006D" w:rsidRDefault="002E08BF" w:rsidP="00BC2AF6">
            <w:pPr>
              <w:pStyle w:val="TableHead"/>
              <w:spacing w:line="360" w:lineRule="auto"/>
              <w:jc w:val="center"/>
              <w:rPr>
                <w:rFonts w:ascii="Times New Roman" w:hAnsi="Times New Roman"/>
                <w:sz w:val="12"/>
                <w:szCs w:val="12"/>
              </w:rPr>
            </w:pPr>
            <w:r w:rsidRPr="001E7164">
              <w:rPr>
                <w:rFonts w:ascii="Times New Roman" w:hAnsi="Times New Roman"/>
                <w:sz w:val="12"/>
                <w:szCs w:val="12"/>
              </w:rPr>
              <w:t>Survival (months)</w:t>
            </w:r>
          </w:p>
        </w:tc>
        <w:tc>
          <w:tcPr>
            <w:tcW w:w="2210" w:type="dxa"/>
            <w:tcBorders>
              <w:top w:val="single" w:sz="4" w:space="0" w:color="000000"/>
              <w:bottom w:val="single" w:sz="4" w:space="0" w:color="000000"/>
            </w:tcBorders>
          </w:tcPr>
          <w:p w14:paraId="1D512379" w14:textId="77777777" w:rsidR="002E08BF" w:rsidRPr="00DA006D" w:rsidRDefault="002E08BF" w:rsidP="00BC2AF6">
            <w:pPr>
              <w:pStyle w:val="TableHead"/>
              <w:spacing w:line="360" w:lineRule="auto"/>
              <w:jc w:val="center"/>
              <w:rPr>
                <w:rFonts w:ascii="Times New Roman" w:hAnsi="Times New Roman"/>
                <w:sz w:val="12"/>
                <w:szCs w:val="12"/>
                <w:vertAlign w:val="superscript"/>
              </w:rPr>
            </w:pPr>
            <w:r w:rsidRPr="001E7164">
              <w:rPr>
                <w:rFonts w:ascii="Times New Roman" w:hAnsi="Times New Roman"/>
                <w:sz w:val="12"/>
                <w:szCs w:val="12"/>
              </w:rPr>
              <w:t>Development of metastases or recurrence</w:t>
            </w:r>
            <w:r w:rsidRPr="001E7164">
              <w:rPr>
                <w:rFonts w:ascii="Times New Roman" w:hAnsi="Times New Roman"/>
                <w:sz w:val="12"/>
                <w:szCs w:val="12"/>
                <w:vertAlign w:val="superscript"/>
              </w:rPr>
              <w:t>*</w:t>
            </w:r>
          </w:p>
        </w:tc>
      </w:tr>
      <w:tr w:rsidR="002E08BF" w:rsidRPr="00DA006D" w14:paraId="33A00589" w14:textId="77777777" w:rsidTr="00BC2AF6">
        <w:tc>
          <w:tcPr>
            <w:tcW w:w="418" w:type="dxa"/>
            <w:tcBorders>
              <w:top w:val="single" w:sz="4" w:space="0" w:color="000000"/>
            </w:tcBorders>
            <w:shd w:val="clear" w:color="auto" w:fill="auto"/>
          </w:tcPr>
          <w:p w14:paraId="14E9E86D"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1</w:t>
            </w:r>
          </w:p>
        </w:tc>
        <w:tc>
          <w:tcPr>
            <w:tcW w:w="696" w:type="dxa"/>
            <w:tcBorders>
              <w:top w:val="single" w:sz="4" w:space="0" w:color="000000"/>
            </w:tcBorders>
          </w:tcPr>
          <w:p w14:paraId="6C86559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788D8FD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11 years</w:t>
            </w:r>
          </w:p>
        </w:tc>
        <w:tc>
          <w:tcPr>
            <w:tcW w:w="643" w:type="dxa"/>
            <w:tcBorders>
              <w:top w:val="single" w:sz="4" w:space="0" w:color="000000"/>
            </w:tcBorders>
            <w:shd w:val="clear" w:color="auto" w:fill="auto"/>
          </w:tcPr>
          <w:p w14:paraId="69D30D6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60B534F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22BD520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Polygonal to spindeloid cells lining the anterior surface in 1-3 layers and focally infiltrating the anterior iris stroma</w:t>
            </w:r>
            <w:r>
              <w:rPr>
                <w:rFonts w:ascii="Times New Roman" w:hAnsi="Times New Roman"/>
                <w:sz w:val="12"/>
                <w:szCs w:val="12"/>
              </w:rPr>
              <w:t>.</w:t>
            </w:r>
          </w:p>
        </w:tc>
        <w:tc>
          <w:tcPr>
            <w:tcW w:w="708" w:type="dxa"/>
            <w:tcBorders>
              <w:top w:val="single" w:sz="4" w:space="0" w:color="000000"/>
            </w:tcBorders>
          </w:tcPr>
          <w:p w14:paraId="53FFB04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&lt;1</w:t>
            </w:r>
          </w:p>
        </w:tc>
        <w:tc>
          <w:tcPr>
            <w:tcW w:w="2176" w:type="dxa"/>
            <w:tcBorders>
              <w:top w:val="single" w:sz="4" w:space="0" w:color="000000"/>
            </w:tcBorders>
            <w:shd w:val="clear" w:color="auto" w:fill="auto"/>
          </w:tcPr>
          <w:p w14:paraId="131A6B5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7793958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73DC687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739" w:type="dxa"/>
            <w:tcBorders>
              <w:top w:val="single" w:sz="4" w:space="0" w:color="000000"/>
            </w:tcBorders>
          </w:tcPr>
          <w:p w14:paraId="69A039A0" w14:textId="77777777" w:rsidR="002E08BF" w:rsidRPr="00DA006D" w:rsidRDefault="002E08BF" w:rsidP="00BC2AF6">
            <w:pPr>
              <w:pStyle w:val="TableBody"/>
              <w:spacing w:line="360" w:lineRule="auto"/>
              <w:jc w:val="center"/>
              <w:rPr>
                <w:rFonts w:ascii="Times New Roman" w:hAnsi="Times New Roman"/>
                <w:sz w:val="12"/>
                <w:szCs w:val="12"/>
              </w:rPr>
            </w:pPr>
          </w:p>
        </w:tc>
        <w:tc>
          <w:tcPr>
            <w:tcW w:w="2210" w:type="dxa"/>
            <w:tcBorders>
              <w:top w:val="single" w:sz="4" w:space="0" w:color="000000"/>
            </w:tcBorders>
          </w:tcPr>
          <w:p w14:paraId="42CFA95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r>
      <w:tr w:rsidR="002E08BF" w:rsidRPr="00DA006D" w14:paraId="473F9DF0" w14:textId="77777777" w:rsidTr="00BC2AF6">
        <w:tc>
          <w:tcPr>
            <w:tcW w:w="418" w:type="dxa"/>
            <w:tcBorders>
              <w:top w:val="single" w:sz="4" w:space="0" w:color="000000"/>
            </w:tcBorders>
            <w:shd w:val="clear" w:color="auto" w:fill="auto"/>
          </w:tcPr>
          <w:p w14:paraId="1D012294"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2</w:t>
            </w:r>
          </w:p>
        </w:tc>
        <w:tc>
          <w:tcPr>
            <w:tcW w:w="696" w:type="dxa"/>
            <w:tcBorders>
              <w:top w:val="single" w:sz="4" w:space="0" w:color="000000"/>
            </w:tcBorders>
          </w:tcPr>
          <w:p w14:paraId="4F98380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1DA9F0C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6 years</w:t>
            </w:r>
          </w:p>
        </w:tc>
        <w:tc>
          <w:tcPr>
            <w:tcW w:w="643" w:type="dxa"/>
            <w:tcBorders>
              <w:top w:val="single" w:sz="4" w:space="0" w:color="000000"/>
            </w:tcBorders>
            <w:shd w:val="clear" w:color="auto" w:fill="auto"/>
          </w:tcPr>
          <w:p w14:paraId="1B860D4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00B75B1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152E717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Polygonal to round cells lining the anterior surface in 1-3 layers and focally infiltrating the anterior iris stroma</w:t>
            </w:r>
            <w:r>
              <w:rPr>
                <w:rFonts w:ascii="Times New Roman" w:hAnsi="Times New Roman"/>
                <w:sz w:val="12"/>
                <w:szCs w:val="12"/>
              </w:rPr>
              <w:t>.</w:t>
            </w:r>
          </w:p>
        </w:tc>
        <w:tc>
          <w:tcPr>
            <w:tcW w:w="708" w:type="dxa"/>
            <w:tcBorders>
              <w:top w:val="single" w:sz="4" w:space="0" w:color="000000"/>
            </w:tcBorders>
          </w:tcPr>
          <w:p w14:paraId="31C3186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248CF62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Thoracic radiographs</w:t>
            </w:r>
            <w:r>
              <w:rPr>
                <w:rFonts w:ascii="Times New Roman" w:hAnsi="Times New Roman"/>
                <w:sz w:val="12"/>
                <w:szCs w:val="12"/>
              </w:rPr>
              <w:t>.</w:t>
            </w:r>
          </w:p>
        </w:tc>
        <w:tc>
          <w:tcPr>
            <w:tcW w:w="1003" w:type="dxa"/>
            <w:tcBorders>
              <w:top w:val="single" w:sz="4" w:space="0" w:color="000000"/>
            </w:tcBorders>
          </w:tcPr>
          <w:p w14:paraId="4ECC5BF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10F03B5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739" w:type="dxa"/>
            <w:tcBorders>
              <w:top w:val="single" w:sz="4" w:space="0" w:color="000000"/>
            </w:tcBorders>
          </w:tcPr>
          <w:p w14:paraId="6B20D097" w14:textId="77777777" w:rsidR="002E08BF" w:rsidRPr="00DA006D" w:rsidRDefault="002E08BF" w:rsidP="00BC2AF6">
            <w:pPr>
              <w:pStyle w:val="TableBody"/>
              <w:spacing w:line="360" w:lineRule="auto"/>
              <w:jc w:val="center"/>
              <w:rPr>
                <w:rFonts w:ascii="Times New Roman" w:hAnsi="Times New Roman"/>
                <w:sz w:val="12"/>
                <w:szCs w:val="12"/>
              </w:rPr>
            </w:pPr>
          </w:p>
        </w:tc>
        <w:tc>
          <w:tcPr>
            <w:tcW w:w="2210" w:type="dxa"/>
            <w:tcBorders>
              <w:top w:val="single" w:sz="4" w:space="0" w:color="000000"/>
            </w:tcBorders>
          </w:tcPr>
          <w:p w14:paraId="64EF313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r>
      <w:tr w:rsidR="002E08BF" w:rsidRPr="00DA006D" w14:paraId="1678BF51" w14:textId="77777777" w:rsidTr="00BC2AF6">
        <w:tc>
          <w:tcPr>
            <w:tcW w:w="418" w:type="dxa"/>
            <w:tcBorders>
              <w:top w:val="single" w:sz="4" w:space="0" w:color="000000"/>
            </w:tcBorders>
            <w:shd w:val="clear" w:color="auto" w:fill="auto"/>
          </w:tcPr>
          <w:p w14:paraId="6E9AD84D"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3</w:t>
            </w:r>
          </w:p>
        </w:tc>
        <w:tc>
          <w:tcPr>
            <w:tcW w:w="696" w:type="dxa"/>
            <w:tcBorders>
              <w:top w:val="single" w:sz="4" w:space="0" w:color="000000"/>
            </w:tcBorders>
          </w:tcPr>
          <w:p w14:paraId="4568F33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664663F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5 years</w:t>
            </w:r>
          </w:p>
        </w:tc>
        <w:tc>
          <w:tcPr>
            <w:tcW w:w="643" w:type="dxa"/>
            <w:tcBorders>
              <w:top w:val="single" w:sz="4" w:space="0" w:color="000000"/>
            </w:tcBorders>
            <w:shd w:val="clear" w:color="auto" w:fill="auto"/>
          </w:tcPr>
          <w:p w14:paraId="3575A0F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7CAC2FD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74B33ED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Polygonal melanocytes lining the anterior surface in 1-3 layers and focally infiltrating the anterior iris stroma</w:t>
            </w:r>
            <w:r>
              <w:rPr>
                <w:rFonts w:ascii="Times New Roman" w:hAnsi="Times New Roman"/>
                <w:sz w:val="12"/>
                <w:szCs w:val="12"/>
              </w:rPr>
              <w:t>.</w:t>
            </w:r>
          </w:p>
        </w:tc>
        <w:tc>
          <w:tcPr>
            <w:tcW w:w="708" w:type="dxa"/>
            <w:tcBorders>
              <w:top w:val="single" w:sz="4" w:space="0" w:color="000000"/>
            </w:tcBorders>
          </w:tcPr>
          <w:p w14:paraId="1B7E96C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&lt;1</w:t>
            </w:r>
          </w:p>
        </w:tc>
        <w:tc>
          <w:tcPr>
            <w:tcW w:w="2176" w:type="dxa"/>
            <w:tcBorders>
              <w:top w:val="single" w:sz="4" w:space="0" w:color="000000"/>
            </w:tcBorders>
            <w:shd w:val="clear" w:color="auto" w:fill="auto"/>
          </w:tcPr>
          <w:p w14:paraId="6269F2B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Thoracic radiographs</w:t>
            </w:r>
            <w:r>
              <w:rPr>
                <w:rFonts w:ascii="Times New Roman" w:hAnsi="Times New Roman"/>
                <w:sz w:val="12"/>
                <w:szCs w:val="12"/>
              </w:rPr>
              <w:t>.</w:t>
            </w:r>
          </w:p>
        </w:tc>
        <w:tc>
          <w:tcPr>
            <w:tcW w:w="1003" w:type="dxa"/>
            <w:tcBorders>
              <w:top w:val="single" w:sz="4" w:space="0" w:color="000000"/>
            </w:tcBorders>
          </w:tcPr>
          <w:p w14:paraId="1591C58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1452A9F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739" w:type="dxa"/>
            <w:tcBorders>
              <w:top w:val="single" w:sz="4" w:space="0" w:color="000000"/>
            </w:tcBorders>
          </w:tcPr>
          <w:p w14:paraId="424F9391" w14:textId="77777777" w:rsidR="002E08BF" w:rsidRPr="00DA006D" w:rsidRDefault="002E08BF" w:rsidP="00BC2AF6">
            <w:pPr>
              <w:pStyle w:val="TableBody"/>
              <w:spacing w:line="360" w:lineRule="auto"/>
              <w:jc w:val="center"/>
              <w:rPr>
                <w:rFonts w:ascii="Times New Roman" w:hAnsi="Times New Roman"/>
                <w:sz w:val="12"/>
                <w:szCs w:val="12"/>
              </w:rPr>
            </w:pPr>
          </w:p>
        </w:tc>
        <w:tc>
          <w:tcPr>
            <w:tcW w:w="2210" w:type="dxa"/>
            <w:tcBorders>
              <w:top w:val="single" w:sz="4" w:space="0" w:color="000000"/>
            </w:tcBorders>
          </w:tcPr>
          <w:p w14:paraId="01DD00E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r>
      <w:tr w:rsidR="002E08BF" w:rsidRPr="00DA006D" w14:paraId="591BBF86" w14:textId="77777777" w:rsidTr="00BC2AF6">
        <w:tc>
          <w:tcPr>
            <w:tcW w:w="418" w:type="dxa"/>
            <w:tcBorders>
              <w:top w:val="single" w:sz="4" w:space="0" w:color="000000"/>
            </w:tcBorders>
            <w:shd w:val="clear" w:color="auto" w:fill="auto"/>
          </w:tcPr>
          <w:p w14:paraId="315043A5"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4</w:t>
            </w:r>
          </w:p>
        </w:tc>
        <w:tc>
          <w:tcPr>
            <w:tcW w:w="696" w:type="dxa"/>
            <w:tcBorders>
              <w:top w:val="single" w:sz="4" w:space="0" w:color="000000"/>
            </w:tcBorders>
          </w:tcPr>
          <w:p w14:paraId="6F3FEAC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021ECC5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5 years</w:t>
            </w:r>
          </w:p>
        </w:tc>
        <w:tc>
          <w:tcPr>
            <w:tcW w:w="643" w:type="dxa"/>
            <w:tcBorders>
              <w:top w:val="single" w:sz="4" w:space="0" w:color="000000"/>
            </w:tcBorders>
            <w:shd w:val="clear" w:color="auto" w:fill="auto"/>
          </w:tcPr>
          <w:p w14:paraId="72918C0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54B6D14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04865ED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Coarsely pigmented melanocytes lining the anterior surface of the iris in 1-3 layers and focally infiltrating the anterior iris stroma</w:t>
            </w:r>
            <w:r>
              <w:rPr>
                <w:rFonts w:ascii="Times New Roman" w:hAnsi="Times New Roman"/>
                <w:sz w:val="12"/>
                <w:szCs w:val="12"/>
              </w:rPr>
              <w:t>. Secondary glaucoma.</w:t>
            </w:r>
          </w:p>
        </w:tc>
        <w:tc>
          <w:tcPr>
            <w:tcW w:w="708" w:type="dxa"/>
            <w:tcBorders>
              <w:top w:val="single" w:sz="4" w:space="0" w:color="000000"/>
            </w:tcBorders>
          </w:tcPr>
          <w:p w14:paraId="31F128B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0BB48AD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Thoracic radiographs, abdominal ultrasound scan</w:t>
            </w:r>
            <w:r>
              <w:rPr>
                <w:rFonts w:ascii="Times New Roman" w:hAnsi="Times New Roman"/>
                <w:sz w:val="12"/>
                <w:szCs w:val="12"/>
              </w:rPr>
              <w:t>.</w:t>
            </w:r>
          </w:p>
        </w:tc>
        <w:tc>
          <w:tcPr>
            <w:tcW w:w="1003" w:type="dxa"/>
            <w:tcBorders>
              <w:top w:val="single" w:sz="4" w:space="0" w:color="000000"/>
            </w:tcBorders>
          </w:tcPr>
          <w:p w14:paraId="283F2C1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1A8ACA2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739" w:type="dxa"/>
            <w:tcBorders>
              <w:top w:val="single" w:sz="4" w:space="0" w:color="000000"/>
            </w:tcBorders>
          </w:tcPr>
          <w:p w14:paraId="597A915C" w14:textId="77777777" w:rsidR="002E08BF" w:rsidRPr="00DA006D" w:rsidRDefault="002E08BF" w:rsidP="00BC2AF6">
            <w:pPr>
              <w:pStyle w:val="TableBody"/>
              <w:spacing w:line="360" w:lineRule="auto"/>
              <w:jc w:val="center"/>
              <w:rPr>
                <w:rFonts w:ascii="Times New Roman" w:hAnsi="Times New Roman"/>
                <w:sz w:val="12"/>
                <w:szCs w:val="12"/>
              </w:rPr>
            </w:pPr>
          </w:p>
        </w:tc>
        <w:tc>
          <w:tcPr>
            <w:tcW w:w="2210" w:type="dxa"/>
            <w:tcBorders>
              <w:top w:val="single" w:sz="4" w:space="0" w:color="000000"/>
            </w:tcBorders>
          </w:tcPr>
          <w:p w14:paraId="4E276A0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r>
      <w:tr w:rsidR="002E08BF" w:rsidRPr="00DA006D" w14:paraId="0AE3CA80" w14:textId="77777777" w:rsidTr="00BC2AF6">
        <w:tc>
          <w:tcPr>
            <w:tcW w:w="418" w:type="dxa"/>
            <w:tcBorders>
              <w:top w:val="single" w:sz="4" w:space="0" w:color="000000"/>
            </w:tcBorders>
            <w:shd w:val="clear" w:color="auto" w:fill="auto"/>
          </w:tcPr>
          <w:p w14:paraId="188F52DF"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5</w:t>
            </w:r>
          </w:p>
        </w:tc>
        <w:tc>
          <w:tcPr>
            <w:tcW w:w="696" w:type="dxa"/>
            <w:tcBorders>
              <w:top w:val="single" w:sz="4" w:space="0" w:color="000000"/>
            </w:tcBorders>
          </w:tcPr>
          <w:p w14:paraId="4D6AEAA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19B9315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6 years</w:t>
            </w:r>
          </w:p>
        </w:tc>
        <w:tc>
          <w:tcPr>
            <w:tcW w:w="643" w:type="dxa"/>
            <w:tcBorders>
              <w:top w:val="single" w:sz="4" w:space="0" w:color="000000"/>
            </w:tcBorders>
            <w:shd w:val="clear" w:color="auto" w:fill="auto"/>
          </w:tcPr>
          <w:p w14:paraId="70A65ED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Ragdoll</w:t>
            </w:r>
          </w:p>
        </w:tc>
        <w:tc>
          <w:tcPr>
            <w:tcW w:w="766" w:type="dxa"/>
            <w:gridSpan w:val="2"/>
            <w:tcBorders>
              <w:top w:val="single" w:sz="4" w:space="0" w:color="000000"/>
            </w:tcBorders>
            <w:shd w:val="clear" w:color="auto" w:fill="auto"/>
          </w:tcPr>
          <w:p w14:paraId="399183E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1E7ECD8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Oval to polygonal cells expanding the entire iris stroma</w:t>
            </w:r>
            <w:r>
              <w:rPr>
                <w:rFonts w:ascii="Times New Roman" w:hAnsi="Times New Roman"/>
                <w:sz w:val="12"/>
                <w:szCs w:val="12"/>
              </w:rPr>
              <w:t>.</w:t>
            </w:r>
          </w:p>
        </w:tc>
        <w:tc>
          <w:tcPr>
            <w:tcW w:w="708" w:type="dxa"/>
            <w:tcBorders>
              <w:top w:val="single" w:sz="4" w:space="0" w:color="000000"/>
            </w:tcBorders>
          </w:tcPr>
          <w:p w14:paraId="019F70E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w:t>
            </w:r>
          </w:p>
        </w:tc>
        <w:tc>
          <w:tcPr>
            <w:tcW w:w="2176" w:type="dxa"/>
            <w:tcBorders>
              <w:top w:val="single" w:sz="4" w:space="0" w:color="000000"/>
            </w:tcBorders>
            <w:shd w:val="clear" w:color="auto" w:fill="auto"/>
          </w:tcPr>
          <w:p w14:paraId="5CBA7AD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Thoracic radiographs, abdominal ultrasound scan</w:t>
            </w:r>
            <w:r>
              <w:rPr>
                <w:rFonts w:ascii="Times New Roman" w:hAnsi="Times New Roman"/>
                <w:sz w:val="12"/>
                <w:szCs w:val="12"/>
              </w:rPr>
              <w:t>.</w:t>
            </w:r>
          </w:p>
        </w:tc>
        <w:tc>
          <w:tcPr>
            <w:tcW w:w="1003" w:type="dxa"/>
            <w:tcBorders>
              <w:top w:val="single" w:sz="4" w:space="0" w:color="000000"/>
            </w:tcBorders>
          </w:tcPr>
          <w:p w14:paraId="7906B9A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120C5E0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739" w:type="dxa"/>
            <w:tcBorders>
              <w:top w:val="single" w:sz="4" w:space="0" w:color="000000"/>
            </w:tcBorders>
          </w:tcPr>
          <w:p w14:paraId="7F7F4AC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51642B7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7157A88B" w14:textId="77777777" w:rsidTr="00BC2AF6">
        <w:tc>
          <w:tcPr>
            <w:tcW w:w="418" w:type="dxa"/>
            <w:tcBorders>
              <w:top w:val="single" w:sz="4" w:space="0" w:color="000000"/>
            </w:tcBorders>
            <w:shd w:val="clear" w:color="auto" w:fill="auto"/>
          </w:tcPr>
          <w:p w14:paraId="5FDC3D4E"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6</w:t>
            </w:r>
          </w:p>
        </w:tc>
        <w:tc>
          <w:tcPr>
            <w:tcW w:w="696" w:type="dxa"/>
            <w:tcBorders>
              <w:top w:val="single" w:sz="4" w:space="0" w:color="000000"/>
            </w:tcBorders>
          </w:tcPr>
          <w:p w14:paraId="1F28CB0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7B00ADE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5 years</w:t>
            </w:r>
          </w:p>
        </w:tc>
        <w:tc>
          <w:tcPr>
            <w:tcW w:w="643" w:type="dxa"/>
            <w:tcBorders>
              <w:top w:val="single" w:sz="4" w:space="0" w:color="000000"/>
            </w:tcBorders>
            <w:shd w:val="clear" w:color="auto" w:fill="auto"/>
          </w:tcPr>
          <w:p w14:paraId="641BFD6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Persian</w:t>
            </w:r>
          </w:p>
        </w:tc>
        <w:tc>
          <w:tcPr>
            <w:tcW w:w="766" w:type="dxa"/>
            <w:gridSpan w:val="2"/>
            <w:tcBorders>
              <w:top w:val="single" w:sz="4" w:space="0" w:color="000000"/>
            </w:tcBorders>
            <w:shd w:val="clear" w:color="auto" w:fill="auto"/>
          </w:tcPr>
          <w:p w14:paraId="20D6840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609418A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Polygonal to elongate melanocytes lining the anterior surface of the iris in 1-3 layers and focally infiltrating the iris stroma</w:t>
            </w:r>
            <w:r>
              <w:rPr>
                <w:rFonts w:ascii="Times New Roman" w:hAnsi="Times New Roman"/>
                <w:sz w:val="12"/>
                <w:szCs w:val="12"/>
              </w:rPr>
              <w:t>.</w:t>
            </w:r>
          </w:p>
        </w:tc>
        <w:tc>
          <w:tcPr>
            <w:tcW w:w="708" w:type="dxa"/>
            <w:tcBorders>
              <w:top w:val="single" w:sz="4" w:space="0" w:color="000000"/>
            </w:tcBorders>
          </w:tcPr>
          <w:p w14:paraId="2C8267C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21D518F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072B680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2742225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739" w:type="dxa"/>
            <w:tcBorders>
              <w:top w:val="single" w:sz="4" w:space="0" w:color="000000"/>
            </w:tcBorders>
          </w:tcPr>
          <w:p w14:paraId="2F2C48F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50F8BC2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15583B23" w14:textId="77777777" w:rsidTr="00BC2AF6">
        <w:tc>
          <w:tcPr>
            <w:tcW w:w="418" w:type="dxa"/>
            <w:tcBorders>
              <w:top w:val="single" w:sz="4" w:space="0" w:color="000000"/>
            </w:tcBorders>
            <w:shd w:val="clear" w:color="auto" w:fill="auto"/>
          </w:tcPr>
          <w:p w14:paraId="4AE9BE0D"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7</w:t>
            </w:r>
          </w:p>
        </w:tc>
        <w:tc>
          <w:tcPr>
            <w:tcW w:w="696" w:type="dxa"/>
            <w:tcBorders>
              <w:top w:val="single" w:sz="4" w:space="0" w:color="000000"/>
            </w:tcBorders>
          </w:tcPr>
          <w:p w14:paraId="042CE5B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49768EE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11 years</w:t>
            </w:r>
          </w:p>
        </w:tc>
        <w:tc>
          <w:tcPr>
            <w:tcW w:w="643" w:type="dxa"/>
            <w:tcBorders>
              <w:top w:val="single" w:sz="4" w:space="0" w:color="000000"/>
            </w:tcBorders>
            <w:shd w:val="clear" w:color="auto" w:fill="auto"/>
          </w:tcPr>
          <w:p w14:paraId="645413F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088E0C5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4C7B84B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Large polygonal round melanocytes lining the anterior surface of the iris in 1-3 layers and focally infiltrating the iris stroma</w:t>
            </w:r>
            <w:r>
              <w:rPr>
                <w:rFonts w:ascii="Times New Roman" w:hAnsi="Times New Roman"/>
                <w:sz w:val="12"/>
                <w:szCs w:val="12"/>
              </w:rPr>
              <w:t>.</w:t>
            </w:r>
          </w:p>
        </w:tc>
        <w:tc>
          <w:tcPr>
            <w:tcW w:w="708" w:type="dxa"/>
            <w:tcBorders>
              <w:top w:val="single" w:sz="4" w:space="0" w:color="000000"/>
            </w:tcBorders>
          </w:tcPr>
          <w:p w14:paraId="399F8C5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38D8BFD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Thoracoabdominal computed tomography</w:t>
            </w:r>
            <w:r>
              <w:rPr>
                <w:rFonts w:ascii="Times New Roman" w:hAnsi="Times New Roman"/>
                <w:sz w:val="12"/>
                <w:szCs w:val="12"/>
              </w:rPr>
              <w:t>.</w:t>
            </w:r>
          </w:p>
        </w:tc>
        <w:tc>
          <w:tcPr>
            <w:tcW w:w="1003" w:type="dxa"/>
            <w:tcBorders>
              <w:top w:val="single" w:sz="4" w:space="0" w:color="000000"/>
            </w:tcBorders>
          </w:tcPr>
          <w:p w14:paraId="6E44CF8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60DA7D3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39031EC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21</w:t>
            </w:r>
          </w:p>
        </w:tc>
        <w:tc>
          <w:tcPr>
            <w:tcW w:w="2210" w:type="dxa"/>
            <w:tcBorders>
              <w:top w:val="single" w:sz="4" w:space="0" w:color="000000"/>
            </w:tcBorders>
          </w:tcPr>
          <w:p w14:paraId="47C03958" w14:textId="77777777" w:rsidR="002E08BF" w:rsidRPr="001E7164"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Euthanised due to unknown bladder mass</w:t>
            </w:r>
            <w:r>
              <w:rPr>
                <w:rFonts w:ascii="Times New Roman" w:hAnsi="Times New Roman"/>
                <w:sz w:val="12"/>
                <w:szCs w:val="12"/>
              </w:rPr>
              <w:t>.</w:t>
            </w:r>
          </w:p>
          <w:p w14:paraId="3464AD47" w14:textId="77777777" w:rsidR="002E08BF" w:rsidRPr="00DA006D" w:rsidRDefault="002E08BF" w:rsidP="00BC2AF6">
            <w:pPr>
              <w:pStyle w:val="TableBody"/>
              <w:spacing w:line="360" w:lineRule="auto"/>
              <w:jc w:val="center"/>
              <w:rPr>
                <w:rFonts w:ascii="Times New Roman" w:hAnsi="Times New Roman"/>
                <w:sz w:val="12"/>
                <w:szCs w:val="12"/>
              </w:rPr>
            </w:pPr>
          </w:p>
        </w:tc>
      </w:tr>
      <w:tr w:rsidR="002E08BF" w:rsidRPr="00DA006D" w14:paraId="2DF6758A" w14:textId="77777777" w:rsidTr="00BC2AF6">
        <w:tc>
          <w:tcPr>
            <w:tcW w:w="418" w:type="dxa"/>
            <w:tcBorders>
              <w:top w:val="single" w:sz="4" w:space="0" w:color="000000"/>
            </w:tcBorders>
            <w:shd w:val="clear" w:color="auto" w:fill="auto"/>
          </w:tcPr>
          <w:p w14:paraId="74E165FC"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8</w:t>
            </w:r>
          </w:p>
        </w:tc>
        <w:tc>
          <w:tcPr>
            <w:tcW w:w="696" w:type="dxa"/>
            <w:tcBorders>
              <w:top w:val="single" w:sz="4" w:space="0" w:color="000000"/>
            </w:tcBorders>
          </w:tcPr>
          <w:p w14:paraId="06125E3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09B4828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years</w:t>
            </w:r>
          </w:p>
        </w:tc>
        <w:tc>
          <w:tcPr>
            <w:tcW w:w="643" w:type="dxa"/>
            <w:tcBorders>
              <w:top w:val="single" w:sz="4" w:space="0" w:color="000000"/>
            </w:tcBorders>
            <w:shd w:val="clear" w:color="auto" w:fill="auto"/>
          </w:tcPr>
          <w:p w14:paraId="6CFF364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15D20A1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35DA45D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Polygonal to elongate melanocytes lining the anterior surface of the iris in 1-3 layers and focally infiltrating the iris stroma</w:t>
            </w:r>
            <w:r>
              <w:rPr>
                <w:rFonts w:ascii="Times New Roman" w:hAnsi="Times New Roman"/>
                <w:sz w:val="12"/>
                <w:szCs w:val="12"/>
              </w:rPr>
              <w:t>.</w:t>
            </w:r>
          </w:p>
        </w:tc>
        <w:tc>
          <w:tcPr>
            <w:tcW w:w="708" w:type="dxa"/>
            <w:tcBorders>
              <w:top w:val="single" w:sz="4" w:space="0" w:color="000000"/>
            </w:tcBorders>
          </w:tcPr>
          <w:p w14:paraId="11B6EE8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31E9703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Thoracic radiographs, abdominal ultrasound scan</w:t>
            </w:r>
            <w:r>
              <w:rPr>
                <w:rFonts w:ascii="Times New Roman" w:hAnsi="Times New Roman"/>
                <w:sz w:val="12"/>
                <w:szCs w:val="12"/>
              </w:rPr>
              <w:t>.</w:t>
            </w:r>
          </w:p>
        </w:tc>
        <w:tc>
          <w:tcPr>
            <w:tcW w:w="1003" w:type="dxa"/>
            <w:tcBorders>
              <w:top w:val="single" w:sz="4" w:space="0" w:color="000000"/>
            </w:tcBorders>
          </w:tcPr>
          <w:p w14:paraId="63827FD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206E313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3E63F9D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21</w:t>
            </w:r>
          </w:p>
        </w:tc>
        <w:tc>
          <w:tcPr>
            <w:tcW w:w="2210" w:type="dxa"/>
            <w:tcBorders>
              <w:top w:val="single" w:sz="4" w:space="0" w:color="000000"/>
            </w:tcBorders>
          </w:tcPr>
          <w:p w14:paraId="1C741FD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Euthanised due to aortic thromboembolism (presumed unrelated)</w:t>
            </w:r>
            <w:r>
              <w:rPr>
                <w:rFonts w:ascii="Times New Roman" w:hAnsi="Times New Roman"/>
                <w:sz w:val="12"/>
                <w:szCs w:val="12"/>
              </w:rPr>
              <w:t>.</w:t>
            </w:r>
          </w:p>
        </w:tc>
      </w:tr>
      <w:tr w:rsidR="002E08BF" w:rsidRPr="00DA006D" w14:paraId="086C6013" w14:textId="77777777" w:rsidTr="00BC2AF6">
        <w:tc>
          <w:tcPr>
            <w:tcW w:w="418" w:type="dxa"/>
            <w:tcBorders>
              <w:top w:val="single" w:sz="4" w:space="0" w:color="000000"/>
            </w:tcBorders>
            <w:shd w:val="clear" w:color="auto" w:fill="auto"/>
          </w:tcPr>
          <w:p w14:paraId="63080154"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9</w:t>
            </w:r>
          </w:p>
        </w:tc>
        <w:tc>
          <w:tcPr>
            <w:tcW w:w="696" w:type="dxa"/>
            <w:tcBorders>
              <w:top w:val="single" w:sz="4" w:space="0" w:color="000000"/>
            </w:tcBorders>
          </w:tcPr>
          <w:p w14:paraId="4527D75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247C3C8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years</w:t>
            </w:r>
          </w:p>
        </w:tc>
        <w:tc>
          <w:tcPr>
            <w:tcW w:w="643" w:type="dxa"/>
            <w:tcBorders>
              <w:top w:val="single" w:sz="4" w:space="0" w:color="000000"/>
            </w:tcBorders>
            <w:shd w:val="clear" w:color="auto" w:fill="auto"/>
          </w:tcPr>
          <w:p w14:paraId="4D2AFBC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050A015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6BE2771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Large polygonal round melanocytes lining the anterior surface of the iris in 1-3 layers and focally infiltrating the iris stroma</w:t>
            </w:r>
            <w:r>
              <w:rPr>
                <w:rFonts w:ascii="Times New Roman" w:hAnsi="Times New Roman"/>
                <w:sz w:val="12"/>
                <w:szCs w:val="12"/>
              </w:rPr>
              <w:t>.</w:t>
            </w:r>
          </w:p>
        </w:tc>
        <w:tc>
          <w:tcPr>
            <w:tcW w:w="708" w:type="dxa"/>
            <w:tcBorders>
              <w:top w:val="single" w:sz="4" w:space="0" w:color="000000"/>
            </w:tcBorders>
          </w:tcPr>
          <w:p w14:paraId="69FEA8C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699EDAB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0E3AD18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01847FA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739" w:type="dxa"/>
            <w:tcBorders>
              <w:top w:val="single" w:sz="4" w:space="0" w:color="000000"/>
            </w:tcBorders>
          </w:tcPr>
          <w:p w14:paraId="53222D8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6139FB5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7F24F484" w14:textId="77777777" w:rsidTr="00BC2AF6">
        <w:tc>
          <w:tcPr>
            <w:tcW w:w="418" w:type="dxa"/>
            <w:tcBorders>
              <w:top w:val="single" w:sz="4" w:space="0" w:color="000000"/>
            </w:tcBorders>
            <w:shd w:val="clear" w:color="auto" w:fill="auto"/>
          </w:tcPr>
          <w:p w14:paraId="40AE6B1B"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lastRenderedPageBreak/>
              <w:t>1</w:t>
            </w:r>
            <w:r>
              <w:rPr>
                <w:rFonts w:ascii="Times New Roman" w:hAnsi="Times New Roman"/>
                <w:sz w:val="12"/>
                <w:szCs w:val="12"/>
              </w:rPr>
              <w:t>0</w:t>
            </w:r>
          </w:p>
        </w:tc>
        <w:tc>
          <w:tcPr>
            <w:tcW w:w="696" w:type="dxa"/>
            <w:tcBorders>
              <w:top w:val="single" w:sz="4" w:space="0" w:color="000000"/>
            </w:tcBorders>
          </w:tcPr>
          <w:p w14:paraId="7E4FB91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537D39E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9 years 8 months</w:t>
            </w:r>
          </w:p>
        </w:tc>
        <w:tc>
          <w:tcPr>
            <w:tcW w:w="643" w:type="dxa"/>
            <w:tcBorders>
              <w:top w:val="single" w:sz="4" w:space="0" w:color="000000"/>
            </w:tcBorders>
            <w:shd w:val="clear" w:color="auto" w:fill="auto"/>
          </w:tcPr>
          <w:p w14:paraId="0622CE0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0047839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5291156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Spindeloid cells with moderate anisocytosis and mild anisokaryosis moderately expanding the iris in discrete sheet</w:t>
            </w:r>
            <w:r>
              <w:rPr>
                <w:rFonts w:ascii="Times New Roman" w:hAnsi="Times New Roman"/>
                <w:sz w:val="12"/>
                <w:szCs w:val="12"/>
              </w:rPr>
              <w:t>s. S</w:t>
            </w:r>
            <w:r w:rsidRPr="001E7164">
              <w:rPr>
                <w:rFonts w:ascii="Times New Roman" w:hAnsi="Times New Roman"/>
                <w:sz w:val="12"/>
                <w:szCs w:val="12"/>
              </w:rPr>
              <w:t>econdary glaucoma</w:t>
            </w:r>
            <w:r>
              <w:rPr>
                <w:rFonts w:ascii="Times New Roman" w:hAnsi="Times New Roman"/>
                <w:sz w:val="12"/>
                <w:szCs w:val="12"/>
              </w:rPr>
              <w:t>.</w:t>
            </w:r>
          </w:p>
        </w:tc>
        <w:tc>
          <w:tcPr>
            <w:tcW w:w="708" w:type="dxa"/>
            <w:tcBorders>
              <w:top w:val="single" w:sz="4" w:space="0" w:color="000000"/>
            </w:tcBorders>
          </w:tcPr>
          <w:p w14:paraId="22EEAB1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3926930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Thoracoabdominal computed tomography</w:t>
            </w:r>
            <w:r>
              <w:rPr>
                <w:rFonts w:ascii="Times New Roman" w:hAnsi="Times New Roman"/>
                <w:sz w:val="12"/>
                <w:szCs w:val="12"/>
              </w:rPr>
              <w:t>.</w:t>
            </w:r>
          </w:p>
        </w:tc>
        <w:tc>
          <w:tcPr>
            <w:tcW w:w="1003" w:type="dxa"/>
            <w:tcBorders>
              <w:top w:val="single" w:sz="4" w:space="0" w:color="000000"/>
            </w:tcBorders>
          </w:tcPr>
          <w:p w14:paraId="17E46A0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30C4AEF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739" w:type="dxa"/>
            <w:tcBorders>
              <w:top w:val="single" w:sz="4" w:space="0" w:color="000000"/>
            </w:tcBorders>
          </w:tcPr>
          <w:p w14:paraId="04790F7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335280D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100166DD" w14:textId="77777777" w:rsidTr="00BC2AF6">
        <w:tc>
          <w:tcPr>
            <w:tcW w:w="418" w:type="dxa"/>
            <w:tcBorders>
              <w:top w:val="single" w:sz="4" w:space="0" w:color="000000"/>
            </w:tcBorders>
            <w:shd w:val="clear" w:color="auto" w:fill="auto"/>
          </w:tcPr>
          <w:p w14:paraId="47C5724D"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1</w:t>
            </w:r>
            <w:r>
              <w:rPr>
                <w:rFonts w:ascii="Times New Roman" w:hAnsi="Times New Roman"/>
                <w:sz w:val="12"/>
                <w:szCs w:val="12"/>
              </w:rPr>
              <w:t>1</w:t>
            </w:r>
          </w:p>
        </w:tc>
        <w:tc>
          <w:tcPr>
            <w:tcW w:w="696" w:type="dxa"/>
            <w:tcBorders>
              <w:top w:val="single" w:sz="4" w:space="0" w:color="000000"/>
            </w:tcBorders>
          </w:tcPr>
          <w:p w14:paraId="7CBEC1A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3D18CB3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10 years 2 months</w:t>
            </w:r>
          </w:p>
        </w:tc>
        <w:tc>
          <w:tcPr>
            <w:tcW w:w="643" w:type="dxa"/>
            <w:tcBorders>
              <w:top w:val="single" w:sz="4" w:space="0" w:color="000000"/>
            </w:tcBorders>
            <w:shd w:val="clear" w:color="auto" w:fill="auto"/>
          </w:tcPr>
          <w:p w14:paraId="7B37B2E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22D6FFD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2D20BBE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Round to spindeloid cells extending through 75% of the iris stroma</w:t>
            </w:r>
            <w:r>
              <w:rPr>
                <w:rFonts w:ascii="Times New Roman" w:hAnsi="Times New Roman"/>
                <w:sz w:val="12"/>
                <w:szCs w:val="12"/>
              </w:rPr>
              <w:t>.</w:t>
            </w:r>
          </w:p>
        </w:tc>
        <w:tc>
          <w:tcPr>
            <w:tcW w:w="708" w:type="dxa"/>
            <w:tcBorders>
              <w:top w:val="single" w:sz="4" w:space="0" w:color="000000"/>
            </w:tcBorders>
          </w:tcPr>
          <w:p w14:paraId="5BD4A77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08295C5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35C7725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3F79F7B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739" w:type="dxa"/>
            <w:tcBorders>
              <w:top w:val="single" w:sz="4" w:space="0" w:color="000000"/>
            </w:tcBorders>
          </w:tcPr>
          <w:p w14:paraId="4521740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2F6D527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187934C4" w14:textId="77777777" w:rsidTr="00BC2AF6">
        <w:tc>
          <w:tcPr>
            <w:tcW w:w="418" w:type="dxa"/>
            <w:tcBorders>
              <w:top w:val="single" w:sz="4" w:space="0" w:color="000000"/>
            </w:tcBorders>
            <w:shd w:val="clear" w:color="auto" w:fill="auto"/>
          </w:tcPr>
          <w:p w14:paraId="20D3F8A4"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1</w:t>
            </w:r>
            <w:r>
              <w:rPr>
                <w:rFonts w:ascii="Times New Roman" w:hAnsi="Times New Roman"/>
                <w:sz w:val="12"/>
                <w:szCs w:val="12"/>
              </w:rPr>
              <w:t>2</w:t>
            </w:r>
          </w:p>
        </w:tc>
        <w:tc>
          <w:tcPr>
            <w:tcW w:w="696" w:type="dxa"/>
            <w:tcBorders>
              <w:top w:val="single" w:sz="4" w:space="0" w:color="000000"/>
            </w:tcBorders>
          </w:tcPr>
          <w:p w14:paraId="7EF6629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Early</w:t>
            </w:r>
          </w:p>
        </w:tc>
        <w:tc>
          <w:tcPr>
            <w:tcW w:w="868" w:type="dxa"/>
            <w:tcBorders>
              <w:top w:val="single" w:sz="4" w:space="0" w:color="000000"/>
            </w:tcBorders>
            <w:shd w:val="clear" w:color="auto" w:fill="auto"/>
          </w:tcPr>
          <w:p w14:paraId="4D3087A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years</w:t>
            </w:r>
          </w:p>
        </w:tc>
        <w:tc>
          <w:tcPr>
            <w:tcW w:w="643" w:type="dxa"/>
            <w:tcBorders>
              <w:top w:val="single" w:sz="4" w:space="0" w:color="000000"/>
            </w:tcBorders>
            <w:shd w:val="clear" w:color="auto" w:fill="auto"/>
          </w:tcPr>
          <w:p w14:paraId="59D1F5C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66CFA04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46447F5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Spindeloid melanocytes lining the anterior surface of the iris in 1-3 layers and focally infiltrating the iris stroma</w:t>
            </w:r>
            <w:r>
              <w:rPr>
                <w:rFonts w:ascii="Times New Roman" w:hAnsi="Times New Roman"/>
                <w:sz w:val="12"/>
                <w:szCs w:val="12"/>
              </w:rPr>
              <w:t>.</w:t>
            </w:r>
          </w:p>
        </w:tc>
        <w:tc>
          <w:tcPr>
            <w:tcW w:w="708" w:type="dxa"/>
            <w:tcBorders>
              <w:top w:val="single" w:sz="4" w:space="0" w:color="000000"/>
            </w:tcBorders>
          </w:tcPr>
          <w:p w14:paraId="4CD6D5C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&lt;1</w:t>
            </w:r>
          </w:p>
        </w:tc>
        <w:tc>
          <w:tcPr>
            <w:tcW w:w="2176" w:type="dxa"/>
            <w:tcBorders>
              <w:top w:val="single" w:sz="4" w:space="0" w:color="000000"/>
            </w:tcBorders>
            <w:shd w:val="clear" w:color="auto" w:fill="auto"/>
          </w:tcPr>
          <w:p w14:paraId="68D3CF3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Fine needle sample of the ipsilateral submandibular lymph node consistent with a reactive lymphocytosis</w:t>
            </w:r>
            <w:r>
              <w:rPr>
                <w:rFonts w:ascii="Times New Roman" w:hAnsi="Times New Roman"/>
                <w:sz w:val="12"/>
                <w:szCs w:val="12"/>
              </w:rPr>
              <w:t>.</w:t>
            </w:r>
          </w:p>
        </w:tc>
        <w:tc>
          <w:tcPr>
            <w:tcW w:w="1003" w:type="dxa"/>
            <w:tcBorders>
              <w:top w:val="single" w:sz="4" w:space="0" w:color="000000"/>
            </w:tcBorders>
          </w:tcPr>
          <w:p w14:paraId="20C24DD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59314CE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535F45C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59</w:t>
            </w:r>
          </w:p>
        </w:tc>
        <w:tc>
          <w:tcPr>
            <w:tcW w:w="2210" w:type="dxa"/>
            <w:tcBorders>
              <w:top w:val="single" w:sz="4" w:space="0" w:color="000000"/>
            </w:tcBorders>
          </w:tcPr>
          <w:p w14:paraId="0904CEA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Unknown. Euthanised due to development of ascites (unknown cause).</w:t>
            </w:r>
          </w:p>
        </w:tc>
      </w:tr>
      <w:tr w:rsidR="002E08BF" w:rsidRPr="00DA006D" w14:paraId="7E3941D0" w14:textId="77777777" w:rsidTr="00BC2AF6">
        <w:tc>
          <w:tcPr>
            <w:tcW w:w="418" w:type="dxa"/>
            <w:tcBorders>
              <w:top w:val="single" w:sz="4" w:space="0" w:color="000000"/>
            </w:tcBorders>
            <w:shd w:val="clear" w:color="auto" w:fill="auto"/>
          </w:tcPr>
          <w:p w14:paraId="7CE9F0FB" w14:textId="77777777" w:rsidR="002E08BF" w:rsidRPr="001E7164"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13</w:t>
            </w:r>
          </w:p>
        </w:tc>
        <w:tc>
          <w:tcPr>
            <w:tcW w:w="696" w:type="dxa"/>
            <w:tcBorders>
              <w:top w:val="single" w:sz="4" w:space="0" w:color="000000"/>
            </w:tcBorders>
          </w:tcPr>
          <w:p w14:paraId="35CECCB6" w14:textId="77777777" w:rsidR="002E08BF" w:rsidRPr="001E7164" w:rsidRDefault="002E08BF" w:rsidP="00BC2AF6">
            <w:pPr>
              <w:pStyle w:val="TableBody"/>
              <w:spacing w:line="360" w:lineRule="auto"/>
              <w:jc w:val="center"/>
              <w:rPr>
                <w:rFonts w:ascii="Times New Roman" w:hAnsi="Times New Roman"/>
                <w:sz w:val="12"/>
                <w:szCs w:val="12"/>
              </w:rPr>
            </w:pPr>
            <w:r>
              <w:rPr>
                <w:rFonts w:ascii="Times New Roman" w:hAnsi="Times New Roman"/>
                <w:sz w:val="12"/>
                <w:szCs w:val="12"/>
              </w:rPr>
              <w:t>Early</w:t>
            </w:r>
          </w:p>
        </w:tc>
        <w:tc>
          <w:tcPr>
            <w:tcW w:w="868" w:type="dxa"/>
            <w:tcBorders>
              <w:top w:val="single" w:sz="4" w:space="0" w:color="000000"/>
            </w:tcBorders>
            <w:shd w:val="clear" w:color="auto" w:fill="auto"/>
          </w:tcPr>
          <w:p w14:paraId="599041F3" w14:textId="77777777" w:rsidR="002E08BF" w:rsidRPr="001E7164" w:rsidRDefault="002E08BF" w:rsidP="00BC2AF6">
            <w:pPr>
              <w:pStyle w:val="TableBody"/>
              <w:spacing w:line="360" w:lineRule="auto"/>
              <w:jc w:val="center"/>
              <w:rPr>
                <w:rFonts w:ascii="Times New Roman" w:hAnsi="Times New Roman"/>
                <w:sz w:val="12"/>
                <w:szCs w:val="12"/>
              </w:rPr>
            </w:pPr>
            <w:r>
              <w:rPr>
                <w:rFonts w:ascii="Times New Roman" w:hAnsi="Times New Roman"/>
                <w:sz w:val="12"/>
                <w:szCs w:val="12"/>
              </w:rPr>
              <w:t>5 years</w:t>
            </w:r>
          </w:p>
        </w:tc>
        <w:tc>
          <w:tcPr>
            <w:tcW w:w="643" w:type="dxa"/>
            <w:tcBorders>
              <w:top w:val="single" w:sz="4" w:space="0" w:color="000000"/>
            </w:tcBorders>
            <w:shd w:val="clear" w:color="auto" w:fill="auto"/>
          </w:tcPr>
          <w:p w14:paraId="0E3EED55" w14:textId="77777777" w:rsidR="002E08BF" w:rsidRPr="001E7164" w:rsidRDefault="002E08BF" w:rsidP="00BC2AF6">
            <w:pPr>
              <w:pStyle w:val="TableBody"/>
              <w:spacing w:line="360" w:lineRule="auto"/>
              <w:jc w:val="center"/>
              <w:rPr>
                <w:rFonts w:ascii="Times New Roman" w:hAnsi="Times New Roman"/>
                <w:sz w:val="12"/>
                <w:szCs w:val="12"/>
              </w:rPr>
            </w:pPr>
            <w:r>
              <w:rPr>
                <w:rFonts w:ascii="Times New Roman" w:hAnsi="Times New Roman"/>
                <w:sz w:val="12"/>
                <w:szCs w:val="12"/>
              </w:rPr>
              <w:t>DSH</w:t>
            </w:r>
          </w:p>
        </w:tc>
        <w:tc>
          <w:tcPr>
            <w:tcW w:w="766" w:type="dxa"/>
            <w:gridSpan w:val="2"/>
            <w:tcBorders>
              <w:top w:val="single" w:sz="4" w:space="0" w:color="000000"/>
            </w:tcBorders>
            <w:shd w:val="clear" w:color="auto" w:fill="auto"/>
          </w:tcPr>
          <w:p w14:paraId="1F23987E" w14:textId="77777777" w:rsidR="002E08BF" w:rsidRPr="001E7164" w:rsidRDefault="002E08BF" w:rsidP="00BC2AF6">
            <w:pPr>
              <w:pStyle w:val="TableBody"/>
              <w:spacing w:line="360" w:lineRule="auto"/>
              <w:jc w:val="center"/>
              <w:rPr>
                <w:rFonts w:ascii="Times New Roman" w:hAnsi="Times New Roman"/>
                <w:sz w:val="12"/>
                <w:szCs w:val="12"/>
              </w:rPr>
            </w:pPr>
            <w:r>
              <w:rPr>
                <w:rFonts w:ascii="Times New Roman" w:hAnsi="Times New Roman"/>
                <w:sz w:val="12"/>
                <w:szCs w:val="12"/>
              </w:rPr>
              <w:t>Female neutered</w:t>
            </w:r>
          </w:p>
        </w:tc>
        <w:tc>
          <w:tcPr>
            <w:tcW w:w="3999" w:type="dxa"/>
            <w:tcBorders>
              <w:top w:val="single" w:sz="4" w:space="0" w:color="000000"/>
            </w:tcBorders>
          </w:tcPr>
          <w:p w14:paraId="339DDF9C" w14:textId="77777777" w:rsidR="002E08BF" w:rsidRPr="001E7164" w:rsidRDefault="002E08BF" w:rsidP="00BC2AF6">
            <w:pPr>
              <w:pStyle w:val="TableBody"/>
              <w:spacing w:line="360" w:lineRule="auto"/>
              <w:jc w:val="center"/>
              <w:rPr>
                <w:rFonts w:ascii="Times New Roman" w:hAnsi="Times New Roman"/>
                <w:sz w:val="12"/>
                <w:szCs w:val="12"/>
              </w:rPr>
            </w:pPr>
            <w:r>
              <w:rPr>
                <w:rFonts w:ascii="Times New Roman" w:hAnsi="Times New Roman"/>
                <w:sz w:val="12"/>
                <w:szCs w:val="12"/>
              </w:rPr>
              <w:t>Round to polygonal cells with mild anisocytosis and anisokaryosis broadly expanding the iris leaflets multifocally.</w:t>
            </w:r>
          </w:p>
        </w:tc>
        <w:tc>
          <w:tcPr>
            <w:tcW w:w="708" w:type="dxa"/>
            <w:tcBorders>
              <w:top w:val="single" w:sz="4" w:space="0" w:color="000000"/>
            </w:tcBorders>
          </w:tcPr>
          <w:p w14:paraId="4A98223D" w14:textId="77777777" w:rsidR="002E08BF" w:rsidRPr="001E7164" w:rsidRDefault="002E08BF" w:rsidP="00BC2AF6">
            <w:pPr>
              <w:pStyle w:val="TableBody"/>
              <w:spacing w:line="360" w:lineRule="auto"/>
              <w:jc w:val="center"/>
              <w:rPr>
                <w:rFonts w:ascii="Times New Roman" w:hAnsi="Times New Roman"/>
                <w:sz w:val="12"/>
                <w:szCs w:val="12"/>
              </w:rPr>
            </w:pPr>
            <w:r>
              <w:rPr>
                <w:rFonts w:ascii="Times New Roman" w:hAnsi="Times New Roman"/>
                <w:sz w:val="12"/>
                <w:szCs w:val="12"/>
              </w:rPr>
              <w:t>0</w:t>
            </w:r>
          </w:p>
        </w:tc>
        <w:tc>
          <w:tcPr>
            <w:tcW w:w="2176" w:type="dxa"/>
            <w:tcBorders>
              <w:top w:val="single" w:sz="4" w:space="0" w:color="000000"/>
            </w:tcBorders>
            <w:shd w:val="clear" w:color="auto" w:fill="auto"/>
          </w:tcPr>
          <w:p w14:paraId="49664B56" w14:textId="77777777" w:rsidR="002E08BF" w:rsidRPr="001E7164" w:rsidRDefault="002E08BF" w:rsidP="00BC2AF6">
            <w:pPr>
              <w:pStyle w:val="TableBody"/>
              <w:spacing w:line="360" w:lineRule="auto"/>
              <w:jc w:val="center"/>
              <w:rPr>
                <w:rFonts w:ascii="Times New Roman" w:hAnsi="Times New Roman"/>
                <w:sz w:val="12"/>
                <w:szCs w:val="12"/>
              </w:rPr>
            </w:pPr>
            <w:r>
              <w:rPr>
                <w:rFonts w:ascii="Times New Roman" w:hAnsi="Times New Roman"/>
                <w:sz w:val="12"/>
                <w:szCs w:val="12"/>
              </w:rPr>
              <w:t>N/a</w:t>
            </w:r>
          </w:p>
        </w:tc>
        <w:tc>
          <w:tcPr>
            <w:tcW w:w="1003" w:type="dxa"/>
            <w:tcBorders>
              <w:top w:val="single" w:sz="4" w:space="0" w:color="000000"/>
            </w:tcBorders>
          </w:tcPr>
          <w:p w14:paraId="7464FF86" w14:textId="77777777" w:rsidR="002E08BF" w:rsidRPr="001E7164" w:rsidRDefault="002E08BF" w:rsidP="00BC2AF6">
            <w:pPr>
              <w:pStyle w:val="TableBody"/>
              <w:spacing w:line="360" w:lineRule="auto"/>
              <w:jc w:val="center"/>
              <w:rPr>
                <w:rFonts w:ascii="Times New Roman" w:hAnsi="Times New Roman"/>
                <w:sz w:val="12"/>
                <w:szCs w:val="12"/>
              </w:rPr>
            </w:pPr>
            <w:r>
              <w:rPr>
                <w:rFonts w:ascii="Times New Roman" w:hAnsi="Times New Roman"/>
                <w:sz w:val="12"/>
                <w:szCs w:val="12"/>
              </w:rPr>
              <w:t>N/a</w:t>
            </w:r>
          </w:p>
        </w:tc>
        <w:tc>
          <w:tcPr>
            <w:tcW w:w="800" w:type="dxa"/>
            <w:tcBorders>
              <w:top w:val="single" w:sz="4" w:space="0" w:color="000000"/>
            </w:tcBorders>
          </w:tcPr>
          <w:p w14:paraId="61ABBD5A" w14:textId="77777777" w:rsidR="002E08BF" w:rsidRPr="001E7164" w:rsidRDefault="002E08BF" w:rsidP="00BC2AF6">
            <w:pPr>
              <w:pStyle w:val="TableBody"/>
              <w:spacing w:line="360" w:lineRule="auto"/>
              <w:jc w:val="center"/>
              <w:rPr>
                <w:rFonts w:ascii="Times New Roman" w:hAnsi="Times New Roman"/>
                <w:sz w:val="12"/>
                <w:szCs w:val="12"/>
              </w:rPr>
            </w:pPr>
          </w:p>
        </w:tc>
        <w:tc>
          <w:tcPr>
            <w:tcW w:w="739" w:type="dxa"/>
            <w:tcBorders>
              <w:top w:val="single" w:sz="4" w:space="0" w:color="000000"/>
            </w:tcBorders>
          </w:tcPr>
          <w:p w14:paraId="148C0156" w14:textId="77777777" w:rsidR="002E08BF" w:rsidRPr="001E7164" w:rsidRDefault="002E08BF" w:rsidP="00BC2AF6">
            <w:pPr>
              <w:pStyle w:val="TableBody"/>
              <w:spacing w:line="360" w:lineRule="auto"/>
              <w:jc w:val="center"/>
              <w:rPr>
                <w:rFonts w:ascii="Times New Roman" w:hAnsi="Times New Roman"/>
                <w:sz w:val="12"/>
                <w:szCs w:val="12"/>
              </w:rPr>
            </w:pPr>
          </w:p>
        </w:tc>
        <w:tc>
          <w:tcPr>
            <w:tcW w:w="2210" w:type="dxa"/>
            <w:tcBorders>
              <w:top w:val="single" w:sz="4" w:space="0" w:color="000000"/>
            </w:tcBorders>
          </w:tcPr>
          <w:p w14:paraId="5A1BF956" w14:textId="77777777" w:rsidR="002E08BF" w:rsidRPr="001E7164" w:rsidRDefault="002E08BF" w:rsidP="00BC2AF6">
            <w:pPr>
              <w:pStyle w:val="TableBody"/>
              <w:spacing w:line="360" w:lineRule="auto"/>
              <w:jc w:val="center"/>
              <w:rPr>
                <w:rFonts w:ascii="Times New Roman" w:hAnsi="Times New Roman"/>
                <w:sz w:val="12"/>
                <w:szCs w:val="12"/>
              </w:rPr>
            </w:pPr>
            <w:r>
              <w:rPr>
                <w:rFonts w:ascii="Times New Roman" w:hAnsi="Times New Roman"/>
                <w:sz w:val="12"/>
                <w:szCs w:val="12"/>
              </w:rPr>
              <w:t>N/a</w:t>
            </w:r>
          </w:p>
        </w:tc>
      </w:tr>
      <w:tr w:rsidR="002E08BF" w:rsidRPr="00DA006D" w14:paraId="57F818B7" w14:textId="77777777" w:rsidTr="00BC2AF6">
        <w:tc>
          <w:tcPr>
            <w:tcW w:w="418" w:type="dxa"/>
            <w:tcBorders>
              <w:top w:val="single" w:sz="4" w:space="0" w:color="000000"/>
            </w:tcBorders>
            <w:shd w:val="clear" w:color="auto" w:fill="auto"/>
          </w:tcPr>
          <w:p w14:paraId="759EC624"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1</w:t>
            </w:r>
            <w:r>
              <w:rPr>
                <w:rFonts w:ascii="Times New Roman" w:hAnsi="Times New Roman"/>
                <w:sz w:val="12"/>
                <w:szCs w:val="12"/>
              </w:rPr>
              <w:t>4</w:t>
            </w:r>
          </w:p>
        </w:tc>
        <w:tc>
          <w:tcPr>
            <w:tcW w:w="696" w:type="dxa"/>
            <w:tcBorders>
              <w:top w:val="single" w:sz="4" w:space="0" w:color="000000"/>
            </w:tcBorders>
          </w:tcPr>
          <w:p w14:paraId="67243D6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745468A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15 years</w:t>
            </w:r>
          </w:p>
        </w:tc>
        <w:tc>
          <w:tcPr>
            <w:tcW w:w="643" w:type="dxa"/>
            <w:tcBorders>
              <w:top w:val="single" w:sz="4" w:space="0" w:color="000000"/>
            </w:tcBorders>
            <w:shd w:val="clear" w:color="auto" w:fill="auto"/>
          </w:tcPr>
          <w:p w14:paraId="6540303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6A860AD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335AACA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Densely packed epithelioid cells invading the iris, ciliary body, iridocorneal drainage angle, peripheral choroid, sclera, peripheral cornea scleral venous plexus, episcleral and bulbar conjunct</w:t>
            </w:r>
            <w:r>
              <w:rPr>
                <w:rFonts w:ascii="Times New Roman" w:hAnsi="Times New Roman"/>
                <w:sz w:val="12"/>
                <w:szCs w:val="12"/>
              </w:rPr>
              <w:t>i</w:t>
            </w:r>
            <w:r w:rsidRPr="001E7164">
              <w:rPr>
                <w:rFonts w:ascii="Times New Roman" w:hAnsi="Times New Roman"/>
                <w:sz w:val="12"/>
                <w:szCs w:val="12"/>
              </w:rPr>
              <w:t>v</w:t>
            </w:r>
            <w:r>
              <w:rPr>
                <w:rFonts w:ascii="Times New Roman" w:hAnsi="Times New Roman"/>
                <w:sz w:val="12"/>
                <w:szCs w:val="12"/>
              </w:rPr>
              <w:t>a.</w:t>
            </w:r>
          </w:p>
        </w:tc>
        <w:tc>
          <w:tcPr>
            <w:tcW w:w="708" w:type="dxa"/>
            <w:tcBorders>
              <w:top w:val="single" w:sz="4" w:space="0" w:color="000000"/>
            </w:tcBorders>
          </w:tcPr>
          <w:p w14:paraId="389F492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39</w:t>
            </w:r>
          </w:p>
        </w:tc>
        <w:tc>
          <w:tcPr>
            <w:tcW w:w="2176" w:type="dxa"/>
            <w:tcBorders>
              <w:top w:val="single" w:sz="4" w:space="0" w:color="000000"/>
            </w:tcBorders>
            <w:shd w:val="clear" w:color="auto" w:fill="auto"/>
          </w:tcPr>
          <w:p w14:paraId="51C5607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1C136BA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3015FA7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5636EA1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w:t>
            </w:r>
          </w:p>
        </w:tc>
        <w:tc>
          <w:tcPr>
            <w:tcW w:w="2210" w:type="dxa"/>
            <w:tcBorders>
              <w:top w:val="single" w:sz="4" w:space="0" w:color="000000"/>
            </w:tcBorders>
          </w:tcPr>
          <w:p w14:paraId="13C06BE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Suspected local recurrence- mass noted on the hard palate and ramus of the mandible ipsilateral to enucleated eye. </w:t>
            </w:r>
          </w:p>
        </w:tc>
      </w:tr>
      <w:tr w:rsidR="002E08BF" w:rsidRPr="00DA006D" w14:paraId="7F570DE9" w14:textId="77777777" w:rsidTr="00BC2AF6">
        <w:tc>
          <w:tcPr>
            <w:tcW w:w="418" w:type="dxa"/>
            <w:tcBorders>
              <w:top w:val="single" w:sz="4" w:space="0" w:color="000000"/>
            </w:tcBorders>
            <w:shd w:val="clear" w:color="auto" w:fill="auto"/>
          </w:tcPr>
          <w:p w14:paraId="63D90D3A"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1</w:t>
            </w:r>
            <w:r>
              <w:rPr>
                <w:rFonts w:ascii="Times New Roman" w:hAnsi="Times New Roman"/>
                <w:sz w:val="12"/>
                <w:szCs w:val="12"/>
              </w:rPr>
              <w:t>5</w:t>
            </w:r>
          </w:p>
        </w:tc>
        <w:tc>
          <w:tcPr>
            <w:tcW w:w="696" w:type="dxa"/>
            <w:tcBorders>
              <w:top w:val="single" w:sz="4" w:space="0" w:color="000000"/>
            </w:tcBorders>
          </w:tcPr>
          <w:p w14:paraId="18DD67B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00E1158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years</w:t>
            </w:r>
          </w:p>
        </w:tc>
        <w:tc>
          <w:tcPr>
            <w:tcW w:w="643" w:type="dxa"/>
            <w:tcBorders>
              <w:top w:val="single" w:sz="4" w:space="0" w:color="000000"/>
            </w:tcBorders>
            <w:shd w:val="clear" w:color="auto" w:fill="auto"/>
          </w:tcPr>
          <w:p w14:paraId="56029B8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Selkirk Rex</w:t>
            </w:r>
          </w:p>
        </w:tc>
        <w:tc>
          <w:tcPr>
            <w:tcW w:w="766" w:type="dxa"/>
            <w:gridSpan w:val="2"/>
            <w:tcBorders>
              <w:top w:val="single" w:sz="4" w:space="0" w:color="000000"/>
            </w:tcBorders>
            <w:shd w:val="clear" w:color="auto" w:fill="auto"/>
          </w:tcPr>
          <w:p w14:paraId="3D16581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1D3DACC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Polygonal to spindeloid cells invading the iris, ciliary body, iridocorneal drainage angle, scleral venous plexus and episcleral tissue. </w:t>
            </w:r>
            <w:r>
              <w:rPr>
                <w:rFonts w:ascii="Times New Roman" w:hAnsi="Times New Roman"/>
                <w:sz w:val="12"/>
                <w:szCs w:val="12"/>
              </w:rPr>
              <w:t>Secondary glaucoma.</w:t>
            </w:r>
          </w:p>
        </w:tc>
        <w:tc>
          <w:tcPr>
            <w:tcW w:w="708" w:type="dxa"/>
            <w:tcBorders>
              <w:top w:val="single" w:sz="4" w:space="0" w:color="000000"/>
            </w:tcBorders>
          </w:tcPr>
          <w:p w14:paraId="6219A93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13</w:t>
            </w:r>
          </w:p>
        </w:tc>
        <w:tc>
          <w:tcPr>
            <w:tcW w:w="2176" w:type="dxa"/>
            <w:tcBorders>
              <w:top w:val="single" w:sz="4" w:space="0" w:color="000000"/>
            </w:tcBorders>
            <w:shd w:val="clear" w:color="auto" w:fill="auto"/>
          </w:tcPr>
          <w:p w14:paraId="0D7D0D1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116C76C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0915DCC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26C39D6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9</w:t>
            </w:r>
          </w:p>
        </w:tc>
        <w:tc>
          <w:tcPr>
            <w:tcW w:w="2210" w:type="dxa"/>
            <w:tcBorders>
              <w:top w:val="single" w:sz="4" w:space="0" w:color="000000"/>
            </w:tcBorders>
          </w:tcPr>
          <w:p w14:paraId="397958F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Unknown. Patient developed unusual behaviour and reportedly was licking a brick wall 8 months after the enucleation and reportedly died 3 weeks later.</w:t>
            </w:r>
          </w:p>
        </w:tc>
      </w:tr>
      <w:tr w:rsidR="002E08BF" w:rsidRPr="00DA006D" w14:paraId="43834505" w14:textId="77777777" w:rsidTr="00BC2AF6">
        <w:tc>
          <w:tcPr>
            <w:tcW w:w="418" w:type="dxa"/>
            <w:tcBorders>
              <w:top w:val="single" w:sz="4" w:space="0" w:color="000000"/>
            </w:tcBorders>
            <w:shd w:val="clear" w:color="auto" w:fill="auto"/>
          </w:tcPr>
          <w:p w14:paraId="49BDB275"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1</w:t>
            </w:r>
            <w:r>
              <w:rPr>
                <w:rFonts w:ascii="Times New Roman" w:hAnsi="Times New Roman"/>
                <w:sz w:val="12"/>
                <w:szCs w:val="12"/>
              </w:rPr>
              <w:t>6</w:t>
            </w:r>
          </w:p>
        </w:tc>
        <w:tc>
          <w:tcPr>
            <w:tcW w:w="696" w:type="dxa"/>
            <w:tcBorders>
              <w:top w:val="single" w:sz="4" w:space="0" w:color="000000"/>
            </w:tcBorders>
          </w:tcPr>
          <w:p w14:paraId="0D74147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3940CFA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years</w:t>
            </w:r>
          </w:p>
        </w:tc>
        <w:tc>
          <w:tcPr>
            <w:tcW w:w="643" w:type="dxa"/>
            <w:tcBorders>
              <w:top w:val="single" w:sz="4" w:space="0" w:color="000000"/>
            </w:tcBorders>
            <w:shd w:val="clear" w:color="auto" w:fill="auto"/>
          </w:tcPr>
          <w:p w14:paraId="066BE22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Ragdoll</w:t>
            </w:r>
          </w:p>
        </w:tc>
        <w:tc>
          <w:tcPr>
            <w:tcW w:w="766" w:type="dxa"/>
            <w:gridSpan w:val="2"/>
            <w:tcBorders>
              <w:top w:val="single" w:sz="4" w:space="0" w:color="000000"/>
            </w:tcBorders>
            <w:shd w:val="clear" w:color="auto" w:fill="auto"/>
          </w:tcPr>
          <w:p w14:paraId="73D00F3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0FE4A66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Polygonal to spindeloid cells invading the iris, ciliary body, iridocorneal drainage angle and scleral venous plexus</w:t>
            </w:r>
            <w:r>
              <w:rPr>
                <w:rFonts w:ascii="Times New Roman" w:hAnsi="Times New Roman"/>
                <w:sz w:val="12"/>
                <w:szCs w:val="12"/>
              </w:rPr>
              <w:t xml:space="preserve"> Secondary glaucoma.</w:t>
            </w:r>
          </w:p>
        </w:tc>
        <w:tc>
          <w:tcPr>
            <w:tcW w:w="708" w:type="dxa"/>
            <w:tcBorders>
              <w:top w:val="single" w:sz="4" w:space="0" w:color="000000"/>
            </w:tcBorders>
          </w:tcPr>
          <w:p w14:paraId="51D03C7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4</w:t>
            </w:r>
          </w:p>
        </w:tc>
        <w:tc>
          <w:tcPr>
            <w:tcW w:w="2176" w:type="dxa"/>
            <w:tcBorders>
              <w:top w:val="single" w:sz="4" w:space="0" w:color="000000"/>
            </w:tcBorders>
            <w:shd w:val="clear" w:color="auto" w:fill="auto"/>
          </w:tcPr>
          <w:p w14:paraId="3CABAD6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2127B63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0B860A2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739" w:type="dxa"/>
            <w:tcBorders>
              <w:top w:val="single" w:sz="4" w:space="0" w:color="000000"/>
            </w:tcBorders>
          </w:tcPr>
          <w:p w14:paraId="303FB65C" w14:textId="77777777" w:rsidR="002E08BF" w:rsidRPr="00DA006D" w:rsidRDefault="002E08BF" w:rsidP="00BC2AF6">
            <w:pPr>
              <w:pStyle w:val="TableBody"/>
              <w:spacing w:line="360" w:lineRule="auto"/>
              <w:jc w:val="center"/>
              <w:rPr>
                <w:rFonts w:ascii="Times New Roman" w:hAnsi="Times New Roman"/>
                <w:sz w:val="12"/>
                <w:szCs w:val="12"/>
              </w:rPr>
            </w:pPr>
          </w:p>
        </w:tc>
        <w:tc>
          <w:tcPr>
            <w:tcW w:w="2210" w:type="dxa"/>
            <w:tcBorders>
              <w:top w:val="single" w:sz="4" w:space="0" w:color="000000"/>
            </w:tcBorders>
          </w:tcPr>
          <w:p w14:paraId="1743B281" w14:textId="77777777" w:rsidR="002E08BF" w:rsidRPr="001E7164"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p w14:paraId="1B23B27E" w14:textId="77777777" w:rsidR="002E08BF" w:rsidRPr="00DA006D" w:rsidRDefault="002E08BF" w:rsidP="00BC2AF6">
            <w:pPr>
              <w:pStyle w:val="TableBody"/>
              <w:spacing w:line="360" w:lineRule="auto"/>
              <w:jc w:val="center"/>
              <w:rPr>
                <w:rFonts w:ascii="Times New Roman" w:hAnsi="Times New Roman"/>
                <w:sz w:val="12"/>
                <w:szCs w:val="12"/>
              </w:rPr>
            </w:pPr>
          </w:p>
        </w:tc>
      </w:tr>
      <w:tr w:rsidR="002E08BF" w:rsidRPr="00DA006D" w14:paraId="7F415172" w14:textId="77777777" w:rsidTr="00BC2AF6">
        <w:tc>
          <w:tcPr>
            <w:tcW w:w="418" w:type="dxa"/>
            <w:tcBorders>
              <w:top w:val="single" w:sz="4" w:space="0" w:color="000000"/>
            </w:tcBorders>
            <w:shd w:val="clear" w:color="auto" w:fill="auto"/>
          </w:tcPr>
          <w:p w14:paraId="1DFBA1F7"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1</w:t>
            </w:r>
            <w:r>
              <w:rPr>
                <w:rFonts w:ascii="Times New Roman" w:hAnsi="Times New Roman"/>
                <w:sz w:val="12"/>
                <w:szCs w:val="12"/>
              </w:rPr>
              <w:t>7</w:t>
            </w:r>
          </w:p>
        </w:tc>
        <w:tc>
          <w:tcPr>
            <w:tcW w:w="696" w:type="dxa"/>
            <w:tcBorders>
              <w:top w:val="single" w:sz="4" w:space="0" w:color="000000"/>
            </w:tcBorders>
          </w:tcPr>
          <w:p w14:paraId="59814FB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50DB977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13 years</w:t>
            </w:r>
          </w:p>
        </w:tc>
        <w:tc>
          <w:tcPr>
            <w:tcW w:w="643" w:type="dxa"/>
            <w:tcBorders>
              <w:top w:val="single" w:sz="4" w:space="0" w:color="000000"/>
            </w:tcBorders>
            <w:shd w:val="clear" w:color="auto" w:fill="auto"/>
          </w:tcPr>
          <w:p w14:paraId="134E795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4492A30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4886016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Spindeloid cells invading the iris, ciliary body, iridocorneal drainage angle, scleral venous plexus, peripheral cornea, filling the anterior chamber and vitreous and extending through the sclera into the extraocular connective tissue, bulbar conjunctiva and extraocular muscles</w:t>
            </w:r>
            <w:r>
              <w:rPr>
                <w:rFonts w:ascii="Times New Roman" w:hAnsi="Times New Roman"/>
                <w:sz w:val="12"/>
                <w:szCs w:val="12"/>
              </w:rPr>
              <w:t>.</w:t>
            </w:r>
          </w:p>
        </w:tc>
        <w:tc>
          <w:tcPr>
            <w:tcW w:w="708" w:type="dxa"/>
            <w:tcBorders>
              <w:top w:val="single" w:sz="4" w:space="0" w:color="000000"/>
            </w:tcBorders>
          </w:tcPr>
          <w:p w14:paraId="57F020B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16</w:t>
            </w:r>
          </w:p>
        </w:tc>
        <w:tc>
          <w:tcPr>
            <w:tcW w:w="2176" w:type="dxa"/>
            <w:tcBorders>
              <w:top w:val="single" w:sz="4" w:space="0" w:color="000000"/>
            </w:tcBorders>
            <w:shd w:val="clear" w:color="auto" w:fill="auto"/>
          </w:tcPr>
          <w:p w14:paraId="3224AA1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439EB78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3AF3C18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34556D0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5</w:t>
            </w:r>
          </w:p>
        </w:tc>
        <w:tc>
          <w:tcPr>
            <w:tcW w:w="2210" w:type="dxa"/>
            <w:tcBorders>
              <w:top w:val="single" w:sz="4" w:space="0" w:color="000000"/>
            </w:tcBorders>
          </w:tcPr>
          <w:p w14:paraId="4C449CD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r>
      <w:tr w:rsidR="002E08BF" w:rsidRPr="00DA006D" w14:paraId="26CA2979" w14:textId="77777777" w:rsidTr="00BC2AF6">
        <w:tc>
          <w:tcPr>
            <w:tcW w:w="418" w:type="dxa"/>
            <w:tcBorders>
              <w:top w:val="single" w:sz="4" w:space="0" w:color="000000"/>
            </w:tcBorders>
            <w:shd w:val="clear" w:color="auto" w:fill="auto"/>
          </w:tcPr>
          <w:p w14:paraId="07DE79DB"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1</w:t>
            </w:r>
            <w:r>
              <w:rPr>
                <w:rFonts w:ascii="Times New Roman" w:hAnsi="Times New Roman"/>
                <w:sz w:val="12"/>
                <w:szCs w:val="12"/>
              </w:rPr>
              <w:t>8</w:t>
            </w:r>
          </w:p>
        </w:tc>
        <w:tc>
          <w:tcPr>
            <w:tcW w:w="696" w:type="dxa"/>
            <w:tcBorders>
              <w:top w:val="single" w:sz="4" w:space="0" w:color="000000"/>
            </w:tcBorders>
          </w:tcPr>
          <w:p w14:paraId="7CF5685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6DB11B7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years 8 months</w:t>
            </w:r>
          </w:p>
        </w:tc>
        <w:tc>
          <w:tcPr>
            <w:tcW w:w="643" w:type="dxa"/>
            <w:tcBorders>
              <w:top w:val="single" w:sz="4" w:space="0" w:color="000000"/>
            </w:tcBorders>
            <w:shd w:val="clear" w:color="auto" w:fill="auto"/>
          </w:tcPr>
          <w:p w14:paraId="3E7764E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056675B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46BFB79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Polygonal cells invading the iris, ciliary body, iridocorneal angle, choroid, scleral venous plexus</w:t>
            </w:r>
            <w:r>
              <w:rPr>
                <w:rFonts w:ascii="Times New Roman" w:hAnsi="Times New Roman"/>
                <w:sz w:val="12"/>
                <w:szCs w:val="12"/>
              </w:rPr>
              <w:t>. Secondary glaucoma.</w:t>
            </w:r>
          </w:p>
        </w:tc>
        <w:tc>
          <w:tcPr>
            <w:tcW w:w="708" w:type="dxa"/>
            <w:tcBorders>
              <w:top w:val="single" w:sz="4" w:space="0" w:color="000000"/>
            </w:tcBorders>
          </w:tcPr>
          <w:p w14:paraId="43F3E7B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20</w:t>
            </w:r>
          </w:p>
        </w:tc>
        <w:tc>
          <w:tcPr>
            <w:tcW w:w="2176" w:type="dxa"/>
            <w:tcBorders>
              <w:top w:val="single" w:sz="4" w:space="0" w:color="000000"/>
            </w:tcBorders>
            <w:shd w:val="clear" w:color="auto" w:fill="auto"/>
          </w:tcPr>
          <w:p w14:paraId="7F0D1D9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3535EA7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7071071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3B29BCB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3</w:t>
            </w:r>
          </w:p>
        </w:tc>
        <w:tc>
          <w:tcPr>
            <w:tcW w:w="2210" w:type="dxa"/>
            <w:tcBorders>
              <w:top w:val="single" w:sz="4" w:space="0" w:color="000000"/>
            </w:tcBorders>
          </w:tcPr>
          <w:p w14:paraId="4B3AB8A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Suspected- abdominal ultrasound scan identifying hyperechoic hepatic nodules and thoracic radiographs with military pattern.</w:t>
            </w:r>
          </w:p>
        </w:tc>
      </w:tr>
      <w:tr w:rsidR="002E08BF" w:rsidRPr="00DA006D" w14:paraId="2DB84233" w14:textId="77777777" w:rsidTr="00BC2AF6">
        <w:tc>
          <w:tcPr>
            <w:tcW w:w="418" w:type="dxa"/>
            <w:tcBorders>
              <w:top w:val="single" w:sz="4" w:space="0" w:color="000000"/>
            </w:tcBorders>
            <w:shd w:val="clear" w:color="auto" w:fill="auto"/>
          </w:tcPr>
          <w:p w14:paraId="34A5BBC8"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1</w:t>
            </w:r>
            <w:r>
              <w:rPr>
                <w:rFonts w:ascii="Times New Roman" w:hAnsi="Times New Roman"/>
                <w:sz w:val="12"/>
                <w:szCs w:val="12"/>
              </w:rPr>
              <w:t>9</w:t>
            </w:r>
          </w:p>
        </w:tc>
        <w:tc>
          <w:tcPr>
            <w:tcW w:w="696" w:type="dxa"/>
            <w:tcBorders>
              <w:top w:val="single" w:sz="4" w:space="0" w:color="000000"/>
            </w:tcBorders>
          </w:tcPr>
          <w:p w14:paraId="5521C3A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0B5C531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15 years</w:t>
            </w:r>
          </w:p>
        </w:tc>
        <w:tc>
          <w:tcPr>
            <w:tcW w:w="643" w:type="dxa"/>
            <w:tcBorders>
              <w:top w:val="single" w:sz="4" w:space="0" w:color="000000"/>
            </w:tcBorders>
            <w:shd w:val="clear" w:color="auto" w:fill="auto"/>
          </w:tcPr>
          <w:p w14:paraId="6FEB3B6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Exotic shorthair</w:t>
            </w:r>
          </w:p>
        </w:tc>
        <w:tc>
          <w:tcPr>
            <w:tcW w:w="766" w:type="dxa"/>
            <w:gridSpan w:val="2"/>
            <w:tcBorders>
              <w:top w:val="single" w:sz="4" w:space="0" w:color="000000"/>
            </w:tcBorders>
            <w:shd w:val="clear" w:color="auto" w:fill="auto"/>
          </w:tcPr>
          <w:p w14:paraId="2E5350F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4D55C62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Polygonal to spindeloid cells invading the iris, ciliary body, trabecular meshwork, sclera and scleral venous plexus. Marked cellular pleomorhphism, with karyomegaly and intranuclear cytoplasmic inclusions present</w:t>
            </w:r>
            <w:r>
              <w:rPr>
                <w:rFonts w:ascii="Times New Roman" w:hAnsi="Times New Roman"/>
                <w:sz w:val="12"/>
                <w:szCs w:val="12"/>
              </w:rPr>
              <w:t>. S</w:t>
            </w:r>
            <w:r w:rsidRPr="001E7164">
              <w:rPr>
                <w:rFonts w:ascii="Times New Roman" w:hAnsi="Times New Roman"/>
                <w:sz w:val="12"/>
                <w:szCs w:val="12"/>
              </w:rPr>
              <w:t>econdary glaucoma</w:t>
            </w:r>
            <w:r>
              <w:rPr>
                <w:rFonts w:ascii="Times New Roman" w:hAnsi="Times New Roman"/>
                <w:sz w:val="12"/>
                <w:szCs w:val="12"/>
              </w:rPr>
              <w:t>.</w:t>
            </w:r>
          </w:p>
        </w:tc>
        <w:tc>
          <w:tcPr>
            <w:tcW w:w="708" w:type="dxa"/>
            <w:tcBorders>
              <w:top w:val="single" w:sz="4" w:space="0" w:color="000000"/>
            </w:tcBorders>
          </w:tcPr>
          <w:p w14:paraId="6E9FCFB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29</w:t>
            </w:r>
          </w:p>
        </w:tc>
        <w:tc>
          <w:tcPr>
            <w:tcW w:w="2176" w:type="dxa"/>
            <w:tcBorders>
              <w:top w:val="single" w:sz="4" w:space="0" w:color="000000"/>
            </w:tcBorders>
            <w:shd w:val="clear" w:color="auto" w:fill="auto"/>
          </w:tcPr>
          <w:p w14:paraId="03F14C0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Right-lateral thoracic radiograph</w:t>
            </w:r>
            <w:r>
              <w:rPr>
                <w:rFonts w:ascii="Times New Roman" w:hAnsi="Times New Roman"/>
                <w:sz w:val="12"/>
                <w:szCs w:val="12"/>
              </w:rPr>
              <w:t>.</w:t>
            </w:r>
          </w:p>
        </w:tc>
        <w:tc>
          <w:tcPr>
            <w:tcW w:w="1003" w:type="dxa"/>
            <w:tcBorders>
              <w:top w:val="single" w:sz="4" w:space="0" w:color="000000"/>
            </w:tcBorders>
          </w:tcPr>
          <w:p w14:paraId="5AFE24D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Suspected liver metastasis with ‘large liver mass’ identified radiographically</w:t>
            </w:r>
            <w:r>
              <w:rPr>
                <w:rFonts w:ascii="Times New Roman" w:hAnsi="Times New Roman"/>
                <w:sz w:val="12"/>
                <w:szCs w:val="12"/>
              </w:rPr>
              <w:t>.</w:t>
            </w:r>
          </w:p>
        </w:tc>
        <w:tc>
          <w:tcPr>
            <w:tcW w:w="800" w:type="dxa"/>
            <w:tcBorders>
              <w:top w:val="single" w:sz="4" w:space="0" w:color="000000"/>
            </w:tcBorders>
          </w:tcPr>
          <w:p w14:paraId="62D95CA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47C50E4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7</w:t>
            </w:r>
          </w:p>
        </w:tc>
        <w:tc>
          <w:tcPr>
            <w:tcW w:w="2210" w:type="dxa"/>
            <w:tcBorders>
              <w:top w:val="single" w:sz="4" w:space="0" w:color="000000"/>
            </w:tcBorders>
          </w:tcPr>
          <w:p w14:paraId="6DC15A7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Suspected- liver mass identified at the time of enucleation on radiographs and confirmed via abdominal ultrasound immediately prior to euthanasia. </w:t>
            </w:r>
          </w:p>
        </w:tc>
      </w:tr>
      <w:tr w:rsidR="002E08BF" w:rsidRPr="00DA006D" w14:paraId="6BA17FD1" w14:textId="77777777" w:rsidTr="00BC2AF6">
        <w:tc>
          <w:tcPr>
            <w:tcW w:w="418" w:type="dxa"/>
            <w:tcBorders>
              <w:top w:val="single" w:sz="4" w:space="0" w:color="000000"/>
            </w:tcBorders>
            <w:shd w:val="clear" w:color="auto" w:fill="auto"/>
          </w:tcPr>
          <w:p w14:paraId="10D07692"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20</w:t>
            </w:r>
          </w:p>
        </w:tc>
        <w:tc>
          <w:tcPr>
            <w:tcW w:w="696" w:type="dxa"/>
            <w:tcBorders>
              <w:top w:val="single" w:sz="4" w:space="0" w:color="000000"/>
            </w:tcBorders>
          </w:tcPr>
          <w:p w14:paraId="286182E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3FE8874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years</w:t>
            </w:r>
          </w:p>
        </w:tc>
        <w:tc>
          <w:tcPr>
            <w:tcW w:w="643" w:type="dxa"/>
            <w:tcBorders>
              <w:top w:val="single" w:sz="4" w:space="0" w:color="000000"/>
            </w:tcBorders>
            <w:shd w:val="clear" w:color="auto" w:fill="auto"/>
          </w:tcPr>
          <w:p w14:paraId="569B809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26A0349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6B0E264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Round to oval to spindle-shaped cells invading the iris, ciliary body, iridocorneal angle and sclera. Marked anisocytosis and anisokaryosis present. </w:t>
            </w:r>
            <w:r>
              <w:rPr>
                <w:rFonts w:ascii="Times New Roman" w:hAnsi="Times New Roman"/>
                <w:sz w:val="12"/>
                <w:szCs w:val="12"/>
              </w:rPr>
              <w:t>Secondary glaucoma.</w:t>
            </w:r>
          </w:p>
        </w:tc>
        <w:tc>
          <w:tcPr>
            <w:tcW w:w="708" w:type="dxa"/>
            <w:tcBorders>
              <w:top w:val="single" w:sz="4" w:space="0" w:color="000000"/>
            </w:tcBorders>
          </w:tcPr>
          <w:p w14:paraId="18DF25B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7</w:t>
            </w:r>
          </w:p>
        </w:tc>
        <w:tc>
          <w:tcPr>
            <w:tcW w:w="2176" w:type="dxa"/>
            <w:tcBorders>
              <w:top w:val="single" w:sz="4" w:space="0" w:color="000000"/>
            </w:tcBorders>
            <w:shd w:val="clear" w:color="auto" w:fill="auto"/>
          </w:tcPr>
          <w:p w14:paraId="43B6D90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Thoracic radiographs, abdominal ultrasound</w:t>
            </w:r>
            <w:r>
              <w:rPr>
                <w:rFonts w:ascii="Times New Roman" w:hAnsi="Times New Roman"/>
                <w:sz w:val="12"/>
                <w:szCs w:val="12"/>
              </w:rPr>
              <w:t>.</w:t>
            </w:r>
          </w:p>
        </w:tc>
        <w:tc>
          <w:tcPr>
            <w:tcW w:w="1003" w:type="dxa"/>
            <w:tcBorders>
              <w:top w:val="single" w:sz="4" w:space="0" w:color="000000"/>
            </w:tcBorders>
          </w:tcPr>
          <w:p w14:paraId="58B11C4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1D96290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24B1DB7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30</w:t>
            </w:r>
          </w:p>
        </w:tc>
        <w:tc>
          <w:tcPr>
            <w:tcW w:w="2210" w:type="dxa"/>
            <w:tcBorders>
              <w:top w:val="single" w:sz="4" w:space="0" w:color="000000"/>
            </w:tcBorders>
          </w:tcPr>
          <w:p w14:paraId="563C8AB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Confirmed metastasis to the liver and spleen. Thoracic radiographs identified a consolidated left cranial lung lobe and pleural effusion. Fine needle aspirate </w:t>
            </w:r>
            <w:r w:rsidRPr="001E7164">
              <w:rPr>
                <w:rFonts w:ascii="Times New Roman" w:hAnsi="Times New Roman"/>
                <w:sz w:val="12"/>
                <w:szCs w:val="12"/>
              </w:rPr>
              <w:lastRenderedPageBreak/>
              <w:t>samples of the liver and spleen consistent with metastatic melanoma.</w:t>
            </w:r>
          </w:p>
        </w:tc>
      </w:tr>
      <w:tr w:rsidR="002E08BF" w:rsidRPr="00DA006D" w14:paraId="0414DA40" w14:textId="77777777" w:rsidTr="00BC2AF6">
        <w:tc>
          <w:tcPr>
            <w:tcW w:w="418" w:type="dxa"/>
            <w:tcBorders>
              <w:top w:val="single" w:sz="4" w:space="0" w:color="000000"/>
            </w:tcBorders>
            <w:shd w:val="clear" w:color="auto" w:fill="auto"/>
          </w:tcPr>
          <w:p w14:paraId="2DB154C3"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lastRenderedPageBreak/>
              <w:t>2</w:t>
            </w:r>
            <w:r>
              <w:rPr>
                <w:rFonts w:ascii="Times New Roman" w:hAnsi="Times New Roman"/>
                <w:sz w:val="12"/>
                <w:szCs w:val="12"/>
              </w:rPr>
              <w:t>1</w:t>
            </w:r>
          </w:p>
        </w:tc>
        <w:tc>
          <w:tcPr>
            <w:tcW w:w="696" w:type="dxa"/>
            <w:tcBorders>
              <w:top w:val="single" w:sz="4" w:space="0" w:color="000000"/>
            </w:tcBorders>
          </w:tcPr>
          <w:p w14:paraId="070D7C9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2B720FE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14 years</w:t>
            </w:r>
          </w:p>
        </w:tc>
        <w:tc>
          <w:tcPr>
            <w:tcW w:w="643" w:type="dxa"/>
            <w:tcBorders>
              <w:top w:val="single" w:sz="4" w:space="0" w:color="000000"/>
            </w:tcBorders>
            <w:shd w:val="clear" w:color="auto" w:fill="auto"/>
          </w:tcPr>
          <w:p w14:paraId="51D85F8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BSH</w:t>
            </w:r>
          </w:p>
        </w:tc>
        <w:tc>
          <w:tcPr>
            <w:tcW w:w="766" w:type="dxa"/>
            <w:gridSpan w:val="2"/>
            <w:tcBorders>
              <w:top w:val="single" w:sz="4" w:space="0" w:color="000000"/>
            </w:tcBorders>
            <w:shd w:val="clear" w:color="auto" w:fill="auto"/>
          </w:tcPr>
          <w:p w14:paraId="74D6166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5427905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Large polygonal to intermediate sized spindeloid cells infiltrating the iris, ciliary body, limbus, iridocorneal drainage angle and sclera. Secondary glaucoma</w:t>
            </w:r>
            <w:r>
              <w:rPr>
                <w:rFonts w:ascii="Times New Roman" w:hAnsi="Times New Roman"/>
                <w:sz w:val="12"/>
                <w:szCs w:val="12"/>
              </w:rPr>
              <w:t>.</w:t>
            </w:r>
          </w:p>
        </w:tc>
        <w:tc>
          <w:tcPr>
            <w:tcW w:w="708" w:type="dxa"/>
            <w:tcBorders>
              <w:top w:val="single" w:sz="4" w:space="0" w:color="000000"/>
            </w:tcBorders>
          </w:tcPr>
          <w:p w14:paraId="0CD948B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&lt;1</w:t>
            </w:r>
          </w:p>
        </w:tc>
        <w:tc>
          <w:tcPr>
            <w:tcW w:w="2176" w:type="dxa"/>
            <w:tcBorders>
              <w:top w:val="single" w:sz="4" w:space="0" w:color="000000"/>
            </w:tcBorders>
            <w:shd w:val="clear" w:color="auto" w:fill="auto"/>
          </w:tcPr>
          <w:p w14:paraId="06C7C95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3984945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2E3B466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739" w:type="dxa"/>
            <w:tcBorders>
              <w:top w:val="single" w:sz="4" w:space="0" w:color="000000"/>
            </w:tcBorders>
          </w:tcPr>
          <w:p w14:paraId="3309199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7F2686F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26ED2C8D" w14:textId="77777777" w:rsidTr="00BC2AF6">
        <w:tc>
          <w:tcPr>
            <w:tcW w:w="418" w:type="dxa"/>
            <w:tcBorders>
              <w:top w:val="single" w:sz="4" w:space="0" w:color="000000"/>
            </w:tcBorders>
            <w:shd w:val="clear" w:color="auto" w:fill="auto"/>
          </w:tcPr>
          <w:p w14:paraId="2F0569FF"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22</w:t>
            </w:r>
          </w:p>
        </w:tc>
        <w:tc>
          <w:tcPr>
            <w:tcW w:w="696" w:type="dxa"/>
            <w:tcBorders>
              <w:top w:val="single" w:sz="4" w:space="0" w:color="000000"/>
            </w:tcBorders>
          </w:tcPr>
          <w:p w14:paraId="7DC01D9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4E3B643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11 years</w:t>
            </w:r>
          </w:p>
        </w:tc>
        <w:tc>
          <w:tcPr>
            <w:tcW w:w="643" w:type="dxa"/>
            <w:tcBorders>
              <w:top w:val="single" w:sz="4" w:space="0" w:color="000000"/>
            </w:tcBorders>
            <w:shd w:val="clear" w:color="auto" w:fill="auto"/>
          </w:tcPr>
          <w:p w14:paraId="5781A89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242E862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27DE187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Large polygonal cells with moderate anisocytosis and anisokaryosis infiltrating the iris, ciliary body, sclera and scleral venous plexus.</w:t>
            </w:r>
          </w:p>
        </w:tc>
        <w:tc>
          <w:tcPr>
            <w:tcW w:w="708" w:type="dxa"/>
            <w:tcBorders>
              <w:top w:val="single" w:sz="4" w:space="0" w:color="000000"/>
            </w:tcBorders>
          </w:tcPr>
          <w:p w14:paraId="0E5E000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2</w:t>
            </w:r>
          </w:p>
        </w:tc>
        <w:tc>
          <w:tcPr>
            <w:tcW w:w="2176" w:type="dxa"/>
            <w:tcBorders>
              <w:top w:val="single" w:sz="4" w:space="0" w:color="000000"/>
            </w:tcBorders>
            <w:shd w:val="clear" w:color="auto" w:fill="auto"/>
          </w:tcPr>
          <w:p w14:paraId="4732C74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0212FED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2DC7BCC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739" w:type="dxa"/>
            <w:tcBorders>
              <w:top w:val="single" w:sz="4" w:space="0" w:color="000000"/>
            </w:tcBorders>
          </w:tcPr>
          <w:p w14:paraId="62A2C28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190D1BB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09A2C0D5" w14:textId="77777777" w:rsidTr="00BC2AF6">
        <w:tc>
          <w:tcPr>
            <w:tcW w:w="418" w:type="dxa"/>
            <w:tcBorders>
              <w:top w:val="single" w:sz="4" w:space="0" w:color="000000"/>
            </w:tcBorders>
            <w:shd w:val="clear" w:color="auto" w:fill="auto"/>
          </w:tcPr>
          <w:p w14:paraId="73D2D45E"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2</w:t>
            </w:r>
            <w:r>
              <w:rPr>
                <w:rFonts w:ascii="Times New Roman" w:hAnsi="Times New Roman"/>
                <w:sz w:val="12"/>
                <w:szCs w:val="12"/>
              </w:rPr>
              <w:t>3</w:t>
            </w:r>
          </w:p>
        </w:tc>
        <w:tc>
          <w:tcPr>
            <w:tcW w:w="696" w:type="dxa"/>
            <w:tcBorders>
              <w:top w:val="single" w:sz="4" w:space="0" w:color="000000"/>
            </w:tcBorders>
          </w:tcPr>
          <w:p w14:paraId="7A2A0E5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3A75D52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14 years</w:t>
            </w:r>
          </w:p>
        </w:tc>
        <w:tc>
          <w:tcPr>
            <w:tcW w:w="643" w:type="dxa"/>
            <w:tcBorders>
              <w:top w:val="single" w:sz="4" w:space="0" w:color="000000"/>
            </w:tcBorders>
            <w:shd w:val="clear" w:color="auto" w:fill="auto"/>
          </w:tcPr>
          <w:p w14:paraId="557E60F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6C5B38A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029A273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Large polygonal to intermediate sized spendeloid cells invading the iris, ciliary body, sclera and scleral venous plexus. Mild anisokaryosis</w:t>
            </w:r>
            <w:r>
              <w:rPr>
                <w:rFonts w:ascii="Times New Roman" w:hAnsi="Times New Roman"/>
                <w:sz w:val="12"/>
                <w:szCs w:val="12"/>
              </w:rPr>
              <w:t>.</w:t>
            </w:r>
          </w:p>
        </w:tc>
        <w:tc>
          <w:tcPr>
            <w:tcW w:w="708" w:type="dxa"/>
            <w:tcBorders>
              <w:top w:val="single" w:sz="4" w:space="0" w:color="000000"/>
            </w:tcBorders>
          </w:tcPr>
          <w:p w14:paraId="6EDFC8F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&lt;1</w:t>
            </w:r>
          </w:p>
        </w:tc>
        <w:tc>
          <w:tcPr>
            <w:tcW w:w="2176" w:type="dxa"/>
            <w:tcBorders>
              <w:top w:val="single" w:sz="4" w:space="0" w:color="000000"/>
            </w:tcBorders>
            <w:shd w:val="clear" w:color="auto" w:fill="auto"/>
          </w:tcPr>
          <w:p w14:paraId="1A2C9C7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3C7B8D1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6AE1BCD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739" w:type="dxa"/>
            <w:tcBorders>
              <w:top w:val="single" w:sz="4" w:space="0" w:color="000000"/>
            </w:tcBorders>
          </w:tcPr>
          <w:p w14:paraId="7115A6F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66B35A7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69959AF9" w14:textId="77777777" w:rsidTr="00BC2AF6">
        <w:tc>
          <w:tcPr>
            <w:tcW w:w="418" w:type="dxa"/>
            <w:tcBorders>
              <w:top w:val="single" w:sz="4" w:space="0" w:color="000000"/>
            </w:tcBorders>
            <w:shd w:val="clear" w:color="auto" w:fill="auto"/>
          </w:tcPr>
          <w:p w14:paraId="43CC5BEF"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2</w:t>
            </w:r>
            <w:r>
              <w:rPr>
                <w:rFonts w:ascii="Times New Roman" w:hAnsi="Times New Roman"/>
                <w:sz w:val="12"/>
                <w:szCs w:val="12"/>
              </w:rPr>
              <w:t>4</w:t>
            </w:r>
          </w:p>
        </w:tc>
        <w:tc>
          <w:tcPr>
            <w:tcW w:w="696" w:type="dxa"/>
            <w:tcBorders>
              <w:top w:val="single" w:sz="4" w:space="0" w:color="000000"/>
            </w:tcBorders>
          </w:tcPr>
          <w:p w14:paraId="11EFAE4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32FD941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11 years 1 month</w:t>
            </w:r>
          </w:p>
        </w:tc>
        <w:tc>
          <w:tcPr>
            <w:tcW w:w="643" w:type="dxa"/>
            <w:tcBorders>
              <w:top w:val="single" w:sz="4" w:space="0" w:color="000000"/>
            </w:tcBorders>
            <w:shd w:val="clear" w:color="auto" w:fill="auto"/>
          </w:tcPr>
          <w:p w14:paraId="4526F5F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02B70D1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437E686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Round to polygonal cells invading the iris, ciliary body, anterior choroid, trabecular meshwork and sclera. Moderate anisocytosis and anisokaryosis. Secondary glaucoma</w:t>
            </w:r>
            <w:r>
              <w:rPr>
                <w:rFonts w:ascii="Times New Roman" w:hAnsi="Times New Roman"/>
                <w:sz w:val="12"/>
                <w:szCs w:val="12"/>
              </w:rPr>
              <w:t>.</w:t>
            </w:r>
          </w:p>
        </w:tc>
        <w:tc>
          <w:tcPr>
            <w:tcW w:w="708" w:type="dxa"/>
            <w:tcBorders>
              <w:top w:val="single" w:sz="4" w:space="0" w:color="000000"/>
            </w:tcBorders>
          </w:tcPr>
          <w:p w14:paraId="6377F59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60</w:t>
            </w:r>
          </w:p>
        </w:tc>
        <w:tc>
          <w:tcPr>
            <w:tcW w:w="2176" w:type="dxa"/>
            <w:tcBorders>
              <w:top w:val="single" w:sz="4" w:space="0" w:color="000000"/>
            </w:tcBorders>
            <w:shd w:val="clear" w:color="auto" w:fill="auto"/>
          </w:tcPr>
          <w:p w14:paraId="0C16496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Thoracoabdominal computed tomography.</w:t>
            </w:r>
          </w:p>
        </w:tc>
        <w:tc>
          <w:tcPr>
            <w:tcW w:w="1003" w:type="dxa"/>
            <w:tcBorders>
              <w:top w:val="single" w:sz="4" w:space="0" w:color="000000"/>
            </w:tcBorders>
          </w:tcPr>
          <w:p w14:paraId="4E09AA5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Nodular liver mass. Fine needle aspirate samples consistent with metastatic melanoma. </w:t>
            </w:r>
          </w:p>
        </w:tc>
        <w:tc>
          <w:tcPr>
            <w:tcW w:w="800" w:type="dxa"/>
            <w:tcBorders>
              <w:top w:val="single" w:sz="4" w:space="0" w:color="000000"/>
            </w:tcBorders>
          </w:tcPr>
          <w:p w14:paraId="63D8838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0439B2A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N/a </w:t>
            </w:r>
          </w:p>
        </w:tc>
        <w:tc>
          <w:tcPr>
            <w:tcW w:w="2210" w:type="dxa"/>
            <w:tcBorders>
              <w:top w:val="single" w:sz="4" w:space="0" w:color="000000"/>
            </w:tcBorders>
          </w:tcPr>
          <w:p w14:paraId="34883CE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Confirmed hepatic metastasis at time of enucleation. </w:t>
            </w:r>
          </w:p>
        </w:tc>
      </w:tr>
      <w:tr w:rsidR="002E08BF" w:rsidRPr="00DA006D" w14:paraId="53CA7B46" w14:textId="77777777" w:rsidTr="00BC2AF6">
        <w:tc>
          <w:tcPr>
            <w:tcW w:w="418" w:type="dxa"/>
            <w:tcBorders>
              <w:top w:val="single" w:sz="4" w:space="0" w:color="000000"/>
            </w:tcBorders>
            <w:shd w:val="clear" w:color="auto" w:fill="auto"/>
          </w:tcPr>
          <w:p w14:paraId="2B67249D"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2</w:t>
            </w:r>
            <w:r>
              <w:rPr>
                <w:rFonts w:ascii="Times New Roman" w:hAnsi="Times New Roman"/>
                <w:sz w:val="12"/>
                <w:szCs w:val="12"/>
              </w:rPr>
              <w:t>5</w:t>
            </w:r>
          </w:p>
        </w:tc>
        <w:tc>
          <w:tcPr>
            <w:tcW w:w="696" w:type="dxa"/>
            <w:tcBorders>
              <w:top w:val="single" w:sz="4" w:space="0" w:color="000000"/>
            </w:tcBorders>
          </w:tcPr>
          <w:p w14:paraId="2EF472E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72E9CA6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years</w:t>
            </w:r>
          </w:p>
        </w:tc>
        <w:tc>
          <w:tcPr>
            <w:tcW w:w="643" w:type="dxa"/>
            <w:tcBorders>
              <w:top w:val="single" w:sz="4" w:space="0" w:color="000000"/>
            </w:tcBorders>
            <w:shd w:val="clear" w:color="auto" w:fill="auto"/>
          </w:tcPr>
          <w:p w14:paraId="0E06EF9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3B225EC7"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309AD9D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Oval, round or epitheioid cells invading the iris, ciliary body and trabecular meshwork. A large cluster of neoplastic cells were identified within the choroid (intravascular neoplastic embolus). Marked anisocytosis and moderate anisokaryosis. Secondary glaucom</w:t>
            </w:r>
            <w:r>
              <w:rPr>
                <w:rFonts w:ascii="Times New Roman" w:hAnsi="Times New Roman"/>
                <w:sz w:val="12"/>
                <w:szCs w:val="12"/>
              </w:rPr>
              <w:t>a.</w:t>
            </w:r>
          </w:p>
        </w:tc>
        <w:tc>
          <w:tcPr>
            <w:tcW w:w="708" w:type="dxa"/>
            <w:tcBorders>
              <w:top w:val="single" w:sz="4" w:space="0" w:color="000000"/>
            </w:tcBorders>
          </w:tcPr>
          <w:p w14:paraId="3FA446B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3</w:t>
            </w:r>
          </w:p>
        </w:tc>
        <w:tc>
          <w:tcPr>
            <w:tcW w:w="2176" w:type="dxa"/>
            <w:tcBorders>
              <w:top w:val="single" w:sz="4" w:space="0" w:color="000000"/>
            </w:tcBorders>
            <w:shd w:val="clear" w:color="auto" w:fill="auto"/>
          </w:tcPr>
          <w:p w14:paraId="1C393E4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1003" w:type="dxa"/>
            <w:tcBorders>
              <w:top w:val="single" w:sz="4" w:space="0" w:color="000000"/>
            </w:tcBorders>
          </w:tcPr>
          <w:p w14:paraId="5B182B2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493C317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739" w:type="dxa"/>
            <w:tcBorders>
              <w:top w:val="single" w:sz="4" w:space="0" w:color="000000"/>
            </w:tcBorders>
          </w:tcPr>
          <w:p w14:paraId="254261D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7EB07D7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0305BB81" w14:textId="77777777" w:rsidTr="00BC2AF6">
        <w:tc>
          <w:tcPr>
            <w:tcW w:w="418" w:type="dxa"/>
            <w:tcBorders>
              <w:top w:val="single" w:sz="4" w:space="0" w:color="000000"/>
            </w:tcBorders>
            <w:shd w:val="clear" w:color="auto" w:fill="auto"/>
          </w:tcPr>
          <w:p w14:paraId="19E81110"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2</w:t>
            </w:r>
            <w:r>
              <w:rPr>
                <w:rFonts w:ascii="Times New Roman" w:hAnsi="Times New Roman"/>
                <w:sz w:val="12"/>
                <w:szCs w:val="12"/>
              </w:rPr>
              <w:t>6</w:t>
            </w:r>
          </w:p>
        </w:tc>
        <w:tc>
          <w:tcPr>
            <w:tcW w:w="696" w:type="dxa"/>
            <w:tcBorders>
              <w:top w:val="single" w:sz="4" w:space="0" w:color="000000"/>
            </w:tcBorders>
          </w:tcPr>
          <w:p w14:paraId="76E3441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Late</w:t>
            </w:r>
          </w:p>
        </w:tc>
        <w:tc>
          <w:tcPr>
            <w:tcW w:w="868" w:type="dxa"/>
            <w:tcBorders>
              <w:top w:val="single" w:sz="4" w:space="0" w:color="000000"/>
            </w:tcBorders>
            <w:shd w:val="clear" w:color="auto" w:fill="auto"/>
          </w:tcPr>
          <w:p w14:paraId="07B8FA4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years 10 months</w:t>
            </w:r>
          </w:p>
        </w:tc>
        <w:tc>
          <w:tcPr>
            <w:tcW w:w="643" w:type="dxa"/>
            <w:tcBorders>
              <w:top w:val="single" w:sz="4" w:space="0" w:color="000000"/>
            </w:tcBorders>
            <w:shd w:val="clear" w:color="auto" w:fill="auto"/>
          </w:tcPr>
          <w:p w14:paraId="5E67603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3EE3350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2D767B4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Spindeoloid to round cells with mild anisocytosis and anisokaryosis infiltrating the iris, ciliary body and anterior choroid with pigmented cells present in the scleral venous plexus</w:t>
            </w:r>
            <w:r>
              <w:rPr>
                <w:rFonts w:ascii="Times New Roman" w:hAnsi="Times New Roman"/>
                <w:sz w:val="12"/>
                <w:szCs w:val="12"/>
              </w:rPr>
              <w:t>. S</w:t>
            </w:r>
            <w:r w:rsidRPr="001E7164">
              <w:rPr>
                <w:rFonts w:ascii="Times New Roman" w:hAnsi="Times New Roman"/>
                <w:sz w:val="12"/>
                <w:szCs w:val="12"/>
              </w:rPr>
              <w:t>econdary glaucoma</w:t>
            </w:r>
            <w:r>
              <w:rPr>
                <w:rFonts w:ascii="Times New Roman" w:hAnsi="Times New Roman"/>
                <w:sz w:val="12"/>
                <w:szCs w:val="12"/>
              </w:rPr>
              <w:t>.</w:t>
            </w:r>
          </w:p>
        </w:tc>
        <w:tc>
          <w:tcPr>
            <w:tcW w:w="708" w:type="dxa"/>
            <w:tcBorders>
              <w:top w:val="single" w:sz="4" w:space="0" w:color="000000"/>
            </w:tcBorders>
          </w:tcPr>
          <w:p w14:paraId="35651B6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&lt;1</w:t>
            </w:r>
          </w:p>
        </w:tc>
        <w:tc>
          <w:tcPr>
            <w:tcW w:w="2176" w:type="dxa"/>
            <w:tcBorders>
              <w:top w:val="single" w:sz="4" w:space="0" w:color="000000"/>
            </w:tcBorders>
            <w:shd w:val="clear" w:color="auto" w:fill="auto"/>
          </w:tcPr>
          <w:p w14:paraId="02DA185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1003" w:type="dxa"/>
            <w:tcBorders>
              <w:top w:val="single" w:sz="4" w:space="0" w:color="000000"/>
            </w:tcBorders>
          </w:tcPr>
          <w:p w14:paraId="03E5739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149120F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739" w:type="dxa"/>
            <w:tcBorders>
              <w:top w:val="single" w:sz="4" w:space="0" w:color="000000"/>
            </w:tcBorders>
          </w:tcPr>
          <w:p w14:paraId="1EAB30F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28814A2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2D9FC247" w14:textId="77777777" w:rsidTr="00BC2AF6">
        <w:tc>
          <w:tcPr>
            <w:tcW w:w="418" w:type="dxa"/>
            <w:tcBorders>
              <w:top w:val="single" w:sz="4" w:space="0" w:color="000000"/>
            </w:tcBorders>
            <w:shd w:val="clear" w:color="auto" w:fill="auto"/>
          </w:tcPr>
          <w:p w14:paraId="0DF70817"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2</w:t>
            </w:r>
            <w:r>
              <w:rPr>
                <w:rFonts w:ascii="Times New Roman" w:hAnsi="Times New Roman"/>
                <w:sz w:val="12"/>
                <w:szCs w:val="12"/>
              </w:rPr>
              <w:t>7</w:t>
            </w:r>
          </w:p>
        </w:tc>
        <w:tc>
          <w:tcPr>
            <w:tcW w:w="696" w:type="dxa"/>
            <w:tcBorders>
              <w:top w:val="single" w:sz="4" w:space="0" w:color="000000"/>
            </w:tcBorders>
          </w:tcPr>
          <w:p w14:paraId="58FE096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Iris melanosis</w:t>
            </w:r>
          </w:p>
        </w:tc>
        <w:tc>
          <w:tcPr>
            <w:tcW w:w="868" w:type="dxa"/>
            <w:tcBorders>
              <w:top w:val="single" w:sz="4" w:space="0" w:color="000000"/>
            </w:tcBorders>
            <w:shd w:val="clear" w:color="auto" w:fill="auto"/>
          </w:tcPr>
          <w:p w14:paraId="24BA84C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9 years</w:t>
            </w:r>
          </w:p>
        </w:tc>
        <w:tc>
          <w:tcPr>
            <w:tcW w:w="643" w:type="dxa"/>
            <w:tcBorders>
              <w:top w:val="single" w:sz="4" w:space="0" w:color="000000"/>
            </w:tcBorders>
            <w:shd w:val="clear" w:color="auto" w:fill="auto"/>
          </w:tcPr>
          <w:p w14:paraId="228385E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2AB3D13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4F6D377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layers of melanocytes with coarse granular pigment lining the anterior iris stroma.</w:t>
            </w:r>
          </w:p>
        </w:tc>
        <w:tc>
          <w:tcPr>
            <w:tcW w:w="708" w:type="dxa"/>
            <w:tcBorders>
              <w:top w:val="single" w:sz="4" w:space="0" w:color="000000"/>
            </w:tcBorders>
          </w:tcPr>
          <w:p w14:paraId="2BF4C07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6787997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Thoracoabdominal computed tomography. </w:t>
            </w:r>
          </w:p>
        </w:tc>
        <w:tc>
          <w:tcPr>
            <w:tcW w:w="1003" w:type="dxa"/>
            <w:tcBorders>
              <w:top w:val="single" w:sz="4" w:space="0" w:color="000000"/>
            </w:tcBorders>
          </w:tcPr>
          <w:p w14:paraId="5816A7E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7834C5B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1B9244D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7</w:t>
            </w:r>
          </w:p>
        </w:tc>
        <w:tc>
          <w:tcPr>
            <w:tcW w:w="2210" w:type="dxa"/>
            <w:tcBorders>
              <w:top w:val="single" w:sz="4" w:space="0" w:color="000000"/>
            </w:tcBorders>
          </w:tcPr>
          <w:p w14:paraId="5568B97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r>
      <w:tr w:rsidR="002E08BF" w:rsidRPr="00DA006D" w14:paraId="114F7D04" w14:textId="77777777" w:rsidTr="00BC2AF6">
        <w:tc>
          <w:tcPr>
            <w:tcW w:w="418" w:type="dxa"/>
            <w:tcBorders>
              <w:top w:val="single" w:sz="4" w:space="0" w:color="000000"/>
            </w:tcBorders>
            <w:shd w:val="clear" w:color="auto" w:fill="auto"/>
          </w:tcPr>
          <w:p w14:paraId="64ECF289" w14:textId="77777777" w:rsidR="002E08BF" w:rsidRPr="00DA006D" w:rsidRDefault="002E08BF" w:rsidP="00BC2AF6">
            <w:pPr>
              <w:pStyle w:val="TableBody"/>
              <w:spacing w:line="360" w:lineRule="auto"/>
              <w:jc w:val="left"/>
              <w:rPr>
                <w:rFonts w:ascii="Times New Roman" w:hAnsi="Times New Roman"/>
                <w:sz w:val="12"/>
                <w:szCs w:val="12"/>
              </w:rPr>
            </w:pPr>
            <w:r w:rsidRPr="001E7164">
              <w:rPr>
                <w:rFonts w:ascii="Times New Roman" w:hAnsi="Times New Roman"/>
                <w:sz w:val="12"/>
                <w:szCs w:val="12"/>
              </w:rPr>
              <w:t>2</w:t>
            </w:r>
            <w:r>
              <w:rPr>
                <w:rFonts w:ascii="Times New Roman" w:hAnsi="Times New Roman"/>
                <w:sz w:val="12"/>
                <w:szCs w:val="12"/>
              </w:rPr>
              <w:t>8</w:t>
            </w:r>
          </w:p>
        </w:tc>
        <w:tc>
          <w:tcPr>
            <w:tcW w:w="696" w:type="dxa"/>
            <w:tcBorders>
              <w:top w:val="single" w:sz="4" w:space="0" w:color="000000"/>
            </w:tcBorders>
          </w:tcPr>
          <w:p w14:paraId="71215C5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Iris melanosis</w:t>
            </w:r>
          </w:p>
        </w:tc>
        <w:tc>
          <w:tcPr>
            <w:tcW w:w="868" w:type="dxa"/>
            <w:tcBorders>
              <w:top w:val="single" w:sz="4" w:space="0" w:color="000000"/>
            </w:tcBorders>
            <w:shd w:val="clear" w:color="auto" w:fill="auto"/>
          </w:tcPr>
          <w:p w14:paraId="27DF748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14 years</w:t>
            </w:r>
          </w:p>
        </w:tc>
        <w:tc>
          <w:tcPr>
            <w:tcW w:w="643" w:type="dxa"/>
            <w:tcBorders>
              <w:top w:val="single" w:sz="4" w:space="0" w:color="000000"/>
            </w:tcBorders>
            <w:shd w:val="clear" w:color="auto" w:fill="auto"/>
          </w:tcPr>
          <w:p w14:paraId="4285540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0FF652B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w:t>
            </w:r>
          </w:p>
        </w:tc>
        <w:tc>
          <w:tcPr>
            <w:tcW w:w="3999" w:type="dxa"/>
            <w:tcBorders>
              <w:top w:val="single" w:sz="4" w:space="0" w:color="000000"/>
            </w:tcBorders>
          </w:tcPr>
          <w:p w14:paraId="77D0D23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1-2 layers of melanocytes with coarse granular pigment lining the anterior iris stroma. Mild cellular pleomorphism and anisokaryosis. </w:t>
            </w:r>
          </w:p>
        </w:tc>
        <w:tc>
          <w:tcPr>
            <w:tcW w:w="708" w:type="dxa"/>
            <w:tcBorders>
              <w:top w:val="single" w:sz="4" w:space="0" w:color="000000"/>
            </w:tcBorders>
          </w:tcPr>
          <w:p w14:paraId="211E1CC5"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1B42647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1003" w:type="dxa"/>
            <w:tcBorders>
              <w:top w:val="single" w:sz="4" w:space="0" w:color="000000"/>
            </w:tcBorders>
          </w:tcPr>
          <w:p w14:paraId="5D1429B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6990B26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739" w:type="dxa"/>
            <w:tcBorders>
              <w:top w:val="single" w:sz="4" w:space="0" w:color="000000"/>
            </w:tcBorders>
          </w:tcPr>
          <w:p w14:paraId="6F184B31" w14:textId="77777777" w:rsidR="002E08BF" w:rsidRPr="00DA006D" w:rsidRDefault="002E08BF" w:rsidP="00BC2AF6">
            <w:pPr>
              <w:pStyle w:val="TableBody"/>
              <w:spacing w:line="360" w:lineRule="auto"/>
              <w:jc w:val="center"/>
              <w:rPr>
                <w:rFonts w:ascii="Times New Roman" w:hAnsi="Times New Roman"/>
                <w:sz w:val="12"/>
                <w:szCs w:val="12"/>
              </w:rPr>
            </w:pPr>
          </w:p>
        </w:tc>
        <w:tc>
          <w:tcPr>
            <w:tcW w:w="2210" w:type="dxa"/>
            <w:tcBorders>
              <w:top w:val="single" w:sz="4" w:space="0" w:color="000000"/>
            </w:tcBorders>
          </w:tcPr>
          <w:p w14:paraId="12097EB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r>
      <w:tr w:rsidR="002E08BF" w:rsidRPr="00DA006D" w14:paraId="73B0B5B8" w14:textId="77777777" w:rsidTr="00BC2AF6">
        <w:tc>
          <w:tcPr>
            <w:tcW w:w="418" w:type="dxa"/>
            <w:tcBorders>
              <w:top w:val="single" w:sz="4" w:space="0" w:color="000000"/>
            </w:tcBorders>
            <w:shd w:val="clear" w:color="auto" w:fill="auto"/>
          </w:tcPr>
          <w:p w14:paraId="317BB4F5"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29</w:t>
            </w:r>
          </w:p>
        </w:tc>
        <w:tc>
          <w:tcPr>
            <w:tcW w:w="696" w:type="dxa"/>
            <w:tcBorders>
              <w:top w:val="single" w:sz="4" w:space="0" w:color="000000"/>
            </w:tcBorders>
          </w:tcPr>
          <w:p w14:paraId="71D9DED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Iris melanosis</w:t>
            </w:r>
          </w:p>
        </w:tc>
        <w:tc>
          <w:tcPr>
            <w:tcW w:w="868" w:type="dxa"/>
            <w:tcBorders>
              <w:top w:val="single" w:sz="4" w:space="0" w:color="000000"/>
            </w:tcBorders>
            <w:shd w:val="clear" w:color="auto" w:fill="auto"/>
          </w:tcPr>
          <w:p w14:paraId="4E45BA2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16 years </w:t>
            </w:r>
          </w:p>
        </w:tc>
        <w:tc>
          <w:tcPr>
            <w:tcW w:w="643" w:type="dxa"/>
            <w:tcBorders>
              <w:top w:val="single" w:sz="4" w:space="0" w:color="000000"/>
            </w:tcBorders>
            <w:shd w:val="clear" w:color="auto" w:fill="auto"/>
          </w:tcPr>
          <w:p w14:paraId="6403A69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7B1BA83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6F10C48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2-3 layers of melanocytes with open nuclei and small distinct nucleoli lining the anterior iris stroma.</w:t>
            </w:r>
          </w:p>
        </w:tc>
        <w:tc>
          <w:tcPr>
            <w:tcW w:w="708" w:type="dxa"/>
            <w:tcBorders>
              <w:top w:val="single" w:sz="4" w:space="0" w:color="000000"/>
            </w:tcBorders>
          </w:tcPr>
          <w:p w14:paraId="71516A8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5B71A3E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Thoracic radiographs, abdominal ultrasound.</w:t>
            </w:r>
          </w:p>
        </w:tc>
        <w:tc>
          <w:tcPr>
            <w:tcW w:w="1003" w:type="dxa"/>
            <w:tcBorders>
              <w:top w:val="single" w:sz="4" w:space="0" w:color="000000"/>
            </w:tcBorders>
          </w:tcPr>
          <w:p w14:paraId="31A89D9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2CB1B1A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Y</w:t>
            </w:r>
          </w:p>
        </w:tc>
        <w:tc>
          <w:tcPr>
            <w:tcW w:w="739" w:type="dxa"/>
            <w:tcBorders>
              <w:top w:val="single" w:sz="4" w:space="0" w:color="000000"/>
            </w:tcBorders>
          </w:tcPr>
          <w:p w14:paraId="37F9DFD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62</w:t>
            </w:r>
          </w:p>
        </w:tc>
        <w:tc>
          <w:tcPr>
            <w:tcW w:w="2210" w:type="dxa"/>
            <w:tcBorders>
              <w:top w:val="single" w:sz="4" w:space="0" w:color="000000"/>
            </w:tcBorders>
          </w:tcPr>
          <w:p w14:paraId="080CF21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0D90E848" w14:textId="77777777" w:rsidTr="00BC2AF6">
        <w:tc>
          <w:tcPr>
            <w:tcW w:w="418" w:type="dxa"/>
            <w:tcBorders>
              <w:top w:val="single" w:sz="4" w:space="0" w:color="000000"/>
            </w:tcBorders>
            <w:shd w:val="clear" w:color="auto" w:fill="auto"/>
          </w:tcPr>
          <w:p w14:paraId="5D3851B9"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30</w:t>
            </w:r>
          </w:p>
        </w:tc>
        <w:tc>
          <w:tcPr>
            <w:tcW w:w="696" w:type="dxa"/>
            <w:tcBorders>
              <w:top w:val="single" w:sz="4" w:space="0" w:color="000000"/>
            </w:tcBorders>
          </w:tcPr>
          <w:p w14:paraId="54A4060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Iris melanosis</w:t>
            </w:r>
          </w:p>
        </w:tc>
        <w:tc>
          <w:tcPr>
            <w:tcW w:w="868" w:type="dxa"/>
            <w:tcBorders>
              <w:top w:val="single" w:sz="4" w:space="0" w:color="000000"/>
            </w:tcBorders>
            <w:shd w:val="clear" w:color="auto" w:fill="auto"/>
          </w:tcPr>
          <w:p w14:paraId="338893B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3 years</w:t>
            </w:r>
          </w:p>
        </w:tc>
        <w:tc>
          <w:tcPr>
            <w:tcW w:w="643" w:type="dxa"/>
            <w:tcBorders>
              <w:top w:val="single" w:sz="4" w:space="0" w:color="000000"/>
            </w:tcBorders>
            <w:shd w:val="clear" w:color="auto" w:fill="auto"/>
          </w:tcPr>
          <w:p w14:paraId="1996898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BSH</w:t>
            </w:r>
          </w:p>
        </w:tc>
        <w:tc>
          <w:tcPr>
            <w:tcW w:w="766" w:type="dxa"/>
            <w:gridSpan w:val="2"/>
            <w:tcBorders>
              <w:top w:val="single" w:sz="4" w:space="0" w:color="000000"/>
            </w:tcBorders>
            <w:shd w:val="clear" w:color="auto" w:fill="auto"/>
          </w:tcPr>
          <w:p w14:paraId="3F27AC0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Female neutered</w:t>
            </w:r>
          </w:p>
        </w:tc>
        <w:tc>
          <w:tcPr>
            <w:tcW w:w="3999" w:type="dxa"/>
            <w:tcBorders>
              <w:top w:val="single" w:sz="4" w:space="0" w:color="000000"/>
            </w:tcBorders>
          </w:tcPr>
          <w:p w14:paraId="70007A0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1-2 layers of melanocytes with coarse granular pigment lining the anterior iris stroma. Minimal anisocytosis and anisokaryosis. </w:t>
            </w:r>
          </w:p>
        </w:tc>
        <w:tc>
          <w:tcPr>
            <w:tcW w:w="708" w:type="dxa"/>
            <w:tcBorders>
              <w:top w:val="single" w:sz="4" w:space="0" w:color="000000"/>
            </w:tcBorders>
          </w:tcPr>
          <w:p w14:paraId="5D55B8A1"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3C98D5E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Thoracic radiographs, abdominal ultrasound.</w:t>
            </w:r>
          </w:p>
        </w:tc>
        <w:tc>
          <w:tcPr>
            <w:tcW w:w="1003" w:type="dxa"/>
            <w:tcBorders>
              <w:top w:val="single" w:sz="4" w:space="0" w:color="000000"/>
            </w:tcBorders>
          </w:tcPr>
          <w:p w14:paraId="4E53ABF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800" w:type="dxa"/>
            <w:tcBorders>
              <w:top w:val="single" w:sz="4" w:space="0" w:color="000000"/>
            </w:tcBorders>
          </w:tcPr>
          <w:p w14:paraId="7AF98F9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Loss of follow-up following enucleation.</w:t>
            </w:r>
          </w:p>
        </w:tc>
        <w:tc>
          <w:tcPr>
            <w:tcW w:w="739" w:type="dxa"/>
            <w:tcBorders>
              <w:top w:val="single" w:sz="4" w:space="0" w:color="000000"/>
            </w:tcBorders>
          </w:tcPr>
          <w:p w14:paraId="530600F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286032FD"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2DA87686" w14:textId="77777777" w:rsidTr="00BC2AF6">
        <w:tc>
          <w:tcPr>
            <w:tcW w:w="418" w:type="dxa"/>
            <w:tcBorders>
              <w:top w:val="single" w:sz="4" w:space="0" w:color="000000"/>
            </w:tcBorders>
            <w:shd w:val="clear" w:color="auto" w:fill="auto"/>
          </w:tcPr>
          <w:p w14:paraId="0B2BD9DE"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lastRenderedPageBreak/>
              <w:t>31</w:t>
            </w:r>
          </w:p>
        </w:tc>
        <w:tc>
          <w:tcPr>
            <w:tcW w:w="696" w:type="dxa"/>
            <w:tcBorders>
              <w:top w:val="single" w:sz="4" w:space="0" w:color="000000"/>
            </w:tcBorders>
          </w:tcPr>
          <w:p w14:paraId="2C51C69B"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Iris melanosis</w:t>
            </w:r>
          </w:p>
        </w:tc>
        <w:tc>
          <w:tcPr>
            <w:tcW w:w="868" w:type="dxa"/>
            <w:tcBorders>
              <w:top w:val="single" w:sz="4" w:space="0" w:color="000000"/>
            </w:tcBorders>
            <w:shd w:val="clear" w:color="auto" w:fill="auto"/>
          </w:tcPr>
          <w:p w14:paraId="583D018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10 years 5 months</w:t>
            </w:r>
          </w:p>
        </w:tc>
        <w:tc>
          <w:tcPr>
            <w:tcW w:w="643" w:type="dxa"/>
            <w:tcBorders>
              <w:top w:val="single" w:sz="4" w:space="0" w:color="000000"/>
            </w:tcBorders>
            <w:shd w:val="clear" w:color="auto" w:fill="auto"/>
          </w:tcPr>
          <w:p w14:paraId="37713E8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tcBorders>
            <w:shd w:val="clear" w:color="auto" w:fill="auto"/>
          </w:tcPr>
          <w:p w14:paraId="0E77FB96"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tcBorders>
          </w:tcPr>
          <w:p w14:paraId="2BFB74B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 xml:space="preserve">1-2 layers of melanocytes with coarse granular pigment lining the anterior iris stroma. Mild pleomorphism. </w:t>
            </w:r>
          </w:p>
        </w:tc>
        <w:tc>
          <w:tcPr>
            <w:tcW w:w="708" w:type="dxa"/>
            <w:tcBorders>
              <w:top w:val="single" w:sz="4" w:space="0" w:color="000000"/>
            </w:tcBorders>
          </w:tcPr>
          <w:p w14:paraId="68B99EC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tcBorders>
            <w:shd w:val="clear" w:color="auto" w:fill="auto"/>
          </w:tcPr>
          <w:p w14:paraId="340CC2EF"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1003" w:type="dxa"/>
            <w:tcBorders>
              <w:top w:val="single" w:sz="4" w:space="0" w:color="000000"/>
            </w:tcBorders>
          </w:tcPr>
          <w:p w14:paraId="689F1CB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tcBorders>
          </w:tcPr>
          <w:p w14:paraId="3B1DAD2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Loss of follow-up following enucleation.</w:t>
            </w:r>
          </w:p>
        </w:tc>
        <w:tc>
          <w:tcPr>
            <w:tcW w:w="739" w:type="dxa"/>
            <w:tcBorders>
              <w:top w:val="single" w:sz="4" w:space="0" w:color="000000"/>
            </w:tcBorders>
          </w:tcPr>
          <w:p w14:paraId="7C87FFF0"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tcBorders>
          </w:tcPr>
          <w:p w14:paraId="08728D6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6E95F898" w14:textId="77777777" w:rsidTr="00BC2AF6">
        <w:tc>
          <w:tcPr>
            <w:tcW w:w="418" w:type="dxa"/>
            <w:tcBorders>
              <w:top w:val="single" w:sz="4" w:space="0" w:color="000000"/>
              <w:bottom w:val="single" w:sz="4" w:space="0" w:color="000000"/>
            </w:tcBorders>
            <w:shd w:val="clear" w:color="auto" w:fill="auto"/>
          </w:tcPr>
          <w:p w14:paraId="32D7CA0C" w14:textId="77777777" w:rsidR="002E08BF" w:rsidRPr="00DA006D" w:rsidRDefault="002E08BF" w:rsidP="00BC2AF6">
            <w:pPr>
              <w:pStyle w:val="TableBody"/>
              <w:spacing w:line="360" w:lineRule="auto"/>
              <w:jc w:val="left"/>
              <w:rPr>
                <w:rFonts w:ascii="Times New Roman" w:hAnsi="Times New Roman"/>
                <w:sz w:val="12"/>
                <w:szCs w:val="12"/>
              </w:rPr>
            </w:pPr>
            <w:r>
              <w:rPr>
                <w:rFonts w:ascii="Times New Roman" w:hAnsi="Times New Roman"/>
                <w:sz w:val="12"/>
                <w:szCs w:val="12"/>
              </w:rPr>
              <w:t>32</w:t>
            </w:r>
          </w:p>
        </w:tc>
        <w:tc>
          <w:tcPr>
            <w:tcW w:w="696" w:type="dxa"/>
            <w:tcBorders>
              <w:top w:val="single" w:sz="4" w:space="0" w:color="000000"/>
              <w:bottom w:val="single" w:sz="4" w:space="0" w:color="000000"/>
            </w:tcBorders>
          </w:tcPr>
          <w:p w14:paraId="1B6F004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Iris melanosis</w:t>
            </w:r>
          </w:p>
        </w:tc>
        <w:tc>
          <w:tcPr>
            <w:tcW w:w="868" w:type="dxa"/>
            <w:tcBorders>
              <w:top w:val="single" w:sz="4" w:space="0" w:color="000000"/>
              <w:bottom w:val="single" w:sz="4" w:space="0" w:color="000000"/>
            </w:tcBorders>
            <w:shd w:val="clear" w:color="auto" w:fill="auto"/>
          </w:tcPr>
          <w:p w14:paraId="0C69ABE9"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4 years</w:t>
            </w:r>
          </w:p>
        </w:tc>
        <w:tc>
          <w:tcPr>
            <w:tcW w:w="643" w:type="dxa"/>
            <w:tcBorders>
              <w:top w:val="single" w:sz="4" w:space="0" w:color="000000"/>
              <w:bottom w:val="single" w:sz="4" w:space="0" w:color="000000"/>
            </w:tcBorders>
            <w:shd w:val="clear" w:color="auto" w:fill="auto"/>
          </w:tcPr>
          <w:p w14:paraId="4CF4CB82"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DSH</w:t>
            </w:r>
          </w:p>
        </w:tc>
        <w:tc>
          <w:tcPr>
            <w:tcW w:w="766" w:type="dxa"/>
            <w:gridSpan w:val="2"/>
            <w:tcBorders>
              <w:top w:val="single" w:sz="4" w:space="0" w:color="000000"/>
              <w:bottom w:val="single" w:sz="4" w:space="0" w:color="000000"/>
            </w:tcBorders>
            <w:shd w:val="clear" w:color="auto" w:fill="auto"/>
          </w:tcPr>
          <w:p w14:paraId="6630071A"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Male neutered</w:t>
            </w:r>
          </w:p>
        </w:tc>
        <w:tc>
          <w:tcPr>
            <w:tcW w:w="3999" w:type="dxa"/>
            <w:tcBorders>
              <w:top w:val="single" w:sz="4" w:space="0" w:color="000000"/>
              <w:bottom w:val="single" w:sz="4" w:space="0" w:color="000000"/>
            </w:tcBorders>
          </w:tcPr>
          <w:p w14:paraId="5B8D5838"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1-2 layers of melanocytes with coarse granular pigment lining the anterior iris stroma.</w:t>
            </w:r>
          </w:p>
        </w:tc>
        <w:tc>
          <w:tcPr>
            <w:tcW w:w="708" w:type="dxa"/>
            <w:tcBorders>
              <w:top w:val="single" w:sz="4" w:space="0" w:color="000000"/>
              <w:bottom w:val="single" w:sz="4" w:space="0" w:color="000000"/>
            </w:tcBorders>
          </w:tcPr>
          <w:p w14:paraId="587E4C23"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0</w:t>
            </w:r>
          </w:p>
        </w:tc>
        <w:tc>
          <w:tcPr>
            <w:tcW w:w="2176" w:type="dxa"/>
            <w:tcBorders>
              <w:top w:val="single" w:sz="4" w:space="0" w:color="000000"/>
              <w:bottom w:val="single" w:sz="4" w:space="0" w:color="000000"/>
            </w:tcBorders>
            <w:shd w:val="clear" w:color="auto" w:fill="auto"/>
          </w:tcPr>
          <w:p w14:paraId="003BB4DC"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w:t>
            </w:r>
          </w:p>
        </w:tc>
        <w:tc>
          <w:tcPr>
            <w:tcW w:w="1003" w:type="dxa"/>
            <w:tcBorders>
              <w:top w:val="single" w:sz="4" w:space="0" w:color="000000"/>
              <w:bottom w:val="single" w:sz="4" w:space="0" w:color="000000"/>
            </w:tcBorders>
          </w:tcPr>
          <w:p w14:paraId="0D95FCB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800" w:type="dxa"/>
            <w:tcBorders>
              <w:top w:val="single" w:sz="4" w:space="0" w:color="000000"/>
              <w:bottom w:val="single" w:sz="4" w:space="0" w:color="000000"/>
            </w:tcBorders>
          </w:tcPr>
          <w:p w14:paraId="4E0DCDE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Loss of follow-up following enucleation</w:t>
            </w:r>
            <w:r>
              <w:rPr>
                <w:rFonts w:ascii="Times New Roman" w:hAnsi="Times New Roman"/>
                <w:sz w:val="12"/>
                <w:szCs w:val="12"/>
              </w:rPr>
              <w:t>.</w:t>
            </w:r>
          </w:p>
        </w:tc>
        <w:tc>
          <w:tcPr>
            <w:tcW w:w="739" w:type="dxa"/>
            <w:tcBorders>
              <w:top w:val="single" w:sz="4" w:space="0" w:color="000000"/>
              <w:bottom w:val="single" w:sz="4" w:space="0" w:color="000000"/>
            </w:tcBorders>
          </w:tcPr>
          <w:p w14:paraId="02A2018E"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c>
          <w:tcPr>
            <w:tcW w:w="2210" w:type="dxa"/>
            <w:tcBorders>
              <w:top w:val="single" w:sz="4" w:space="0" w:color="000000"/>
              <w:bottom w:val="single" w:sz="4" w:space="0" w:color="000000"/>
            </w:tcBorders>
          </w:tcPr>
          <w:p w14:paraId="1C226554" w14:textId="77777777" w:rsidR="002E08BF" w:rsidRPr="00DA006D" w:rsidRDefault="002E08BF" w:rsidP="00BC2AF6">
            <w:pPr>
              <w:pStyle w:val="TableBody"/>
              <w:spacing w:line="360" w:lineRule="auto"/>
              <w:jc w:val="center"/>
              <w:rPr>
                <w:rFonts w:ascii="Times New Roman" w:hAnsi="Times New Roman"/>
                <w:sz w:val="12"/>
                <w:szCs w:val="12"/>
              </w:rPr>
            </w:pPr>
            <w:r w:rsidRPr="001E7164">
              <w:rPr>
                <w:rFonts w:ascii="Times New Roman" w:hAnsi="Times New Roman"/>
                <w:sz w:val="12"/>
                <w:szCs w:val="12"/>
              </w:rPr>
              <w:t>N/a</w:t>
            </w:r>
          </w:p>
        </w:tc>
      </w:tr>
      <w:tr w:rsidR="002E08BF" w:rsidRPr="00DA006D" w14:paraId="2039E3D1" w14:textId="77777777" w:rsidTr="00BC2AF6">
        <w:tc>
          <w:tcPr>
            <w:tcW w:w="418" w:type="dxa"/>
            <w:tcBorders>
              <w:top w:val="single" w:sz="4" w:space="0" w:color="000000"/>
            </w:tcBorders>
            <w:shd w:val="clear" w:color="auto" w:fill="auto"/>
          </w:tcPr>
          <w:p w14:paraId="0A6ECF17" w14:textId="77777777" w:rsidR="002E08BF" w:rsidRPr="00DA006D" w:rsidRDefault="002E08BF" w:rsidP="00BC2AF6">
            <w:pPr>
              <w:pStyle w:val="TableBody"/>
              <w:spacing w:line="360" w:lineRule="auto"/>
              <w:jc w:val="left"/>
              <w:rPr>
                <w:rFonts w:ascii="Times New Roman" w:hAnsi="Times New Roman"/>
                <w:sz w:val="12"/>
                <w:szCs w:val="12"/>
              </w:rPr>
            </w:pPr>
          </w:p>
        </w:tc>
        <w:tc>
          <w:tcPr>
            <w:tcW w:w="696" w:type="dxa"/>
            <w:tcBorders>
              <w:top w:val="single" w:sz="4" w:space="0" w:color="000000"/>
            </w:tcBorders>
          </w:tcPr>
          <w:p w14:paraId="580B602C" w14:textId="77777777" w:rsidR="002E08BF" w:rsidRPr="00DA006D" w:rsidRDefault="002E08BF" w:rsidP="00BC2AF6">
            <w:pPr>
              <w:pStyle w:val="TableBody"/>
              <w:spacing w:line="360" w:lineRule="auto"/>
              <w:jc w:val="center"/>
              <w:rPr>
                <w:rFonts w:ascii="Times New Roman" w:hAnsi="Times New Roman"/>
                <w:sz w:val="12"/>
                <w:szCs w:val="12"/>
              </w:rPr>
            </w:pPr>
          </w:p>
        </w:tc>
        <w:tc>
          <w:tcPr>
            <w:tcW w:w="868" w:type="dxa"/>
            <w:tcBorders>
              <w:top w:val="single" w:sz="4" w:space="0" w:color="000000"/>
            </w:tcBorders>
            <w:shd w:val="clear" w:color="auto" w:fill="auto"/>
          </w:tcPr>
          <w:p w14:paraId="47756860" w14:textId="77777777" w:rsidR="002E08BF" w:rsidRPr="00DA006D" w:rsidRDefault="002E08BF" w:rsidP="00BC2AF6">
            <w:pPr>
              <w:pStyle w:val="TableBody"/>
              <w:spacing w:line="360" w:lineRule="auto"/>
              <w:jc w:val="center"/>
              <w:rPr>
                <w:rFonts w:ascii="Times New Roman" w:hAnsi="Times New Roman"/>
                <w:sz w:val="12"/>
                <w:szCs w:val="12"/>
              </w:rPr>
            </w:pPr>
          </w:p>
        </w:tc>
        <w:tc>
          <w:tcPr>
            <w:tcW w:w="643" w:type="dxa"/>
            <w:tcBorders>
              <w:top w:val="single" w:sz="4" w:space="0" w:color="000000"/>
            </w:tcBorders>
            <w:shd w:val="clear" w:color="auto" w:fill="auto"/>
          </w:tcPr>
          <w:p w14:paraId="7E321665" w14:textId="77777777" w:rsidR="002E08BF" w:rsidRPr="00DA006D" w:rsidRDefault="002E08BF" w:rsidP="00BC2AF6">
            <w:pPr>
              <w:pStyle w:val="TableBody"/>
              <w:spacing w:line="360" w:lineRule="auto"/>
              <w:jc w:val="center"/>
              <w:rPr>
                <w:rFonts w:ascii="Times New Roman" w:hAnsi="Times New Roman"/>
                <w:sz w:val="12"/>
                <w:szCs w:val="12"/>
              </w:rPr>
            </w:pPr>
          </w:p>
        </w:tc>
        <w:tc>
          <w:tcPr>
            <w:tcW w:w="766" w:type="dxa"/>
            <w:gridSpan w:val="2"/>
            <w:tcBorders>
              <w:top w:val="single" w:sz="4" w:space="0" w:color="000000"/>
            </w:tcBorders>
            <w:shd w:val="clear" w:color="auto" w:fill="auto"/>
          </w:tcPr>
          <w:p w14:paraId="629213A1" w14:textId="77777777" w:rsidR="002E08BF" w:rsidRPr="00DA006D" w:rsidRDefault="002E08BF" w:rsidP="00BC2AF6">
            <w:pPr>
              <w:pStyle w:val="TableBody"/>
              <w:spacing w:line="360" w:lineRule="auto"/>
              <w:jc w:val="center"/>
              <w:rPr>
                <w:rFonts w:ascii="Times New Roman" w:hAnsi="Times New Roman"/>
                <w:sz w:val="12"/>
                <w:szCs w:val="12"/>
              </w:rPr>
            </w:pPr>
          </w:p>
        </w:tc>
        <w:tc>
          <w:tcPr>
            <w:tcW w:w="3999" w:type="dxa"/>
            <w:tcBorders>
              <w:top w:val="single" w:sz="4" w:space="0" w:color="000000"/>
            </w:tcBorders>
          </w:tcPr>
          <w:p w14:paraId="1907F9E8" w14:textId="77777777" w:rsidR="002E08BF" w:rsidRPr="00DA006D" w:rsidRDefault="002E08BF" w:rsidP="00BC2AF6">
            <w:pPr>
              <w:pStyle w:val="TableBody"/>
              <w:spacing w:line="360" w:lineRule="auto"/>
              <w:jc w:val="center"/>
              <w:rPr>
                <w:rFonts w:ascii="Times New Roman" w:hAnsi="Times New Roman"/>
                <w:sz w:val="12"/>
                <w:szCs w:val="12"/>
              </w:rPr>
            </w:pPr>
          </w:p>
        </w:tc>
        <w:tc>
          <w:tcPr>
            <w:tcW w:w="708" w:type="dxa"/>
            <w:tcBorders>
              <w:top w:val="single" w:sz="4" w:space="0" w:color="000000"/>
            </w:tcBorders>
          </w:tcPr>
          <w:p w14:paraId="620AFAC4" w14:textId="77777777" w:rsidR="002E08BF" w:rsidRPr="00DA006D" w:rsidRDefault="002E08BF" w:rsidP="00BC2AF6">
            <w:pPr>
              <w:pStyle w:val="TableBody"/>
              <w:spacing w:line="360" w:lineRule="auto"/>
              <w:jc w:val="center"/>
              <w:rPr>
                <w:rFonts w:ascii="Times New Roman" w:hAnsi="Times New Roman"/>
                <w:sz w:val="12"/>
                <w:szCs w:val="12"/>
              </w:rPr>
            </w:pPr>
          </w:p>
        </w:tc>
        <w:tc>
          <w:tcPr>
            <w:tcW w:w="2176" w:type="dxa"/>
            <w:tcBorders>
              <w:top w:val="single" w:sz="4" w:space="0" w:color="000000"/>
            </w:tcBorders>
            <w:shd w:val="clear" w:color="auto" w:fill="auto"/>
          </w:tcPr>
          <w:p w14:paraId="5A4327F7" w14:textId="77777777" w:rsidR="002E08BF" w:rsidRPr="00DA006D" w:rsidRDefault="002E08BF" w:rsidP="00BC2AF6">
            <w:pPr>
              <w:pStyle w:val="TableBody"/>
              <w:spacing w:line="360" w:lineRule="auto"/>
              <w:jc w:val="center"/>
              <w:rPr>
                <w:rFonts w:ascii="Times New Roman" w:hAnsi="Times New Roman"/>
                <w:sz w:val="12"/>
                <w:szCs w:val="12"/>
              </w:rPr>
            </w:pPr>
          </w:p>
        </w:tc>
        <w:tc>
          <w:tcPr>
            <w:tcW w:w="1003" w:type="dxa"/>
            <w:tcBorders>
              <w:top w:val="single" w:sz="4" w:space="0" w:color="000000"/>
            </w:tcBorders>
          </w:tcPr>
          <w:p w14:paraId="5D6104BF" w14:textId="77777777" w:rsidR="002E08BF" w:rsidRPr="00DA006D" w:rsidRDefault="002E08BF" w:rsidP="00BC2AF6">
            <w:pPr>
              <w:pStyle w:val="TableBody"/>
              <w:spacing w:line="360" w:lineRule="auto"/>
              <w:jc w:val="center"/>
              <w:rPr>
                <w:rFonts w:ascii="Times New Roman" w:hAnsi="Times New Roman"/>
                <w:sz w:val="12"/>
                <w:szCs w:val="12"/>
              </w:rPr>
            </w:pPr>
          </w:p>
        </w:tc>
        <w:tc>
          <w:tcPr>
            <w:tcW w:w="800" w:type="dxa"/>
            <w:tcBorders>
              <w:top w:val="single" w:sz="4" w:space="0" w:color="000000"/>
            </w:tcBorders>
          </w:tcPr>
          <w:p w14:paraId="6E00014E" w14:textId="77777777" w:rsidR="002E08BF" w:rsidRPr="00DA006D" w:rsidRDefault="002E08BF" w:rsidP="00BC2AF6">
            <w:pPr>
              <w:pStyle w:val="TableBody"/>
              <w:spacing w:line="360" w:lineRule="auto"/>
              <w:jc w:val="center"/>
              <w:rPr>
                <w:rFonts w:ascii="Times New Roman" w:hAnsi="Times New Roman"/>
                <w:sz w:val="12"/>
                <w:szCs w:val="12"/>
              </w:rPr>
            </w:pPr>
          </w:p>
        </w:tc>
        <w:tc>
          <w:tcPr>
            <w:tcW w:w="739" w:type="dxa"/>
            <w:tcBorders>
              <w:top w:val="single" w:sz="4" w:space="0" w:color="000000"/>
            </w:tcBorders>
          </w:tcPr>
          <w:p w14:paraId="113EF916" w14:textId="77777777" w:rsidR="002E08BF" w:rsidRPr="00DA006D" w:rsidRDefault="002E08BF" w:rsidP="00BC2AF6">
            <w:pPr>
              <w:pStyle w:val="TableBody"/>
              <w:spacing w:line="360" w:lineRule="auto"/>
              <w:jc w:val="center"/>
              <w:rPr>
                <w:rFonts w:ascii="Times New Roman" w:hAnsi="Times New Roman"/>
                <w:sz w:val="12"/>
                <w:szCs w:val="12"/>
              </w:rPr>
            </w:pPr>
          </w:p>
        </w:tc>
        <w:tc>
          <w:tcPr>
            <w:tcW w:w="2210" w:type="dxa"/>
            <w:tcBorders>
              <w:top w:val="single" w:sz="4" w:space="0" w:color="000000"/>
            </w:tcBorders>
          </w:tcPr>
          <w:p w14:paraId="37E67C43" w14:textId="77777777" w:rsidR="002E08BF" w:rsidRPr="00DA006D" w:rsidRDefault="002E08BF" w:rsidP="00BC2AF6">
            <w:pPr>
              <w:pStyle w:val="TableBody"/>
              <w:spacing w:line="360" w:lineRule="auto"/>
              <w:jc w:val="center"/>
              <w:rPr>
                <w:rFonts w:ascii="Times New Roman" w:hAnsi="Times New Roman"/>
                <w:sz w:val="12"/>
                <w:szCs w:val="12"/>
              </w:rPr>
            </w:pPr>
          </w:p>
        </w:tc>
      </w:tr>
    </w:tbl>
    <w:p w14:paraId="67E59BB8" w14:textId="77777777" w:rsidR="002E08BF" w:rsidRPr="00DA006D" w:rsidRDefault="002E08BF" w:rsidP="002E08BF">
      <w:pPr>
        <w:rPr>
          <w:sz w:val="13"/>
          <w:szCs w:val="13"/>
        </w:rPr>
      </w:pPr>
      <w:r w:rsidRPr="00DA006D">
        <w:rPr>
          <w:sz w:val="13"/>
          <w:szCs w:val="13"/>
        </w:rPr>
        <w:t>*as of August 2023</w:t>
      </w:r>
    </w:p>
    <w:p w14:paraId="6E93D707" w14:textId="77777777" w:rsidR="002E08BF" w:rsidRPr="00DA006D" w:rsidRDefault="002E08BF" w:rsidP="002E08BF"/>
    <w:p w14:paraId="38AD2B0B" w14:textId="77777777" w:rsidR="002E08BF" w:rsidRPr="00DA006D" w:rsidRDefault="002E08BF" w:rsidP="002E08BF"/>
    <w:p w14:paraId="66591671" w14:textId="77777777" w:rsidR="002E08BF" w:rsidRPr="00DA006D" w:rsidRDefault="002E08BF" w:rsidP="002E08BF">
      <w:pPr>
        <w:jc w:val="both"/>
        <w:rPr>
          <w:b/>
          <w:bCs/>
        </w:rPr>
      </w:pPr>
    </w:p>
    <w:p w14:paraId="02BED7E7" w14:textId="77777777" w:rsidR="002E08BF" w:rsidRPr="00DA006D" w:rsidRDefault="002E08BF" w:rsidP="002E08BF">
      <w:pPr>
        <w:jc w:val="both"/>
        <w:rPr>
          <w:b/>
          <w:bCs/>
        </w:rPr>
      </w:pPr>
    </w:p>
    <w:p w14:paraId="6E6D6D24" w14:textId="77777777" w:rsidR="002E08BF" w:rsidRPr="00DA006D" w:rsidRDefault="002E08BF" w:rsidP="002E08BF">
      <w:pPr>
        <w:jc w:val="both"/>
        <w:rPr>
          <w:b/>
          <w:bCs/>
        </w:rPr>
      </w:pPr>
    </w:p>
    <w:p w14:paraId="38F243A0" w14:textId="77777777" w:rsidR="00755780" w:rsidRDefault="00755780"/>
    <w:sectPr w:rsidR="00755780" w:rsidSect="002E08B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8BF"/>
    <w:rsid w:val="002E08BF"/>
    <w:rsid w:val="00331A6B"/>
    <w:rsid w:val="00755780"/>
    <w:rsid w:val="007955D2"/>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88A45"/>
  <w15:chartTrackingRefBased/>
  <w15:docId w15:val="{B6AEF8B9-1701-4B7B-92F5-6D8B0B0F9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8BF"/>
    <w:pPr>
      <w:spacing w:line="480" w:lineRule="auto"/>
    </w:pPr>
    <w:rPr>
      <w:rFonts w:ascii="Times New Roman" w:eastAsia="MS Mincho" w:hAnsi="Times New Roman" w:cs="Times New Roman"/>
      <w:kern w:val="0"/>
      <w:sz w:val="24"/>
      <w:szCs w:val="24"/>
      <w:lang w:val="en-GB" w:eastAsia="ja-JP"/>
      <w14:ligatures w14:val="none"/>
    </w:rPr>
  </w:style>
  <w:style w:type="paragraph" w:styleId="Heading1">
    <w:name w:val="heading 1"/>
    <w:basedOn w:val="Normal"/>
    <w:next w:val="Normal"/>
    <w:link w:val="Heading1Char"/>
    <w:uiPriority w:val="9"/>
    <w:qFormat/>
    <w:rsid w:val="002E08B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E08B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E08BF"/>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E08BF"/>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2E08BF"/>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2E08BF"/>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2E08BF"/>
    <w:pPr>
      <w:keepNext/>
      <w:keepLines/>
      <w:spacing w:before="40" w:after="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2E08BF"/>
    <w:pPr>
      <w:keepNext/>
      <w:keepLines/>
      <w:spacing w:after="0"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2E08BF"/>
    <w:pPr>
      <w:keepNext/>
      <w:keepLines/>
      <w:spacing w:after="0"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8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08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08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08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08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08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08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08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08BF"/>
    <w:rPr>
      <w:rFonts w:eastAsiaTheme="majorEastAsia" w:cstheme="majorBidi"/>
      <w:color w:val="272727" w:themeColor="text1" w:themeTint="D8"/>
    </w:rPr>
  </w:style>
  <w:style w:type="paragraph" w:styleId="Title">
    <w:name w:val="Title"/>
    <w:basedOn w:val="Normal"/>
    <w:next w:val="Normal"/>
    <w:link w:val="TitleChar"/>
    <w:uiPriority w:val="10"/>
    <w:qFormat/>
    <w:rsid w:val="002E08BF"/>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E08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08BF"/>
    <w:pPr>
      <w:numPr>
        <w:ilvl w:val="1"/>
      </w:numPr>
      <w:spacing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E08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08BF"/>
    <w:pPr>
      <w:spacing w:before="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2E08BF"/>
    <w:rPr>
      <w:i/>
      <w:iCs/>
      <w:color w:val="404040" w:themeColor="text1" w:themeTint="BF"/>
    </w:rPr>
  </w:style>
  <w:style w:type="paragraph" w:styleId="ListParagraph">
    <w:name w:val="List Paragraph"/>
    <w:basedOn w:val="Normal"/>
    <w:uiPriority w:val="34"/>
    <w:qFormat/>
    <w:rsid w:val="002E08BF"/>
    <w:pPr>
      <w:spacing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2E08BF"/>
    <w:rPr>
      <w:i/>
      <w:iCs/>
      <w:color w:val="0F4761" w:themeColor="accent1" w:themeShade="BF"/>
    </w:rPr>
  </w:style>
  <w:style w:type="paragraph" w:styleId="IntenseQuote">
    <w:name w:val="Intense Quote"/>
    <w:basedOn w:val="Normal"/>
    <w:next w:val="Normal"/>
    <w:link w:val="IntenseQuoteChar"/>
    <w:uiPriority w:val="30"/>
    <w:qFormat/>
    <w:rsid w:val="002E08B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2E08BF"/>
    <w:rPr>
      <w:i/>
      <w:iCs/>
      <w:color w:val="0F4761" w:themeColor="accent1" w:themeShade="BF"/>
    </w:rPr>
  </w:style>
  <w:style w:type="character" w:styleId="IntenseReference">
    <w:name w:val="Intense Reference"/>
    <w:basedOn w:val="DefaultParagraphFont"/>
    <w:uiPriority w:val="32"/>
    <w:qFormat/>
    <w:rsid w:val="002E08BF"/>
    <w:rPr>
      <w:b/>
      <w:bCs/>
      <w:smallCaps/>
      <w:color w:val="0F4761" w:themeColor="accent1" w:themeShade="BF"/>
      <w:spacing w:val="5"/>
    </w:rPr>
  </w:style>
  <w:style w:type="paragraph" w:customStyle="1" w:styleId="TableHead">
    <w:name w:val="TableHead"/>
    <w:basedOn w:val="Normal"/>
    <w:rsid w:val="002E08BF"/>
    <w:pPr>
      <w:pBdr>
        <w:top w:val="single" w:sz="4" w:space="4" w:color="FFFFFF"/>
        <w:left w:val="single" w:sz="4" w:space="4" w:color="FFFFFF"/>
        <w:bottom w:val="single" w:sz="4" w:space="4" w:color="FFFFFF"/>
        <w:right w:val="single" w:sz="4" w:space="4" w:color="FFFFFF"/>
      </w:pBdr>
      <w:spacing w:after="0" w:line="190" w:lineRule="exact"/>
      <w:jc w:val="both"/>
    </w:pPr>
    <w:rPr>
      <w:rFonts w:ascii="Arial" w:hAnsi="Arial"/>
      <w:sz w:val="16"/>
      <w:szCs w:val="14"/>
    </w:rPr>
  </w:style>
  <w:style w:type="paragraph" w:customStyle="1" w:styleId="TableBody">
    <w:name w:val="TableBody"/>
    <w:basedOn w:val="TableHead"/>
    <w:rsid w:val="002E08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1308</Words>
  <Characters>7462</Characters>
  <Application>Microsoft Office Word</Application>
  <DocSecurity>0</DocSecurity>
  <Lines>62</Lines>
  <Paragraphs>17</Paragraphs>
  <ScaleCrop>false</ScaleCrop>
  <Company>Springer Nature</Company>
  <LinksUpToDate>false</LinksUpToDate>
  <CharactersWithSpaces>8753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2025-03-31T07:35:00Z</dcterms:created>
  <dcterms:modified xsi:type="dcterms:W3CDTF">2025-03-31T07:36:00Z</dcterms:modified>
</cp:coreProperties>
</file>