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9388" w14:textId="40AC051E" w:rsidR="000A5DDE" w:rsidRPr="009425F0" w:rsidRDefault="00113550" w:rsidP="00AE464B">
      <w:pPr>
        <w:jc w:val="center"/>
        <w:rPr>
          <w:rFonts w:asciiTheme="minorHAnsi" w:hAnsiTheme="minorHAnsi" w:cstheme="minorHAnsi"/>
          <w:b/>
          <w:color w:val="000000" w:themeColor="text1"/>
          <w:sz w:val="32"/>
          <w:lang w:val="en-US"/>
        </w:rPr>
      </w:pPr>
      <w:bookmarkStart w:id="0" w:name="_GoBack"/>
      <w:bookmarkEnd w:id="0"/>
      <w:r>
        <w:rPr>
          <w:rFonts w:asciiTheme="minorHAnsi" w:hAnsiTheme="minorHAnsi" w:cstheme="minorHAnsi"/>
          <w:b/>
          <w:color w:val="000000" w:themeColor="text1"/>
          <w:sz w:val="32"/>
          <w:lang w:val="en-US"/>
        </w:rPr>
        <w:t>Additional material</w:t>
      </w:r>
    </w:p>
    <w:p w14:paraId="389E7BBC" w14:textId="3C9A664A" w:rsidR="000A5DDE" w:rsidRDefault="000A5DDE" w:rsidP="00AE464B">
      <w:pPr>
        <w:rPr>
          <w:rFonts w:asciiTheme="minorHAnsi" w:hAnsiTheme="minorHAnsi" w:cstheme="minorHAnsi"/>
          <w:b/>
          <w:color w:val="000000" w:themeColor="text1"/>
          <w:sz w:val="28"/>
          <w:lang w:val="en-US"/>
        </w:rPr>
      </w:pPr>
    </w:p>
    <w:p w14:paraId="0A52FCDA" w14:textId="77777777" w:rsidR="00AE464B" w:rsidRPr="009425F0" w:rsidRDefault="00AE464B" w:rsidP="00AE464B">
      <w:pPr>
        <w:rPr>
          <w:rFonts w:asciiTheme="minorHAnsi" w:hAnsiTheme="minorHAnsi" w:cstheme="minorHAnsi"/>
          <w:b/>
          <w:color w:val="000000" w:themeColor="text1"/>
          <w:sz w:val="28"/>
          <w:lang w:val="en-US"/>
        </w:rPr>
      </w:pPr>
    </w:p>
    <w:p w14:paraId="32FD9F09" w14:textId="77777777" w:rsidR="002E6C9D" w:rsidRDefault="002E6C9D" w:rsidP="00AE464B">
      <w:pPr>
        <w:rPr>
          <w:rFonts w:asciiTheme="minorHAnsi" w:hAnsiTheme="minorHAnsi" w:cstheme="minorHAnsi"/>
          <w:b/>
          <w:color w:val="000000" w:themeColor="text1"/>
          <w:sz w:val="28"/>
          <w:lang w:val="en-US"/>
        </w:rPr>
      </w:pPr>
      <w:r w:rsidRPr="00700EDD"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 xml:space="preserve">Withholding and </w:t>
      </w:r>
      <w:r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>w</w:t>
      </w:r>
      <w:r w:rsidRPr="00700EDD"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 xml:space="preserve">ithdrawal of </w:t>
      </w:r>
      <w:r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>life support</w:t>
      </w:r>
      <w:r w:rsidRPr="00700EDD"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 xml:space="preserve"> in</w:t>
      </w:r>
      <w:r>
        <w:rPr>
          <w:rFonts w:asciiTheme="minorHAnsi" w:hAnsiTheme="minorHAnsi" w:cstheme="minorHAnsi"/>
          <w:b/>
          <w:color w:val="000000" w:themeColor="text1"/>
          <w:sz w:val="28"/>
          <w:lang w:val="en-US"/>
        </w:rPr>
        <w:t xml:space="preserve"> mechanically ventilated stroke patients</w:t>
      </w:r>
    </w:p>
    <w:p w14:paraId="46CAEE8A" w14:textId="55435124" w:rsidR="003E4129" w:rsidRDefault="003E4129" w:rsidP="00AE464B">
      <w:pPr>
        <w:rPr>
          <w:rFonts w:asciiTheme="minorHAnsi" w:hAnsiTheme="minorHAnsi" w:cstheme="minorHAnsi"/>
          <w:color w:val="000000" w:themeColor="text1"/>
          <w:lang w:val="en-US"/>
        </w:rPr>
      </w:pPr>
    </w:p>
    <w:p w14:paraId="128CBF7A" w14:textId="77777777" w:rsidR="00AE464B" w:rsidRPr="009425F0" w:rsidRDefault="00AE464B" w:rsidP="00AE464B">
      <w:pPr>
        <w:rPr>
          <w:rFonts w:asciiTheme="minorHAnsi" w:hAnsiTheme="minorHAnsi" w:cstheme="minorHAnsi"/>
          <w:color w:val="000000" w:themeColor="text1"/>
          <w:lang w:val="en-US"/>
        </w:rPr>
      </w:pPr>
    </w:p>
    <w:p w14:paraId="722E0EE7" w14:textId="77777777" w:rsidR="003E4129" w:rsidRPr="009425F0" w:rsidRDefault="003B7953" w:rsidP="00AE464B">
      <w:pPr>
        <w:rPr>
          <w:rFonts w:asciiTheme="minorHAnsi" w:hAnsiTheme="minorHAnsi" w:cstheme="minorHAnsi"/>
          <w:b/>
          <w:color w:val="000000" w:themeColor="text1"/>
          <w:lang w:val="en-US"/>
        </w:rPr>
      </w:pPr>
      <w:r w:rsidRPr="009425F0">
        <w:rPr>
          <w:rFonts w:asciiTheme="minorHAnsi" w:hAnsiTheme="minorHAnsi" w:cstheme="minorHAnsi"/>
          <w:b/>
          <w:color w:val="000000" w:themeColor="text1"/>
          <w:lang w:val="en-US"/>
        </w:rPr>
        <w:t>Author</w:t>
      </w:r>
      <w:r w:rsidR="00F81670">
        <w:rPr>
          <w:rFonts w:asciiTheme="minorHAnsi" w:hAnsiTheme="minorHAnsi" w:cstheme="minorHAnsi"/>
          <w:b/>
          <w:color w:val="000000" w:themeColor="text1"/>
          <w:lang w:val="en-US"/>
        </w:rPr>
        <w:t>s</w:t>
      </w:r>
    </w:p>
    <w:p w14:paraId="6BFEADE6" w14:textId="3B35C5DC" w:rsidR="0011360D" w:rsidRDefault="0011360D" w:rsidP="00AE464B">
      <w:pPr>
        <w:tabs>
          <w:tab w:val="right" w:pos="9066"/>
        </w:tabs>
        <w:rPr>
          <w:rFonts w:asciiTheme="minorHAnsi" w:hAnsiTheme="minorHAnsi" w:cstheme="minorHAnsi"/>
          <w:color w:val="000000" w:themeColor="text1"/>
          <w:lang w:val="en-US"/>
        </w:rPr>
      </w:pPr>
      <w:r w:rsidRPr="0011360D">
        <w:rPr>
          <w:rFonts w:asciiTheme="minorHAnsi" w:hAnsiTheme="minorHAnsi" w:cstheme="minorHAnsi"/>
          <w:color w:val="000000" w:themeColor="text1"/>
          <w:lang w:val="en-US"/>
        </w:rPr>
        <w:t>Etienne de Montmollin; Carole Schwebel; Claire Dupuis; Maité Garrouste-Orgeas; Daniel d</w:t>
      </w:r>
      <w:r w:rsidR="009B51F7">
        <w:rPr>
          <w:rFonts w:asciiTheme="minorHAnsi" w:hAnsiTheme="minorHAnsi" w:cstheme="minorHAnsi"/>
          <w:color w:val="000000" w:themeColor="text1"/>
          <w:lang w:val="en-US"/>
        </w:rPr>
        <w:t>a</w:t>
      </w:r>
      <w:r w:rsidRPr="0011360D">
        <w:rPr>
          <w:rFonts w:asciiTheme="minorHAnsi" w:hAnsiTheme="minorHAnsi" w:cstheme="minorHAnsi"/>
          <w:color w:val="000000" w:themeColor="text1"/>
          <w:lang w:val="en-US"/>
        </w:rPr>
        <w:t xml:space="preserve"> Silva; Elie Azoulay; Virginie Laurent; Guillaume Thiéry; Alexandra Grinea; Guillaume Marcotte; Johanna Oziel; Marc Gainnier; Shidasp Siami; Jean Reignier; Benjamin Sztrymf; Christophe Adrie; Stephane Ruckly; Romain Sonneville; and Jean-François Timsit for the OUTCOMEREA Study Group</w:t>
      </w:r>
    </w:p>
    <w:p w14:paraId="4E59B937" w14:textId="77777777" w:rsidR="00B31316" w:rsidRPr="0011360D" w:rsidRDefault="00B31316" w:rsidP="00AE464B">
      <w:pPr>
        <w:tabs>
          <w:tab w:val="right" w:pos="9066"/>
        </w:tabs>
        <w:rPr>
          <w:rFonts w:asciiTheme="minorHAnsi" w:hAnsiTheme="minorHAnsi" w:cstheme="minorHAnsi"/>
          <w:color w:val="000000" w:themeColor="text1"/>
          <w:lang w:val="en-US"/>
        </w:rPr>
      </w:pPr>
    </w:p>
    <w:p w14:paraId="483BB73D" w14:textId="77777777" w:rsidR="000A5DDE" w:rsidRPr="005C661B" w:rsidRDefault="003B7953" w:rsidP="0034084A">
      <w:pPr>
        <w:spacing w:after="120" w:line="360" w:lineRule="auto"/>
        <w:rPr>
          <w:rFonts w:asciiTheme="minorHAnsi" w:hAnsiTheme="minorHAnsi" w:cstheme="minorHAnsi"/>
          <w:color w:val="000000" w:themeColor="text1"/>
          <w:lang w:val="en-US"/>
        </w:rPr>
      </w:pPr>
      <w:r w:rsidRPr="009425F0">
        <w:rPr>
          <w:rFonts w:asciiTheme="minorHAnsi" w:hAnsiTheme="minorHAnsi" w:cstheme="minorHAnsi"/>
          <w:color w:val="000000" w:themeColor="text1"/>
          <w:lang w:val="en-US"/>
        </w:rPr>
        <w:br w:type="page"/>
      </w:r>
    </w:p>
    <w:p w14:paraId="191C54DF" w14:textId="66CA62AF" w:rsidR="005C661B" w:rsidRDefault="00113550" w:rsidP="005C661B">
      <w:pPr>
        <w:pStyle w:val="Heading3"/>
        <w:rPr>
          <w:rFonts w:asciiTheme="minorHAnsi" w:hAnsiTheme="minorHAnsi" w:cstheme="minorHAnsi"/>
          <w:color w:val="000000" w:themeColor="text1"/>
          <w:lang w:val="en-US"/>
        </w:rPr>
      </w:pPr>
      <w:bookmarkStart w:id="1" w:name="_Toc535246288"/>
      <w:bookmarkStart w:id="2" w:name="_Toc2687709"/>
      <w:bookmarkStart w:id="3" w:name="_Toc43581942"/>
      <w:r>
        <w:rPr>
          <w:rFonts w:asciiTheme="minorHAnsi" w:hAnsiTheme="minorHAnsi" w:cstheme="minorHAnsi"/>
          <w:b/>
          <w:color w:val="000000" w:themeColor="text1"/>
          <w:lang w:val="en-US"/>
        </w:rPr>
        <w:lastRenderedPageBreak/>
        <w:t>Additional file</w:t>
      </w:r>
      <w:r w:rsidR="005C661B" w:rsidRPr="008C79A0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5C661B">
        <w:rPr>
          <w:rFonts w:asciiTheme="minorHAnsi" w:hAnsiTheme="minorHAnsi" w:cstheme="minorHAnsi"/>
          <w:b/>
          <w:color w:val="000000" w:themeColor="text1"/>
          <w:lang w:val="en-US"/>
        </w:rPr>
        <w:t>1</w:t>
      </w:r>
      <w:r w:rsidR="005C661B" w:rsidRPr="009425F0">
        <w:rPr>
          <w:rFonts w:asciiTheme="minorHAnsi" w:hAnsiTheme="minorHAnsi" w:cstheme="minorHAnsi"/>
          <w:b/>
          <w:color w:val="000000" w:themeColor="text1"/>
          <w:lang w:val="en-US"/>
        </w:rPr>
        <w:t>.</w:t>
      </w:r>
      <w:r w:rsidR="005C661B" w:rsidRPr="009425F0">
        <w:rPr>
          <w:rFonts w:asciiTheme="minorHAnsi" w:hAnsiTheme="minorHAnsi" w:cstheme="minorHAnsi"/>
          <w:color w:val="000000" w:themeColor="text1"/>
          <w:lang w:val="en-US"/>
        </w:rPr>
        <w:t xml:space="preserve"> Study flow diagram</w:t>
      </w:r>
    </w:p>
    <w:p w14:paraId="6EF0AB07" w14:textId="77777777" w:rsidR="005C661B" w:rsidRPr="00AF29E0" w:rsidRDefault="005C661B" w:rsidP="005C661B">
      <w:pPr>
        <w:rPr>
          <w:lang w:val="en-US" w:eastAsia="en-US"/>
        </w:rPr>
      </w:pPr>
    </w:p>
    <w:p w14:paraId="21DE1857" w14:textId="77777777" w:rsidR="005C661B" w:rsidRPr="008B3896" w:rsidRDefault="005C661B" w:rsidP="005C661B">
      <w:pPr>
        <w:rPr>
          <w:lang w:val="en-US" w:eastAsia="en-US"/>
        </w:rPr>
      </w:pPr>
      <w:r>
        <w:rPr>
          <w:noProof/>
          <w:lang w:val="en-IN" w:eastAsia="en-IN"/>
        </w:rPr>
        <w:drawing>
          <wp:inline distT="0" distB="0" distL="0" distR="0" wp14:anchorId="40D4C728" wp14:editId="3DE929D1">
            <wp:extent cx="5756910" cy="7298055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lowchart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729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8918D" w14:textId="77777777" w:rsidR="005C661B" w:rsidRDefault="005C661B" w:rsidP="005C661B">
      <w:pPr>
        <w:rPr>
          <w:rFonts w:asciiTheme="minorHAnsi" w:hAnsiTheme="minorHAnsi" w:cstheme="minorHAnsi"/>
          <w:color w:val="000000" w:themeColor="text1"/>
          <w:lang w:val="en-US"/>
        </w:rPr>
      </w:pPr>
    </w:p>
    <w:p w14:paraId="3DB91A25" w14:textId="0FBE5DC9" w:rsidR="005C661B" w:rsidRDefault="005C661B">
      <w:pPr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</w:pPr>
      <w:r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br w:type="page"/>
      </w:r>
    </w:p>
    <w:p w14:paraId="605AB1AB" w14:textId="4C129CD5" w:rsidR="008C79A0" w:rsidRPr="008C79A0" w:rsidRDefault="00113550" w:rsidP="008C79A0">
      <w:pPr>
        <w:tabs>
          <w:tab w:val="right" w:pos="9066"/>
        </w:tabs>
        <w:spacing w:line="360" w:lineRule="auto"/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</w:pPr>
      <w:r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lastRenderedPageBreak/>
        <w:t>Additional file 2</w:t>
      </w:r>
      <w:r w:rsidR="008C79A0"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t>.</w:t>
      </w:r>
      <w:bookmarkStart w:id="4" w:name="_Toc43581943"/>
      <w:r w:rsidR="008C79A0" w:rsidRPr="00BB4DE5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8C79A0" w:rsidRPr="00BB4DE5">
        <w:rPr>
          <w:rFonts w:asciiTheme="minorHAnsi" w:hAnsiTheme="minorHAnsi" w:cstheme="minorHAnsi"/>
          <w:color w:val="000000" w:themeColor="text1"/>
          <w:lang w:val="en-US"/>
        </w:rPr>
        <w:t>Multivaria</w:t>
      </w:r>
      <w:r w:rsidR="008C79A0">
        <w:rPr>
          <w:rFonts w:asciiTheme="minorHAnsi" w:hAnsiTheme="minorHAnsi" w:cstheme="minorHAnsi"/>
          <w:color w:val="000000" w:themeColor="text1"/>
          <w:lang w:val="en-US"/>
        </w:rPr>
        <w:t>t</w:t>
      </w:r>
      <w:r w:rsidR="008C79A0" w:rsidRPr="00BB4DE5">
        <w:rPr>
          <w:rFonts w:asciiTheme="minorHAnsi" w:hAnsiTheme="minorHAnsi" w:cstheme="minorHAnsi"/>
          <w:color w:val="000000" w:themeColor="text1"/>
          <w:lang w:val="en-US"/>
        </w:rPr>
        <w:t xml:space="preserve">e </w:t>
      </w:r>
      <w:r w:rsidR="008C79A0">
        <w:rPr>
          <w:rFonts w:asciiTheme="minorHAnsi" w:hAnsiTheme="minorHAnsi" w:cstheme="minorHAnsi"/>
          <w:color w:val="000000" w:themeColor="text1"/>
          <w:lang w:val="en-US"/>
        </w:rPr>
        <w:t xml:space="preserve">Fine &amp; Gray </w:t>
      </w:r>
      <w:r w:rsidR="008C79A0" w:rsidRPr="00BB4DE5">
        <w:rPr>
          <w:rFonts w:asciiTheme="minorHAnsi" w:hAnsiTheme="minorHAnsi" w:cstheme="minorHAnsi"/>
          <w:color w:val="000000" w:themeColor="text1"/>
          <w:lang w:val="en-US"/>
        </w:rPr>
        <w:t xml:space="preserve">competing risk analysis in the complete population for </w:t>
      </w:r>
      <w:r w:rsidR="008C79A0">
        <w:rPr>
          <w:rFonts w:asciiTheme="minorHAnsi" w:hAnsiTheme="minorHAnsi" w:cstheme="minorHAnsi"/>
          <w:color w:val="000000" w:themeColor="text1"/>
          <w:lang w:val="en-US"/>
        </w:rPr>
        <w:t xml:space="preserve">the </w:t>
      </w:r>
      <w:r w:rsidR="008C79A0" w:rsidRPr="00BB4DE5">
        <w:rPr>
          <w:rFonts w:asciiTheme="minorHAnsi" w:hAnsiTheme="minorHAnsi" w:cstheme="minorHAnsi"/>
          <w:color w:val="000000" w:themeColor="text1"/>
          <w:lang w:val="en-US"/>
        </w:rPr>
        <w:t>occurrence of life</w:t>
      </w:r>
      <w:r w:rsidR="008C79A0">
        <w:rPr>
          <w:rFonts w:asciiTheme="minorHAnsi" w:hAnsiTheme="minorHAnsi" w:cstheme="minorHAnsi"/>
          <w:color w:val="000000" w:themeColor="text1"/>
          <w:lang w:val="en-US"/>
        </w:rPr>
        <w:t xml:space="preserve"> support</w:t>
      </w:r>
      <w:r w:rsidR="008C79A0" w:rsidRPr="00BB4DE5">
        <w:rPr>
          <w:rFonts w:asciiTheme="minorHAnsi" w:hAnsiTheme="minorHAnsi" w:cstheme="minorHAnsi"/>
          <w:color w:val="000000" w:themeColor="text1"/>
          <w:lang w:val="en-US"/>
        </w:rPr>
        <w:t xml:space="preserve"> limitation, and death without limitation as the competing event</w:t>
      </w:r>
      <w:bookmarkEnd w:id="4"/>
    </w:p>
    <w:p w14:paraId="125ED041" w14:textId="77777777" w:rsidR="008C79A0" w:rsidRPr="009425F0" w:rsidRDefault="008C79A0" w:rsidP="008C79A0">
      <w:pPr>
        <w:rPr>
          <w:rFonts w:asciiTheme="minorHAnsi" w:hAnsiTheme="minorHAnsi"/>
          <w:lang w:val="en-US"/>
        </w:rPr>
      </w:pPr>
    </w:p>
    <w:tbl>
      <w:tblPr>
        <w:tblW w:w="786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3"/>
        <w:gridCol w:w="1701"/>
        <w:gridCol w:w="1559"/>
        <w:gridCol w:w="850"/>
      </w:tblGrid>
      <w:tr w:rsidR="008C79A0" w14:paraId="3BF33725" w14:textId="77777777" w:rsidTr="00DA5BCC">
        <w:trPr>
          <w:trHeight w:val="527"/>
        </w:trPr>
        <w:tc>
          <w:tcPr>
            <w:tcW w:w="3753" w:type="dxa"/>
            <w:shd w:val="clear" w:color="auto" w:fill="E7E6E6" w:themeFill="background2"/>
            <w:noWrap/>
            <w:vAlign w:val="center"/>
            <w:hideMark/>
          </w:tcPr>
          <w:p w14:paraId="5A680D00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701" w:type="dxa"/>
            <w:shd w:val="clear" w:color="auto" w:fill="E7E6E6" w:themeFill="background2"/>
            <w:noWrap/>
            <w:vAlign w:val="center"/>
            <w:hideMark/>
          </w:tcPr>
          <w:p w14:paraId="64C7AC7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sHR</w:t>
            </w:r>
          </w:p>
        </w:tc>
        <w:tc>
          <w:tcPr>
            <w:tcW w:w="1559" w:type="dxa"/>
            <w:shd w:val="clear" w:color="auto" w:fill="E7E6E6" w:themeFill="background2"/>
            <w:noWrap/>
            <w:vAlign w:val="center"/>
            <w:hideMark/>
          </w:tcPr>
          <w:p w14:paraId="5B30278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850" w:type="dxa"/>
            <w:shd w:val="clear" w:color="auto" w:fill="E7E6E6" w:themeFill="background2"/>
            <w:noWrap/>
            <w:vAlign w:val="center"/>
            <w:hideMark/>
          </w:tcPr>
          <w:p w14:paraId="616A094A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p</w:t>
            </w:r>
          </w:p>
        </w:tc>
      </w:tr>
      <w:tr w:rsidR="008C79A0" w14:paraId="554D847F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7C97696B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Stroke class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7B42C0D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60AC411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61095B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&lt;.01</w:t>
            </w:r>
          </w:p>
        </w:tc>
      </w:tr>
      <w:tr w:rsidR="008C79A0" w14:paraId="5D0A89D5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19E0DA40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No stroke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221821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Ref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A89B3E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C8950A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</w:tr>
      <w:tr w:rsidR="008C79A0" w14:paraId="7FAE9A9F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78568B1D" w14:textId="1221BE16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Hemorrhagic stroke</w:t>
            </w:r>
            <w:r w:rsidR="00977610" w:rsidRPr="00977610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B23D677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8E761AF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[2.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97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11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9B30DD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</w:tr>
      <w:tr w:rsidR="008C79A0" w14:paraId="33332925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686ECE34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Acute ischemic stroke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DE9983F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3.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82B6A8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[2.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78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- 4.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65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2A5F1A0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</w:tr>
      <w:tr w:rsidR="008C79A0" w14:paraId="60EF969F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4CBE35C1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Age &gt; 60 years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820F844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3E129A9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[1.7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7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- 2.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53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0813E2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&lt;.01</w:t>
            </w:r>
          </w:p>
        </w:tc>
      </w:tr>
      <w:tr w:rsidR="008C79A0" w14:paraId="68621380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62724393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1"/>
                <w:szCs w:val="20"/>
                <w:lang w:val="en-US"/>
              </w:rPr>
            </w:pPr>
            <w:r w:rsidRPr="0020080A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Charlson comorbidity index</w:t>
            </w: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</w:t>
            </w:r>
            <w:r w:rsidRPr="009425F0">
              <w:rPr>
                <w:rFonts w:asciiTheme="minorHAnsi" w:hAnsiTheme="minorHAnsi" w:cstheme="minorHAnsi"/>
                <w:color w:val="000000"/>
                <w:sz w:val="21"/>
                <w:szCs w:val="20"/>
                <w:lang w:val="en-US"/>
              </w:rPr>
              <w:t>≥ 1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4975B3B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66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D93D7CD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43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- 1.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94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CAA67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&lt;.01</w:t>
            </w:r>
          </w:p>
        </w:tc>
      </w:tr>
      <w:tr w:rsidR="008C79A0" w14:paraId="399EA714" w14:textId="77777777" w:rsidTr="00DA5BCC">
        <w:trPr>
          <w:trHeight w:val="340"/>
        </w:trPr>
        <w:tc>
          <w:tcPr>
            <w:tcW w:w="3753" w:type="dxa"/>
            <w:shd w:val="clear" w:color="auto" w:fill="auto"/>
            <w:noWrap/>
            <w:vAlign w:val="center"/>
          </w:tcPr>
          <w:p w14:paraId="15930CA4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Admission SOFA, per point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5589BB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35A6E6E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[1.0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7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- 1.11]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4B5F94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&lt;.01</w:t>
            </w:r>
          </w:p>
        </w:tc>
      </w:tr>
    </w:tbl>
    <w:p w14:paraId="167C7CEA" w14:textId="77777777" w:rsidR="008C79A0" w:rsidRPr="009425F0" w:rsidRDefault="008C79A0" w:rsidP="008C79A0">
      <w:pPr>
        <w:spacing w:after="120"/>
        <w:ind w:right="1128"/>
        <w:rPr>
          <w:rFonts w:asciiTheme="minorHAnsi" w:hAnsiTheme="minorHAnsi" w:cstheme="minorHAnsi"/>
          <w:sz w:val="20"/>
          <w:szCs w:val="20"/>
          <w:lang w:val="en-US"/>
        </w:rPr>
      </w:pPr>
      <w:r w:rsidRPr="009425F0">
        <w:rPr>
          <w:rFonts w:asciiTheme="minorHAnsi" w:hAnsiTheme="minorHAnsi" w:cstheme="minorHAnsi"/>
          <w:sz w:val="20"/>
          <w:szCs w:val="20"/>
          <w:lang w:val="en-US"/>
        </w:rPr>
        <w:t>Abbreviations: ICU, Intensive Care Unit; sHR, subdistribution Hazard Ratio; CI,</w:t>
      </w:r>
      <w:r>
        <w:rPr>
          <w:rFonts w:asciiTheme="minorHAnsi" w:hAnsiTheme="minorHAnsi" w:cstheme="minorHAnsi"/>
          <w:sz w:val="20"/>
          <w:szCs w:val="20"/>
          <w:lang w:val="en-US"/>
        </w:rPr>
        <w:t xml:space="preserve"> </w:t>
      </w:r>
      <w:r w:rsidRPr="009425F0">
        <w:rPr>
          <w:rFonts w:asciiTheme="minorHAnsi" w:hAnsiTheme="minorHAnsi" w:cstheme="minorHAnsi"/>
          <w:sz w:val="20"/>
          <w:szCs w:val="20"/>
          <w:lang w:val="en-US"/>
        </w:rPr>
        <w:t>Confidence Interval; SOFA, Sequential Organ Failure Assessment.</w:t>
      </w:r>
    </w:p>
    <w:p w14:paraId="40D0DDE5" w14:textId="37759F4D" w:rsidR="008C79A0" w:rsidRPr="009425F0" w:rsidRDefault="00977610" w:rsidP="008C79A0">
      <w:pPr>
        <w:spacing w:after="120"/>
        <w:ind w:right="1128"/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*</w:t>
      </w:r>
      <w:r w:rsidR="008C79A0" w:rsidRPr="009425F0">
        <w:rPr>
          <w:rFonts w:asciiTheme="minorHAnsi" w:hAnsiTheme="minorHAnsi" w:cstheme="minorHAnsi"/>
          <w:sz w:val="20"/>
          <w:szCs w:val="20"/>
          <w:lang w:val="en-US"/>
        </w:rPr>
        <w:t xml:space="preserve"> Intracranial hemorrhage or subarachnoid hemorrhage</w:t>
      </w:r>
    </w:p>
    <w:p w14:paraId="27DD7F92" w14:textId="77777777" w:rsidR="008C79A0" w:rsidRPr="009425F0" w:rsidRDefault="008C79A0" w:rsidP="008C79A0">
      <w:pPr>
        <w:spacing w:after="120"/>
        <w:ind w:right="1128"/>
        <w:rPr>
          <w:rFonts w:asciiTheme="minorHAnsi" w:hAnsiTheme="minorHAnsi" w:cstheme="minorHAnsi"/>
          <w:sz w:val="20"/>
          <w:szCs w:val="20"/>
          <w:lang w:val="en-US"/>
        </w:rPr>
      </w:pPr>
    </w:p>
    <w:p w14:paraId="7773D4A9" w14:textId="77777777" w:rsidR="008C79A0" w:rsidRPr="009425F0" w:rsidRDefault="008C79A0" w:rsidP="008C79A0">
      <w:pPr>
        <w:spacing w:after="120"/>
        <w:ind w:right="1128"/>
        <w:rPr>
          <w:rFonts w:asciiTheme="minorHAnsi" w:hAnsiTheme="minorHAnsi" w:cstheme="minorHAnsi"/>
          <w:sz w:val="20"/>
          <w:szCs w:val="20"/>
          <w:lang w:val="en-US"/>
        </w:rPr>
      </w:pPr>
    </w:p>
    <w:p w14:paraId="273BDB3F" w14:textId="3639C902" w:rsidR="008C79A0" w:rsidRPr="00792454" w:rsidRDefault="00113550" w:rsidP="00792454">
      <w:pPr>
        <w:tabs>
          <w:tab w:val="right" w:pos="9066"/>
        </w:tabs>
        <w:spacing w:line="360" w:lineRule="auto"/>
        <w:rPr>
          <w:rFonts w:asciiTheme="minorHAnsi" w:eastAsiaTheme="majorEastAsia" w:hAnsiTheme="minorHAnsi" w:cstheme="minorHAnsi"/>
          <w:color w:val="000000" w:themeColor="text1"/>
          <w:lang w:val="en-US" w:eastAsia="en-US"/>
        </w:rPr>
      </w:pPr>
      <w:bookmarkStart w:id="5" w:name="_Toc43581944"/>
      <w:r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t>Additional file 3</w:t>
      </w:r>
      <w:r w:rsidR="008C79A0" w:rsidRPr="00792454"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t xml:space="preserve">. </w:t>
      </w:r>
      <w:r w:rsidR="008C79A0" w:rsidRPr="00792454">
        <w:rPr>
          <w:rFonts w:asciiTheme="minorHAnsi" w:eastAsiaTheme="majorEastAsia" w:hAnsiTheme="minorHAnsi" w:cstheme="minorHAnsi"/>
          <w:color w:val="000000" w:themeColor="text1"/>
          <w:lang w:val="en-US" w:eastAsia="en-US"/>
        </w:rPr>
        <w:t>Effect of the period of inclusion on the occurrence of life support limitation in the subset of ischemic stroke patients (Fine &amp; Gray model)</w:t>
      </w:r>
      <w:bookmarkEnd w:id="5"/>
    </w:p>
    <w:p w14:paraId="3E56C186" w14:textId="77777777" w:rsidR="008C79A0" w:rsidRPr="009425F0" w:rsidRDefault="008C79A0" w:rsidP="008C79A0">
      <w:pPr>
        <w:rPr>
          <w:rFonts w:asciiTheme="minorHAnsi" w:hAnsiTheme="minorHAnsi" w:cstheme="minorHAnsi"/>
          <w:b/>
          <w:color w:val="000000" w:themeColor="text1"/>
          <w:lang w:val="en-US"/>
        </w:rPr>
      </w:pPr>
    </w:p>
    <w:tbl>
      <w:tblPr>
        <w:tblW w:w="91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61"/>
        <w:gridCol w:w="1843"/>
        <w:gridCol w:w="1843"/>
        <w:gridCol w:w="992"/>
      </w:tblGrid>
      <w:tr w:rsidR="008C79A0" w14:paraId="390DB36C" w14:textId="77777777" w:rsidTr="00DA5BCC">
        <w:trPr>
          <w:trHeight w:val="527"/>
        </w:trPr>
        <w:tc>
          <w:tcPr>
            <w:tcW w:w="4461" w:type="dxa"/>
            <w:shd w:val="clear" w:color="auto" w:fill="E7E6E6" w:themeFill="background2"/>
            <w:noWrap/>
            <w:vAlign w:val="center"/>
            <w:hideMark/>
          </w:tcPr>
          <w:p w14:paraId="214B1004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843" w:type="dxa"/>
            <w:shd w:val="clear" w:color="auto" w:fill="E7E6E6" w:themeFill="background2"/>
            <w:noWrap/>
            <w:vAlign w:val="center"/>
            <w:hideMark/>
          </w:tcPr>
          <w:p w14:paraId="57B2373A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sHR</w:t>
            </w:r>
          </w:p>
        </w:tc>
        <w:tc>
          <w:tcPr>
            <w:tcW w:w="1843" w:type="dxa"/>
            <w:shd w:val="clear" w:color="auto" w:fill="E7E6E6" w:themeFill="background2"/>
            <w:noWrap/>
            <w:vAlign w:val="center"/>
            <w:hideMark/>
          </w:tcPr>
          <w:p w14:paraId="6AFD9ABD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992" w:type="dxa"/>
            <w:shd w:val="clear" w:color="auto" w:fill="E7E6E6" w:themeFill="background2"/>
            <w:noWrap/>
            <w:vAlign w:val="center"/>
            <w:hideMark/>
          </w:tcPr>
          <w:p w14:paraId="1E26295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p</w:t>
            </w:r>
          </w:p>
        </w:tc>
      </w:tr>
      <w:tr w:rsidR="008C79A0" w14:paraId="2594D925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5DA8F985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Period of ICU admission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6794181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4D2B1B3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F816F1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</w:tr>
      <w:tr w:rsidR="008C79A0" w14:paraId="1061F8D9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5A5B1FC2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2005-2008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4DE329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Ref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B488269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BFB3CF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0.78</w:t>
            </w:r>
          </w:p>
        </w:tc>
      </w:tr>
      <w:tr w:rsidR="008C79A0" w14:paraId="5B416C63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19945EFF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2009-2012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C0D1F05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1.24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4E6C0078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[0.67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- 2.3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05AECF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</w:tr>
      <w:tr w:rsidR="008C79A0" w14:paraId="4CC7945E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77E7F5B1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2013-2016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8C97E71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1.03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504615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[0.55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- 1.93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16E122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</w:tr>
      <w:tr w:rsidR="008C79A0" w14:paraId="5C3350AD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1F93AAC6" w14:textId="370D0FBB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Vertebrobasilar location</w:t>
            </w:r>
            <w:r w:rsidR="00977610" w:rsidRPr="00977610">
              <w:rPr>
                <w:rFonts w:asciiTheme="minorHAnsi" w:hAnsiTheme="minorHAnsi" w:cstheme="minorHAnsi"/>
                <w:color w:val="000000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F0B327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1.61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6B9CC6F7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2.60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89DEBF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0.05</w:t>
            </w:r>
          </w:p>
        </w:tc>
      </w:tr>
      <w:tr w:rsidR="008C79A0" w14:paraId="654FCB51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37AAF076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Acute-phase stroke therapy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33D7C31F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0.4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77655772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[0.2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- 0.99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D8B2CB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0.0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</w:p>
        </w:tc>
      </w:tr>
      <w:tr w:rsidR="008C79A0" w14:paraId="68EC6C27" w14:textId="77777777" w:rsidTr="00DA5BCC">
        <w:trPr>
          <w:trHeight w:val="340"/>
        </w:trPr>
        <w:tc>
          <w:tcPr>
            <w:tcW w:w="4461" w:type="dxa"/>
            <w:shd w:val="clear" w:color="auto" w:fill="auto"/>
            <w:noWrap/>
            <w:vAlign w:val="center"/>
          </w:tcPr>
          <w:p w14:paraId="4137DDC2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Glasgow coma score &lt; 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17433492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1.4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14:paraId="08447765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[0.9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-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2.36</w:t>
            </w: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]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A51391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0.1</w:t>
            </w:r>
          </w:p>
        </w:tc>
      </w:tr>
    </w:tbl>
    <w:p w14:paraId="50FE0323" w14:textId="77777777" w:rsidR="008C79A0" w:rsidRPr="009425F0" w:rsidRDefault="008C79A0" w:rsidP="008C79A0">
      <w:pPr>
        <w:spacing w:after="120"/>
        <w:ind w:right="-290"/>
        <w:rPr>
          <w:rFonts w:asciiTheme="minorHAnsi" w:hAnsiTheme="minorHAnsi" w:cstheme="minorHAnsi"/>
          <w:sz w:val="20"/>
          <w:szCs w:val="20"/>
          <w:lang w:val="en-US"/>
        </w:rPr>
      </w:pPr>
      <w:r w:rsidRPr="009425F0">
        <w:rPr>
          <w:rFonts w:asciiTheme="minorHAnsi" w:hAnsiTheme="minorHAnsi" w:cstheme="minorHAnsi"/>
          <w:sz w:val="20"/>
          <w:szCs w:val="20"/>
          <w:lang w:val="en-US"/>
        </w:rPr>
        <w:t>Multivaria</w:t>
      </w:r>
      <w:r>
        <w:rPr>
          <w:rFonts w:asciiTheme="minorHAnsi" w:hAnsiTheme="minorHAnsi" w:cstheme="minorHAnsi"/>
          <w:sz w:val="20"/>
          <w:szCs w:val="20"/>
          <w:lang w:val="en-US"/>
        </w:rPr>
        <w:t>t</w:t>
      </w:r>
      <w:r w:rsidRPr="009425F0">
        <w:rPr>
          <w:rFonts w:asciiTheme="minorHAnsi" w:hAnsiTheme="minorHAnsi" w:cstheme="minorHAnsi"/>
          <w:sz w:val="20"/>
          <w:szCs w:val="20"/>
          <w:lang w:val="en-US"/>
        </w:rPr>
        <w:t>e competing risk analysis, with death without limitation as the competing event</w:t>
      </w:r>
    </w:p>
    <w:p w14:paraId="3BCB2FEE" w14:textId="77777777" w:rsidR="008C79A0" w:rsidRPr="009425F0" w:rsidRDefault="008C79A0" w:rsidP="008C79A0">
      <w:pPr>
        <w:spacing w:after="120"/>
        <w:ind w:right="-290"/>
        <w:rPr>
          <w:rFonts w:asciiTheme="minorHAnsi" w:hAnsiTheme="minorHAnsi" w:cstheme="minorHAnsi"/>
          <w:sz w:val="20"/>
          <w:szCs w:val="20"/>
          <w:lang w:val="en-US"/>
        </w:rPr>
      </w:pPr>
      <w:r w:rsidRPr="009425F0">
        <w:rPr>
          <w:rFonts w:asciiTheme="minorHAnsi" w:hAnsiTheme="minorHAnsi" w:cstheme="minorHAnsi"/>
          <w:sz w:val="20"/>
          <w:szCs w:val="20"/>
          <w:lang w:val="en-US"/>
        </w:rPr>
        <w:t>Abbreviations: ICU, Intensive Care Unit; sHR, subdistribution Hazard Ratio; CI, Confidence Interval; SOFA, Sequential Organ Failure Assessment.</w:t>
      </w:r>
    </w:p>
    <w:p w14:paraId="7CFA8B9C" w14:textId="13969553" w:rsidR="008C79A0" w:rsidRPr="009425F0" w:rsidRDefault="00977610" w:rsidP="008C79A0">
      <w:pPr>
        <w:spacing w:after="120"/>
        <w:ind w:right="-290"/>
        <w:rPr>
          <w:rFonts w:asciiTheme="minorHAnsi" w:hAnsiTheme="minorHAnsi" w:cstheme="minorHAnsi"/>
          <w:sz w:val="20"/>
          <w:szCs w:val="20"/>
          <w:lang w:val="en-US"/>
        </w:rPr>
      </w:pPr>
      <w:r>
        <w:rPr>
          <w:rFonts w:asciiTheme="minorHAnsi" w:hAnsiTheme="minorHAnsi" w:cstheme="minorHAnsi"/>
          <w:sz w:val="20"/>
          <w:szCs w:val="20"/>
          <w:vertAlign w:val="superscript"/>
          <w:lang w:val="en-US"/>
        </w:rPr>
        <w:t>*</w:t>
      </w:r>
      <w:r w:rsidR="008C79A0" w:rsidRPr="009425F0">
        <w:rPr>
          <w:rFonts w:asciiTheme="minorHAnsi" w:hAnsiTheme="minorHAnsi" w:cstheme="minorHAnsi"/>
          <w:sz w:val="20"/>
          <w:szCs w:val="20"/>
          <w:lang w:val="en-US"/>
        </w:rPr>
        <w:t xml:space="preserve"> vs anterior circulation location</w:t>
      </w:r>
    </w:p>
    <w:p w14:paraId="76567DD4" w14:textId="77777777" w:rsidR="00B96137" w:rsidRPr="00B96137" w:rsidRDefault="00B96137" w:rsidP="00B96137">
      <w:pPr>
        <w:tabs>
          <w:tab w:val="right" w:pos="9066"/>
        </w:tabs>
        <w:spacing w:line="360" w:lineRule="auto"/>
        <w:rPr>
          <w:rFonts w:asciiTheme="minorHAnsi" w:hAnsiTheme="minorHAnsi" w:cstheme="minorHAnsi"/>
          <w:color w:val="000000" w:themeColor="text1"/>
          <w:lang w:val="en-US"/>
        </w:rPr>
      </w:pPr>
    </w:p>
    <w:p w14:paraId="263272D1" w14:textId="77777777" w:rsidR="00B96137" w:rsidRPr="00B96137" w:rsidRDefault="00B96137" w:rsidP="00B96137">
      <w:pPr>
        <w:tabs>
          <w:tab w:val="right" w:pos="9066"/>
        </w:tabs>
        <w:spacing w:line="360" w:lineRule="auto"/>
        <w:rPr>
          <w:rFonts w:asciiTheme="minorHAnsi" w:hAnsiTheme="minorHAnsi" w:cstheme="minorHAnsi"/>
          <w:color w:val="000000" w:themeColor="text1"/>
          <w:lang w:val="en-US"/>
        </w:rPr>
      </w:pPr>
    </w:p>
    <w:p w14:paraId="50F8E1E9" w14:textId="42DBB53A" w:rsidR="008C79A0" w:rsidRDefault="008C79A0">
      <w:pPr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color w:val="000000" w:themeColor="text1"/>
          <w:lang w:val="en-US"/>
        </w:rPr>
        <w:br w:type="page"/>
      </w:r>
    </w:p>
    <w:p w14:paraId="7FC211D5" w14:textId="1B33AC7D" w:rsidR="008C79A0" w:rsidRPr="00792454" w:rsidRDefault="00113550" w:rsidP="00792454">
      <w:pPr>
        <w:tabs>
          <w:tab w:val="right" w:pos="9066"/>
        </w:tabs>
        <w:spacing w:line="360" w:lineRule="auto"/>
        <w:rPr>
          <w:rFonts w:asciiTheme="minorHAnsi" w:eastAsiaTheme="majorEastAsia" w:hAnsiTheme="minorHAnsi" w:cstheme="minorHAnsi"/>
          <w:color w:val="000000" w:themeColor="text1"/>
          <w:lang w:val="en-US" w:eastAsia="en-US"/>
        </w:rPr>
      </w:pPr>
      <w:bookmarkStart w:id="6" w:name="_Toc43581945"/>
      <w:r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lastRenderedPageBreak/>
        <w:t>Additional file 4</w:t>
      </w:r>
      <w:r w:rsidR="008C79A0" w:rsidRPr="00792454">
        <w:rPr>
          <w:rFonts w:asciiTheme="minorHAnsi" w:eastAsiaTheme="majorEastAsia" w:hAnsiTheme="minorHAnsi" w:cstheme="minorHAnsi"/>
          <w:b/>
          <w:color w:val="000000" w:themeColor="text1"/>
          <w:lang w:val="en-US" w:eastAsia="en-US"/>
        </w:rPr>
        <w:t xml:space="preserve">. </w:t>
      </w:r>
      <w:r w:rsidR="008C79A0" w:rsidRPr="00792454">
        <w:rPr>
          <w:rFonts w:asciiTheme="minorHAnsi" w:eastAsiaTheme="majorEastAsia" w:hAnsiTheme="minorHAnsi" w:cstheme="minorHAnsi"/>
          <w:color w:val="000000" w:themeColor="text1"/>
          <w:lang w:val="en-US" w:eastAsia="en-US"/>
        </w:rPr>
        <w:t>Effect of the period of inclusion on the occurrence of life support limitation in the subset of hemorrhagic stroke patients (Fine &amp; Gray model)</w:t>
      </w:r>
      <w:bookmarkEnd w:id="6"/>
    </w:p>
    <w:p w14:paraId="53330C38" w14:textId="77777777" w:rsidR="008C79A0" w:rsidRPr="00792454" w:rsidRDefault="008C79A0" w:rsidP="008C79A0">
      <w:pPr>
        <w:rPr>
          <w:rFonts w:asciiTheme="minorHAnsi" w:hAnsiTheme="minorHAnsi"/>
          <w:lang w:val="en-US"/>
        </w:rPr>
      </w:pPr>
    </w:p>
    <w:tbl>
      <w:tblPr>
        <w:tblW w:w="899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6"/>
        <w:gridCol w:w="1276"/>
        <w:gridCol w:w="1842"/>
        <w:gridCol w:w="2123"/>
      </w:tblGrid>
      <w:tr w:rsidR="008C79A0" w14:paraId="5755B21F" w14:textId="77777777" w:rsidTr="00DA5BCC">
        <w:trPr>
          <w:trHeight w:val="527"/>
        </w:trPr>
        <w:tc>
          <w:tcPr>
            <w:tcW w:w="3756" w:type="dxa"/>
            <w:shd w:val="clear" w:color="auto" w:fill="E7E6E6" w:themeFill="background2"/>
            <w:noWrap/>
            <w:vAlign w:val="center"/>
            <w:hideMark/>
          </w:tcPr>
          <w:p w14:paraId="6868934A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276" w:type="dxa"/>
            <w:shd w:val="clear" w:color="auto" w:fill="E7E6E6" w:themeFill="background2"/>
            <w:noWrap/>
            <w:vAlign w:val="center"/>
            <w:hideMark/>
          </w:tcPr>
          <w:p w14:paraId="0EE75AA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sHR</w:t>
            </w:r>
          </w:p>
        </w:tc>
        <w:tc>
          <w:tcPr>
            <w:tcW w:w="1842" w:type="dxa"/>
            <w:shd w:val="clear" w:color="auto" w:fill="E7E6E6" w:themeFill="background2"/>
            <w:noWrap/>
            <w:vAlign w:val="center"/>
            <w:hideMark/>
          </w:tcPr>
          <w:p w14:paraId="5C8D40D5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2123" w:type="dxa"/>
            <w:shd w:val="clear" w:color="auto" w:fill="E7E6E6" w:themeFill="background2"/>
            <w:noWrap/>
            <w:vAlign w:val="center"/>
            <w:hideMark/>
          </w:tcPr>
          <w:p w14:paraId="31FD23DD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</w:pPr>
            <w:r w:rsidRPr="009425F0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lang w:val="en-US"/>
              </w:rPr>
              <w:t>p</w:t>
            </w:r>
          </w:p>
        </w:tc>
      </w:tr>
      <w:tr w:rsidR="008C79A0" w14:paraId="1C0509E4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0D9F2B21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Period of ICU admission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4638A0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56F72F5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63DFCE95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</w:p>
        </w:tc>
      </w:tr>
      <w:tr w:rsidR="008C79A0" w14:paraId="7F096734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0859288D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2005-2008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756FF4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Ref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3754CF77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4BA7CA51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0.14</w:t>
            </w:r>
          </w:p>
        </w:tc>
      </w:tr>
      <w:tr w:rsidR="008C79A0" w14:paraId="598ECB0A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26C937AB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2009-2012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6965A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0.77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366E6D6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[0.42 - 1.41]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45689E54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8C79A0" w14:paraId="448BC461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56102642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 xml:space="preserve">    2013-2016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9893D5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1.47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2C6C34C3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[0.71 - 3.04]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4E30E346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8C79A0" w14:paraId="6170174E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40F98FCF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Age &gt; 70 years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0ED87B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2.25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7193D02E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[1.39 - 3.65]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4EA66B52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&lt;.01</w:t>
            </w:r>
          </w:p>
        </w:tc>
      </w:tr>
      <w:tr w:rsidR="008C79A0" w14:paraId="0CAAC23D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243B0878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Male sex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C0A41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1.50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046488B6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[0.96 - 2.36]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1FDD6CFC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0.08</w:t>
            </w:r>
          </w:p>
        </w:tc>
      </w:tr>
      <w:tr w:rsidR="008C79A0" w14:paraId="100A0771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0DEA449A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Glasgow coma score &lt; 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568263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64D503E1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[1.09 - 4.44]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5B02A893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0.02</w:t>
            </w:r>
          </w:p>
        </w:tc>
      </w:tr>
      <w:tr w:rsidR="008C79A0" w14:paraId="3CF1BEB3" w14:textId="77777777" w:rsidTr="00DA5BCC">
        <w:trPr>
          <w:trHeight w:val="340"/>
        </w:trPr>
        <w:tc>
          <w:tcPr>
            <w:tcW w:w="3756" w:type="dxa"/>
            <w:shd w:val="clear" w:color="auto" w:fill="auto"/>
            <w:noWrap/>
            <w:vAlign w:val="center"/>
          </w:tcPr>
          <w:p w14:paraId="6BCC2D13" w14:textId="77777777" w:rsidR="008C79A0" w:rsidRPr="009425F0" w:rsidRDefault="008C79A0" w:rsidP="00DA5BCC">
            <w:pPr>
              <w:rPr>
                <w:rFonts w:asciiTheme="minorHAnsi" w:hAnsiTheme="minorHAnsi" w:cstheme="minorHAnsi"/>
                <w:color w:val="000000"/>
                <w:sz w:val="21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color w:val="000000"/>
                <w:sz w:val="20"/>
                <w:szCs w:val="20"/>
                <w:lang w:val="en-US"/>
              </w:rPr>
              <w:t>Admission non-neurologic SOFA, per point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EA267E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0.90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3BD37B87" w14:textId="77777777" w:rsidR="008C79A0" w:rsidRPr="009425F0" w:rsidRDefault="008C79A0" w:rsidP="00DA5BCC">
            <w:pPr>
              <w:ind w:right="-7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[0.82 - 0.99]</w:t>
            </w:r>
          </w:p>
        </w:tc>
        <w:tc>
          <w:tcPr>
            <w:tcW w:w="2123" w:type="dxa"/>
            <w:shd w:val="clear" w:color="auto" w:fill="auto"/>
            <w:noWrap/>
            <w:vAlign w:val="center"/>
          </w:tcPr>
          <w:p w14:paraId="3B36B605" w14:textId="77777777" w:rsidR="008C79A0" w:rsidRPr="009425F0" w:rsidRDefault="008C79A0" w:rsidP="00DA5BCC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9425F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0.02</w:t>
            </w:r>
          </w:p>
        </w:tc>
      </w:tr>
    </w:tbl>
    <w:p w14:paraId="212DAD8C" w14:textId="77777777" w:rsidR="008C79A0" w:rsidRPr="009425F0" w:rsidRDefault="008C79A0" w:rsidP="008C79A0">
      <w:pPr>
        <w:spacing w:after="120"/>
        <w:rPr>
          <w:rFonts w:asciiTheme="minorHAnsi" w:hAnsiTheme="minorHAnsi" w:cstheme="minorHAnsi"/>
          <w:sz w:val="20"/>
          <w:lang w:val="en-US"/>
        </w:rPr>
      </w:pPr>
      <w:r w:rsidRPr="009425F0">
        <w:rPr>
          <w:rFonts w:asciiTheme="minorHAnsi" w:hAnsiTheme="minorHAnsi" w:cstheme="minorHAnsi"/>
          <w:sz w:val="20"/>
          <w:lang w:val="en-US"/>
        </w:rPr>
        <w:t>Multivaria</w:t>
      </w:r>
      <w:r>
        <w:rPr>
          <w:rFonts w:asciiTheme="minorHAnsi" w:hAnsiTheme="minorHAnsi" w:cstheme="minorHAnsi"/>
          <w:sz w:val="20"/>
          <w:lang w:val="en-US"/>
        </w:rPr>
        <w:t>t</w:t>
      </w:r>
      <w:r w:rsidRPr="009425F0">
        <w:rPr>
          <w:rFonts w:asciiTheme="minorHAnsi" w:hAnsiTheme="minorHAnsi" w:cstheme="minorHAnsi"/>
          <w:sz w:val="20"/>
          <w:lang w:val="en-US"/>
        </w:rPr>
        <w:t>e competing risk analysis, with death without limitation as the competing event</w:t>
      </w:r>
    </w:p>
    <w:p w14:paraId="7067A980" w14:textId="77777777" w:rsidR="008C79A0" w:rsidRPr="009425F0" w:rsidRDefault="008C79A0" w:rsidP="008C79A0">
      <w:pPr>
        <w:spacing w:after="120"/>
        <w:ind w:right="-6"/>
        <w:rPr>
          <w:rFonts w:asciiTheme="minorHAnsi" w:hAnsiTheme="minorHAnsi" w:cstheme="minorHAnsi"/>
          <w:sz w:val="20"/>
          <w:szCs w:val="20"/>
          <w:lang w:val="en-US"/>
        </w:rPr>
      </w:pPr>
      <w:r w:rsidRPr="009425F0">
        <w:rPr>
          <w:rFonts w:asciiTheme="minorHAnsi" w:hAnsiTheme="minorHAnsi" w:cstheme="minorHAnsi"/>
          <w:sz w:val="20"/>
          <w:szCs w:val="20"/>
          <w:lang w:val="en-US"/>
        </w:rPr>
        <w:t>Abbreviations: ICU, Intensive Care Unit; sHR, subdistribution Hazard Ratio; CI, Confidence Interval; SOFA, Sequential Organ Failure Assessment.</w:t>
      </w:r>
    </w:p>
    <w:p w14:paraId="53DE84F1" w14:textId="77777777" w:rsidR="008C79A0" w:rsidRPr="009425F0" w:rsidRDefault="008C79A0" w:rsidP="008C79A0">
      <w:pPr>
        <w:rPr>
          <w:rFonts w:asciiTheme="minorHAnsi" w:hAnsiTheme="minorHAnsi" w:cstheme="minorHAnsi"/>
          <w:sz w:val="21"/>
          <w:lang w:val="en-US"/>
        </w:rPr>
      </w:pPr>
    </w:p>
    <w:bookmarkEnd w:id="1"/>
    <w:bookmarkEnd w:id="2"/>
    <w:bookmarkEnd w:id="3"/>
    <w:p w14:paraId="498CC35C" w14:textId="4D4D8E7D" w:rsidR="004A6F86" w:rsidRPr="005C661B" w:rsidRDefault="004A6F86" w:rsidP="004A6F86">
      <w:pPr>
        <w:rPr>
          <w:rFonts w:asciiTheme="minorHAnsi" w:hAnsiTheme="minorHAnsi" w:cstheme="minorHAnsi"/>
          <w:color w:val="000000" w:themeColor="text1"/>
          <w:lang w:val="en-US"/>
        </w:rPr>
      </w:pPr>
    </w:p>
    <w:sectPr w:rsidR="004A6F86" w:rsidRPr="005C661B" w:rsidSect="001137B5">
      <w:footerReference w:type="even" r:id="rId10"/>
      <w:foot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0FF4E3" w14:textId="77777777" w:rsidR="00CC2AF0" w:rsidRDefault="00CC2AF0">
      <w:r>
        <w:separator/>
      </w:r>
    </w:p>
  </w:endnote>
  <w:endnote w:type="continuationSeparator" w:id="0">
    <w:p w14:paraId="578DE344" w14:textId="77777777" w:rsidR="00CC2AF0" w:rsidRDefault="00CC2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18654742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3DB721" w14:textId="77777777" w:rsidR="00101F52" w:rsidRDefault="00BC4A7D" w:rsidP="00A37E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3B7953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A7633A" w14:textId="77777777" w:rsidR="00101F52" w:rsidRDefault="00101F52" w:rsidP="00A50815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26647546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E071E3" w14:textId="77777777" w:rsidR="00101F52" w:rsidRDefault="00BC4A7D" w:rsidP="00A37E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3B7953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735FC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47DFA98" w14:textId="77777777" w:rsidR="00101F52" w:rsidRDefault="00101F52" w:rsidP="00A508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56A025" w14:textId="77777777" w:rsidR="00CC2AF0" w:rsidRDefault="00CC2AF0">
      <w:r>
        <w:separator/>
      </w:r>
    </w:p>
  </w:footnote>
  <w:footnote w:type="continuationSeparator" w:id="0">
    <w:p w14:paraId="13461A86" w14:textId="77777777" w:rsidR="00CC2AF0" w:rsidRDefault="00CC2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E0EF4"/>
    <w:multiLevelType w:val="hybridMultilevel"/>
    <w:tmpl w:val="2F52E330"/>
    <w:lvl w:ilvl="0" w:tplc="5F14F10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09A91FA" w:tentative="1">
      <w:start w:val="1"/>
      <w:numFmt w:val="lowerLetter"/>
      <w:lvlText w:val="%2."/>
      <w:lvlJc w:val="left"/>
      <w:pPr>
        <w:ind w:left="1440" w:hanging="360"/>
      </w:pPr>
    </w:lvl>
    <w:lvl w:ilvl="2" w:tplc="CA269774" w:tentative="1">
      <w:start w:val="1"/>
      <w:numFmt w:val="lowerRoman"/>
      <w:lvlText w:val="%3."/>
      <w:lvlJc w:val="right"/>
      <w:pPr>
        <w:ind w:left="2160" w:hanging="180"/>
      </w:pPr>
    </w:lvl>
    <w:lvl w:ilvl="3" w:tplc="EBBAE1D4" w:tentative="1">
      <w:start w:val="1"/>
      <w:numFmt w:val="decimal"/>
      <w:lvlText w:val="%4."/>
      <w:lvlJc w:val="left"/>
      <w:pPr>
        <w:ind w:left="2880" w:hanging="360"/>
      </w:pPr>
    </w:lvl>
    <w:lvl w:ilvl="4" w:tplc="16AC17B4" w:tentative="1">
      <w:start w:val="1"/>
      <w:numFmt w:val="lowerLetter"/>
      <w:lvlText w:val="%5."/>
      <w:lvlJc w:val="left"/>
      <w:pPr>
        <w:ind w:left="3600" w:hanging="360"/>
      </w:pPr>
    </w:lvl>
    <w:lvl w:ilvl="5" w:tplc="9CA855AE" w:tentative="1">
      <w:start w:val="1"/>
      <w:numFmt w:val="lowerRoman"/>
      <w:lvlText w:val="%6."/>
      <w:lvlJc w:val="right"/>
      <w:pPr>
        <w:ind w:left="4320" w:hanging="180"/>
      </w:pPr>
    </w:lvl>
    <w:lvl w:ilvl="6" w:tplc="8744C122" w:tentative="1">
      <w:start w:val="1"/>
      <w:numFmt w:val="decimal"/>
      <w:lvlText w:val="%7."/>
      <w:lvlJc w:val="left"/>
      <w:pPr>
        <w:ind w:left="5040" w:hanging="360"/>
      </w:pPr>
    </w:lvl>
    <w:lvl w:ilvl="7" w:tplc="A9AA84A0" w:tentative="1">
      <w:start w:val="1"/>
      <w:numFmt w:val="lowerLetter"/>
      <w:lvlText w:val="%8."/>
      <w:lvlJc w:val="left"/>
      <w:pPr>
        <w:ind w:left="5760" w:hanging="360"/>
      </w:pPr>
    </w:lvl>
    <w:lvl w:ilvl="8" w:tplc="54026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872FF"/>
    <w:multiLevelType w:val="hybridMultilevel"/>
    <w:tmpl w:val="04603DD8"/>
    <w:lvl w:ilvl="0" w:tplc="1FA67DC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E129E08" w:tentative="1">
      <w:start w:val="1"/>
      <w:numFmt w:val="lowerLetter"/>
      <w:lvlText w:val="%2."/>
      <w:lvlJc w:val="left"/>
      <w:pPr>
        <w:ind w:left="1440" w:hanging="360"/>
      </w:pPr>
    </w:lvl>
    <w:lvl w:ilvl="2" w:tplc="199A9DE2" w:tentative="1">
      <w:start w:val="1"/>
      <w:numFmt w:val="lowerRoman"/>
      <w:lvlText w:val="%3."/>
      <w:lvlJc w:val="right"/>
      <w:pPr>
        <w:ind w:left="2160" w:hanging="180"/>
      </w:pPr>
    </w:lvl>
    <w:lvl w:ilvl="3" w:tplc="884C3374" w:tentative="1">
      <w:start w:val="1"/>
      <w:numFmt w:val="decimal"/>
      <w:lvlText w:val="%4."/>
      <w:lvlJc w:val="left"/>
      <w:pPr>
        <w:ind w:left="2880" w:hanging="360"/>
      </w:pPr>
    </w:lvl>
    <w:lvl w:ilvl="4" w:tplc="3642093C" w:tentative="1">
      <w:start w:val="1"/>
      <w:numFmt w:val="lowerLetter"/>
      <w:lvlText w:val="%5."/>
      <w:lvlJc w:val="left"/>
      <w:pPr>
        <w:ind w:left="3600" w:hanging="360"/>
      </w:pPr>
    </w:lvl>
    <w:lvl w:ilvl="5" w:tplc="9FA29E16" w:tentative="1">
      <w:start w:val="1"/>
      <w:numFmt w:val="lowerRoman"/>
      <w:lvlText w:val="%6."/>
      <w:lvlJc w:val="right"/>
      <w:pPr>
        <w:ind w:left="4320" w:hanging="180"/>
      </w:pPr>
    </w:lvl>
    <w:lvl w:ilvl="6" w:tplc="48CAE078" w:tentative="1">
      <w:start w:val="1"/>
      <w:numFmt w:val="decimal"/>
      <w:lvlText w:val="%7."/>
      <w:lvlJc w:val="left"/>
      <w:pPr>
        <w:ind w:left="5040" w:hanging="360"/>
      </w:pPr>
    </w:lvl>
    <w:lvl w:ilvl="7" w:tplc="0C3478CC" w:tentative="1">
      <w:start w:val="1"/>
      <w:numFmt w:val="lowerLetter"/>
      <w:lvlText w:val="%8."/>
      <w:lvlJc w:val="left"/>
      <w:pPr>
        <w:ind w:left="5760" w:hanging="360"/>
      </w:pPr>
    </w:lvl>
    <w:lvl w:ilvl="8" w:tplc="CBFE81B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9A3113"/>
    <w:multiLevelType w:val="hybridMultilevel"/>
    <w:tmpl w:val="58A6390A"/>
    <w:lvl w:ilvl="0" w:tplc="6EF63818">
      <w:start w:val="7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7A7679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4A54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E22A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F4B0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8605E6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089D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C208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9890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DDE"/>
    <w:rsid w:val="00073CD4"/>
    <w:rsid w:val="00080CA7"/>
    <w:rsid w:val="00091176"/>
    <w:rsid w:val="000A0D5A"/>
    <w:rsid w:val="000A5DDE"/>
    <w:rsid w:val="000C2427"/>
    <w:rsid w:val="000E6A71"/>
    <w:rsid w:val="000F0F93"/>
    <w:rsid w:val="00101F52"/>
    <w:rsid w:val="001024F6"/>
    <w:rsid w:val="00113550"/>
    <w:rsid w:val="0011360D"/>
    <w:rsid w:val="001137B5"/>
    <w:rsid w:val="00116083"/>
    <w:rsid w:val="001526BE"/>
    <w:rsid w:val="00154927"/>
    <w:rsid w:val="0015773E"/>
    <w:rsid w:val="001B220C"/>
    <w:rsid w:val="001B35E8"/>
    <w:rsid w:val="001B5B82"/>
    <w:rsid w:val="001C0BAA"/>
    <w:rsid w:val="001C5043"/>
    <w:rsid w:val="001D1051"/>
    <w:rsid w:val="001E0574"/>
    <w:rsid w:val="001E6FC5"/>
    <w:rsid w:val="001F3E8C"/>
    <w:rsid w:val="0020080A"/>
    <w:rsid w:val="00210CD0"/>
    <w:rsid w:val="00246CCA"/>
    <w:rsid w:val="002525AC"/>
    <w:rsid w:val="002633B7"/>
    <w:rsid w:val="0026745F"/>
    <w:rsid w:val="0027338C"/>
    <w:rsid w:val="00277D9C"/>
    <w:rsid w:val="002A378E"/>
    <w:rsid w:val="002A49BE"/>
    <w:rsid w:val="002A4A73"/>
    <w:rsid w:val="002B315F"/>
    <w:rsid w:val="002C62FD"/>
    <w:rsid w:val="002C6D80"/>
    <w:rsid w:val="002E6C9D"/>
    <w:rsid w:val="00311161"/>
    <w:rsid w:val="00311FE7"/>
    <w:rsid w:val="00312D8C"/>
    <w:rsid w:val="00317813"/>
    <w:rsid w:val="00321CD6"/>
    <w:rsid w:val="0034084A"/>
    <w:rsid w:val="0034251C"/>
    <w:rsid w:val="0035314A"/>
    <w:rsid w:val="00370A8F"/>
    <w:rsid w:val="00395E86"/>
    <w:rsid w:val="00396B3C"/>
    <w:rsid w:val="003B193C"/>
    <w:rsid w:val="003B7953"/>
    <w:rsid w:val="003C4863"/>
    <w:rsid w:val="003D3FDE"/>
    <w:rsid w:val="003E4129"/>
    <w:rsid w:val="003E7FE2"/>
    <w:rsid w:val="003F11AC"/>
    <w:rsid w:val="00404F73"/>
    <w:rsid w:val="0041048B"/>
    <w:rsid w:val="00416B9A"/>
    <w:rsid w:val="00421AB1"/>
    <w:rsid w:val="00434049"/>
    <w:rsid w:val="00437FDA"/>
    <w:rsid w:val="004537FA"/>
    <w:rsid w:val="00456560"/>
    <w:rsid w:val="00475737"/>
    <w:rsid w:val="004A5FCF"/>
    <w:rsid w:val="004A6F86"/>
    <w:rsid w:val="004B4265"/>
    <w:rsid w:val="004C608A"/>
    <w:rsid w:val="004D08CF"/>
    <w:rsid w:val="004D3906"/>
    <w:rsid w:val="00501EF0"/>
    <w:rsid w:val="00505B84"/>
    <w:rsid w:val="00507FDD"/>
    <w:rsid w:val="00512409"/>
    <w:rsid w:val="00534E07"/>
    <w:rsid w:val="00535108"/>
    <w:rsid w:val="0053735A"/>
    <w:rsid w:val="00543C41"/>
    <w:rsid w:val="00552338"/>
    <w:rsid w:val="005536A9"/>
    <w:rsid w:val="0056243C"/>
    <w:rsid w:val="005672CA"/>
    <w:rsid w:val="00577D97"/>
    <w:rsid w:val="0058186A"/>
    <w:rsid w:val="0058301F"/>
    <w:rsid w:val="00597593"/>
    <w:rsid w:val="005C661B"/>
    <w:rsid w:val="005D2A9C"/>
    <w:rsid w:val="005E1B72"/>
    <w:rsid w:val="005F168A"/>
    <w:rsid w:val="005F3021"/>
    <w:rsid w:val="00606CCC"/>
    <w:rsid w:val="006230C6"/>
    <w:rsid w:val="00624D68"/>
    <w:rsid w:val="006357C6"/>
    <w:rsid w:val="00641F45"/>
    <w:rsid w:val="006458AE"/>
    <w:rsid w:val="006503F9"/>
    <w:rsid w:val="00653041"/>
    <w:rsid w:val="00662D51"/>
    <w:rsid w:val="00676B0B"/>
    <w:rsid w:val="00693BAE"/>
    <w:rsid w:val="006B7B65"/>
    <w:rsid w:val="006D5858"/>
    <w:rsid w:val="006F1AFF"/>
    <w:rsid w:val="00705D08"/>
    <w:rsid w:val="00706FCA"/>
    <w:rsid w:val="00710131"/>
    <w:rsid w:val="00736349"/>
    <w:rsid w:val="00767A09"/>
    <w:rsid w:val="00774A1A"/>
    <w:rsid w:val="00784F8E"/>
    <w:rsid w:val="00785126"/>
    <w:rsid w:val="00792454"/>
    <w:rsid w:val="007C3906"/>
    <w:rsid w:val="007C4B71"/>
    <w:rsid w:val="007C6E2B"/>
    <w:rsid w:val="007E11F3"/>
    <w:rsid w:val="007E6693"/>
    <w:rsid w:val="007F2313"/>
    <w:rsid w:val="00813A7A"/>
    <w:rsid w:val="0082305F"/>
    <w:rsid w:val="00832BE6"/>
    <w:rsid w:val="0087499F"/>
    <w:rsid w:val="00887443"/>
    <w:rsid w:val="008A2540"/>
    <w:rsid w:val="008B3896"/>
    <w:rsid w:val="008C79A0"/>
    <w:rsid w:val="0091389A"/>
    <w:rsid w:val="00920005"/>
    <w:rsid w:val="009261EE"/>
    <w:rsid w:val="00937878"/>
    <w:rsid w:val="009415BD"/>
    <w:rsid w:val="009425F0"/>
    <w:rsid w:val="0094417E"/>
    <w:rsid w:val="00956A55"/>
    <w:rsid w:val="0095748E"/>
    <w:rsid w:val="00963F60"/>
    <w:rsid w:val="00977610"/>
    <w:rsid w:val="009776DE"/>
    <w:rsid w:val="009A3C26"/>
    <w:rsid w:val="009B51F7"/>
    <w:rsid w:val="009D5707"/>
    <w:rsid w:val="00A0534A"/>
    <w:rsid w:val="00A17A35"/>
    <w:rsid w:val="00A23B49"/>
    <w:rsid w:val="00A31157"/>
    <w:rsid w:val="00A340DE"/>
    <w:rsid w:val="00A36B26"/>
    <w:rsid w:val="00A37ECC"/>
    <w:rsid w:val="00A42FBF"/>
    <w:rsid w:val="00A50815"/>
    <w:rsid w:val="00A52F4A"/>
    <w:rsid w:val="00A567FF"/>
    <w:rsid w:val="00A575EB"/>
    <w:rsid w:val="00A735FC"/>
    <w:rsid w:val="00A81BCB"/>
    <w:rsid w:val="00A83CFB"/>
    <w:rsid w:val="00A97426"/>
    <w:rsid w:val="00AA19CD"/>
    <w:rsid w:val="00AB4E33"/>
    <w:rsid w:val="00AC28DC"/>
    <w:rsid w:val="00AD21FB"/>
    <w:rsid w:val="00AD663A"/>
    <w:rsid w:val="00AE464B"/>
    <w:rsid w:val="00AE5544"/>
    <w:rsid w:val="00AF28C1"/>
    <w:rsid w:val="00AF29E0"/>
    <w:rsid w:val="00B06963"/>
    <w:rsid w:val="00B06D82"/>
    <w:rsid w:val="00B07352"/>
    <w:rsid w:val="00B31316"/>
    <w:rsid w:val="00B43844"/>
    <w:rsid w:val="00B96137"/>
    <w:rsid w:val="00BB4DE5"/>
    <w:rsid w:val="00BC4A7D"/>
    <w:rsid w:val="00BE258E"/>
    <w:rsid w:val="00BF1766"/>
    <w:rsid w:val="00BF4F53"/>
    <w:rsid w:val="00C047A7"/>
    <w:rsid w:val="00C2306D"/>
    <w:rsid w:val="00C259B2"/>
    <w:rsid w:val="00C57586"/>
    <w:rsid w:val="00C720CF"/>
    <w:rsid w:val="00C73837"/>
    <w:rsid w:val="00C7747A"/>
    <w:rsid w:val="00C92B6C"/>
    <w:rsid w:val="00CA0C52"/>
    <w:rsid w:val="00CC2AF0"/>
    <w:rsid w:val="00D047F4"/>
    <w:rsid w:val="00D079DF"/>
    <w:rsid w:val="00D1690A"/>
    <w:rsid w:val="00D2516B"/>
    <w:rsid w:val="00D52891"/>
    <w:rsid w:val="00D60492"/>
    <w:rsid w:val="00D7274D"/>
    <w:rsid w:val="00D72A32"/>
    <w:rsid w:val="00D72CE4"/>
    <w:rsid w:val="00D81C6C"/>
    <w:rsid w:val="00D8736B"/>
    <w:rsid w:val="00D90550"/>
    <w:rsid w:val="00DC1B9A"/>
    <w:rsid w:val="00DD1E1F"/>
    <w:rsid w:val="00DD32E1"/>
    <w:rsid w:val="00DE1B9C"/>
    <w:rsid w:val="00DE50DA"/>
    <w:rsid w:val="00DF763F"/>
    <w:rsid w:val="00E13AF1"/>
    <w:rsid w:val="00E3050C"/>
    <w:rsid w:val="00E33071"/>
    <w:rsid w:val="00E423DB"/>
    <w:rsid w:val="00E53E1D"/>
    <w:rsid w:val="00E65E0A"/>
    <w:rsid w:val="00EA1BD6"/>
    <w:rsid w:val="00EA1C95"/>
    <w:rsid w:val="00EB2689"/>
    <w:rsid w:val="00EB27E3"/>
    <w:rsid w:val="00EB5C7B"/>
    <w:rsid w:val="00ED0AE5"/>
    <w:rsid w:val="00EE39A1"/>
    <w:rsid w:val="00EF33D6"/>
    <w:rsid w:val="00F008E5"/>
    <w:rsid w:val="00F1445D"/>
    <w:rsid w:val="00F4091F"/>
    <w:rsid w:val="00F43060"/>
    <w:rsid w:val="00F52670"/>
    <w:rsid w:val="00F619E1"/>
    <w:rsid w:val="00F61DE5"/>
    <w:rsid w:val="00F65C0F"/>
    <w:rsid w:val="00F71902"/>
    <w:rsid w:val="00F719BC"/>
    <w:rsid w:val="00F81670"/>
    <w:rsid w:val="00F863F4"/>
    <w:rsid w:val="00FA1352"/>
    <w:rsid w:val="00FC31AF"/>
    <w:rsid w:val="00FC662A"/>
    <w:rsid w:val="00FD4A3F"/>
    <w:rsid w:val="00FE533D"/>
    <w:rsid w:val="00F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96A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5F0"/>
    <w:rPr>
      <w:rFonts w:ascii="Times New Roman" w:eastAsia="Times New Roman" w:hAnsi="Times New Roman" w:cs="Times New Roman"/>
      <w:lang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081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D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A5DD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CommentReference">
    <w:name w:val="annotation reference"/>
    <w:basedOn w:val="DefaultParagraphFont"/>
    <w:uiPriority w:val="99"/>
    <w:semiHidden/>
    <w:unhideWhenUsed/>
    <w:rsid w:val="003E41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412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412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41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129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081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50815"/>
  </w:style>
  <w:style w:type="character" w:styleId="PageNumber">
    <w:name w:val="page number"/>
    <w:basedOn w:val="DefaultParagraphFont"/>
    <w:uiPriority w:val="99"/>
    <w:semiHidden/>
    <w:unhideWhenUsed/>
    <w:rsid w:val="00A50815"/>
  </w:style>
  <w:style w:type="character" w:customStyle="1" w:styleId="Heading1Char">
    <w:name w:val="Heading 1 Char"/>
    <w:basedOn w:val="DefaultParagraphFont"/>
    <w:link w:val="Heading1"/>
    <w:uiPriority w:val="9"/>
    <w:rsid w:val="00A508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50815"/>
    <w:pPr>
      <w:spacing w:before="480" w:line="276" w:lineRule="auto"/>
      <w:outlineLvl w:val="9"/>
    </w:pPr>
    <w:rPr>
      <w:b/>
      <w:bCs/>
      <w:sz w:val="28"/>
      <w:szCs w:val="28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50815"/>
    <w:pPr>
      <w:ind w:left="48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A50815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0815"/>
    <w:pPr>
      <w:spacing w:before="120"/>
    </w:pPr>
    <w:rPr>
      <w:rFonts w:asciiTheme="minorHAnsi" w:eastAsiaTheme="minorHAnsi" w:hAnsiTheme="minorHAnsi" w:cstheme="minorHAnsi"/>
      <w:b/>
      <w:bCs/>
      <w:i/>
      <w:iCs/>
      <w:lang w:eastAsia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0815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50815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50815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50815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50815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50815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50815"/>
    <w:pPr>
      <w:ind w:left="1920"/>
    </w:pPr>
    <w:rPr>
      <w:rFonts w:cs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11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115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863F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Revision">
    <w:name w:val="Revision"/>
    <w:hidden/>
    <w:uiPriority w:val="99"/>
    <w:semiHidden/>
    <w:rsid w:val="00DC1B9A"/>
  </w:style>
  <w:style w:type="character" w:styleId="FollowedHyperlink">
    <w:name w:val="FollowedHyperlink"/>
    <w:basedOn w:val="DefaultParagraphFont"/>
    <w:uiPriority w:val="99"/>
    <w:semiHidden/>
    <w:unhideWhenUsed/>
    <w:rsid w:val="00A81BCB"/>
    <w:rPr>
      <w:color w:val="954F72" w:themeColor="followedHyperlink"/>
      <w:u w:val="single"/>
    </w:rPr>
  </w:style>
  <w:style w:type="paragraph" w:styleId="NormalWeb">
    <w:name w:val="Normal (Web)"/>
    <w:basedOn w:val="Normal"/>
    <w:link w:val="NormalWebChar"/>
    <w:uiPriority w:val="99"/>
    <w:unhideWhenUsed/>
    <w:rsid w:val="007C6E2B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7C6E2B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5F0"/>
    <w:rPr>
      <w:rFonts w:ascii="Times New Roman" w:eastAsia="Times New Roman" w:hAnsi="Times New Roman" w:cs="Times New Roman"/>
      <w:lang w:eastAsia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081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5D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A5DDE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CommentReference">
    <w:name w:val="annotation reference"/>
    <w:basedOn w:val="DefaultParagraphFont"/>
    <w:uiPriority w:val="99"/>
    <w:semiHidden/>
    <w:unhideWhenUsed/>
    <w:rsid w:val="003E41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412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412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41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129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081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50815"/>
  </w:style>
  <w:style w:type="character" w:styleId="PageNumber">
    <w:name w:val="page number"/>
    <w:basedOn w:val="DefaultParagraphFont"/>
    <w:uiPriority w:val="99"/>
    <w:semiHidden/>
    <w:unhideWhenUsed/>
    <w:rsid w:val="00A50815"/>
  </w:style>
  <w:style w:type="character" w:customStyle="1" w:styleId="Heading1Char">
    <w:name w:val="Heading 1 Char"/>
    <w:basedOn w:val="DefaultParagraphFont"/>
    <w:link w:val="Heading1"/>
    <w:uiPriority w:val="9"/>
    <w:rsid w:val="00A508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A50815"/>
    <w:pPr>
      <w:spacing w:before="480" w:line="276" w:lineRule="auto"/>
      <w:outlineLvl w:val="9"/>
    </w:pPr>
    <w:rPr>
      <w:b/>
      <w:bCs/>
      <w:sz w:val="28"/>
      <w:szCs w:val="28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50815"/>
    <w:pPr>
      <w:ind w:left="480"/>
    </w:pPr>
    <w:rPr>
      <w:rFonts w:asciiTheme="minorHAnsi" w:eastAsiaTheme="minorHAnsi" w:hAnsiTheme="minorHAnsi" w:cstheme="minorHAnsi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A50815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0815"/>
    <w:pPr>
      <w:spacing w:before="120"/>
    </w:pPr>
    <w:rPr>
      <w:rFonts w:asciiTheme="minorHAnsi" w:eastAsiaTheme="minorHAnsi" w:hAnsiTheme="minorHAnsi" w:cstheme="minorHAnsi"/>
      <w:b/>
      <w:bCs/>
      <w:i/>
      <w:iCs/>
      <w:lang w:eastAsia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0815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50815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50815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50815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50815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50815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50815"/>
    <w:pPr>
      <w:ind w:left="1920"/>
    </w:pPr>
    <w:rPr>
      <w:rFonts w:cs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11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115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863F4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Revision">
    <w:name w:val="Revision"/>
    <w:hidden/>
    <w:uiPriority w:val="99"/>
    <w:semiHidden/>
    <w:rsid w:val="00DC1B9A"/>
  </w:style>
  <w:style w:type="character" w:styleId="FollowedHyperlink">
    <w:name w:val="FollowedHyperlink"/>
    <w:basedOn w:val="DefaultParagraphFont"/>
    <w:uiPriority w:val="99"/>
    <w:semiHidden/>
    <w:unhideWhenUsed/>
    <w:rsid w:val="00A81BCB"/>
    <w:rPr>
      <w:color w:val="954F72" w:themeColor="followedHyperlink"/>
      <w:u w:val="single"/>
    </w:rPr>
  </w:style>
  <w:style w:type="paragraph" w:styleId="NormalWeb">
    <w:name w:val="Normal (Web)"/>
    <w:basedOn w:val="Normal"/>
    <w:link w:val="NormalWebChar"/>
    <w:uiPriority w:val="99"/>
    <w:unhideWhenUsed/>
    <w:rsid w:val="007C6E2B"/>
    <w:pPr>
      <w:spacing w:before="100" w:beforeAutospacing="1" w:after="100" w:afterAutospacing="1"/>
    </w:pPr>
  </w:style>
  <w:style w:type="character" w:customStyle="1" w:styleId="NormalWebChar">
    <w:name w:val="Normal (Web) Char"/>
    <w:basedOn w:val="DefaultParagraphFont"/>
    <w:link w:val="NormalWeb"/>
    <w:uiPriority w:val="99"/>
    <w:rsid w:val="007C6E2B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90B0694-15A4-40C4-8085-1773B5356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403</Words>
  <Characters>2302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Etienne de Montmollin</dc:creator>
  <cp:lastModifiedBy>SagarMhande</cp:lastModifiedBy>
  <cp:revision>2</cp:revision>
  <dcterms:created xsi:type="dcterms:W3CDTF">2020-08-25T07:31:00Z</dcterms:created>
  <dcterms:modified xsi:type="dcterms:W3CDTF">2020-08-25T07:31:00Z</dcterms:modified>
</cp:coreProperties>
</file>