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3241" w:rsidRPr="00552D62" w:rsidRDefault="00373241" w:rsidP="00A85455">
      <w:pPr>
        <w:jc w:val="center"/>
        <w:rPr>
          <w:b/>
          <w:bCs/>
          <w:sz w:val="32"/>
          <w:szCs w:val="32"/>
        </w:rPr>
      </w:pPr>
      <w:r w:rsidRPr="00552D62">
        <w:rPr>
          <w:b/>
          <w:bCs/>
          <w:sz w:val="32"/>
          <w:szCs w:val="32"/>
        </w:rPr>
        <w:t>Additional file for</w:t>
      </w:r>
    </w:p>
    <w:p w:rsidR="00373241" w:rsidRPr="00EA79EB" w:rsidRDefault="00373241" w:rsidP="00373241">
      <w:pPr>
        <w:spacing w:line="480" w:lineRule="auto"/>
        <w:jc w:val="center"/>
        <w:rPr>
          <w:b/>
          <w:bCs/>
          <w:sz w:val="28"/>
          <w:szCs w:val="28"/>
        </w:rPr>
      </w:pPr>
      <w:r w:rsidRPr="00EA79EB">
        <w:rPr>
          <w:b/>
          <w:bCs/>
          <w:sz w:val="28"/>
          <w:szCs w:val="28"/>
        </w:rPr>
        <w:t>The Chemosensory Toolkit of a Cursorial Spider</w:t>
      </w:r>
    </w:p>
    <w:p w:rsidR="00373241" w:rsidRPr="00EA79EB" w:rsidRDefault="00373241" w:rsidP="00373241">
      <w:pPr>
        <w:spacing w:line="480" w:lineRule="auto"/>
      </w:pPr>
      <w:r w:rsidRPr="00EA79EB">
        <w:rPr>
          <w:b/>
        </w:rPr>
        <w:t>Authors:</w:t>
      </w:r>
      <w:r w:rsidRPr="00EA79EB">
        <w:t xml:space="preserve"> Mohammad Belal Talukder</w:t>
      </w:r>
      <w:r w:rsidRPr="00EA79EB">
        <w:rPr>
          <w:vertAlign w:val="superscript"/>
        </w:rPr>
        <w:t>1*</w:t>
      </w:r>
      <w:r w:rsidRPr="00EA79EB">
        <w:t>, Carsten H. G. Müller</w:t>
      </w:r>
      <w:r w:rsidRPr="00EA79EB">
        <w:rPr>
          <w:vertAlign w:val="superscript"/>
        </w:rPr>
        <w:t>1</w:t>
      </w:r>
      <w:r w:rsidRPr="00EA79EB">
        <w:t>, Andreas Fischer</w:t>
      </w:r>
      <w:r w:rsidRPr="00EA79EB">
        <w:rPr>
          <w:vertAlign w:val="superscript"/>
        </w:rPr>
        <w:t>1</w:t>
      </w:r>
      <w:r w:rsidRPr="00EA79EB">
        <w:t xml:space="preserve">, </w:t>
      </w:r>
      <w:proofErr w:type="spellStart"/>
      <w:r w:rsidRPr="00EA79EB">
        <w:t>Vedanti</w:t>
      </w:r>
      <w:proofErr w:type="spellEnd"/>
      <w:r w:rsidRPr="00EA79EB">
        <w:t xml:space="preserve"> Mahimkar</w:t>
      </w:r>
      <w:r w:rsidRPr="00EA79EB">
        <w:rPr>
          <w:vertAlign w:val="superscript"/>
        </w:rPr>
        <w:t>1</w:t>
      </w:r>
      <w:r w:rsidRPr="00EA79EB">
        <w:t>, Jonas O. Wolff</w:t>
      </w:r>
      <w:r w:rsidRPr="00EA79EB">
        <w:rPr>
          <w:vertAlign w:val="superscript"/>
        </w:rPr>
        <w:t>2</w:t>
      </w:r>
      <w:r w:rsidRPr="00EA79EB">
        <w:t>, and Gabriele B. Uhl</w:t>
      </w:r>
      <w:r w:rsidRPr="00EA79EB">
        <w:rPr>
          <w:vertAlign w:val="superscript"/>
        </w:rPr>
        <w:t>1*</w:t>
      </w:r>
    </w:p>
    <w:p w:rsidR="00373241" w:rsidRPr="00EA79EB" w:rsidRDefault="00373241" w:rsidP="00DC781E">
      <w:pPr>
        <w:spacing w:after="0" w:line="360" w:lineRule="auto"/>
      </w:pPr>
      <w:r w:rsidRPr="00EA79EB">
        <w:rPr>
          <w:b/>
        </w:rPr>
        <w:t>Affiliations:</w:t>
      </w:r>
    </w:p>
    <w:p w:rsidR="00373241" w:rsidRPr="00EA79EB" w:rsidRDefault="00373241" w:rsidP="00DC781E">
      <w:pPr>
        <w:spacing w:after="0" w:line="360" w:lineRule="auto"/>
      </w:pPr>
      <w:r w:rsidRPr="00EA79EB">
        <w:rPr>
          <w:vertAlign w:val="superscript"/>
        </w:rPr>
        <w:t>1</w:t>
      </w:r>
      <w:r w:rsidRPr="00EA79EB">
        <w:t>General and Systematic Zoology, University of Greifswald; Greifswald, 17489, MV, Germany</w:t>
      </w:r>
    </w:p>
    <w:p w:rsidR="00373241" w:rsidRDefault="00373241" w:rsidP="00DC781E">
      <w:pPr>
        <w:spacing w:after="0" w:line="360" w:lineRule="auto"/>
      </w:pPr>
      <w:r w:rsidRPr="00EA79EB">
        <w:rPr>
          <w:vertAlign w:val="superscript"/>
        </w:rPr>
        <w:t>2</w:t>
      </w:r>
      <w:r w:rsidRPr="00EA79EB">
        <w:t>Evolutionary Biomechanics, University of Greifswald; Greifswald, 17489, MV, Germany</w:t>
      </w:r>
    </w:p>
    <w:p w:rsidR="00373241" w:rsidRPr="007A7C06" w:rsidRDefault="00373241" w:rsidP="00DC781E">
      <w:pPr>
        <w:spacing w:after="0" w:line="360" w:lineRule="auto"/>
        <w:rPr>
          <w:b/>
        </w:rPr>
      </w:pPr>
      <w:r w:rsidRPr="007A7C06">
        <w:rPr>
          <w:b/>
        </w:rPr>
        <w:t>Email addresses of all authors:</w:t>
      </w:r>
    </w:p>
    <w:p w:rsidR="00373241" w:rsidRDefault="00373241" w:rsidP="00DC781E">
      <w:pPr>
        <w:spacing w:after="0" w:line="360" w:lineRule="auto"/>
        <w:rPr>
          <w:rStyle w:val="Hyperlink"/>
        </w:rPr>
      </w:pPr>
      <w:r w:rsidRPr="007A7C06">
        <w:t>Mohammad Belal Talukder: talukderm@uni-greifswald.de</w:t>
      </w:r>
    </w:p>
    <w:p w:rsidR="00373241" w:rsidRPr="00DC781E" w:rsidRDefault="00373241" w:rsidP="00DC781E">
      <w:pPr>
        <w:spacing w:after="0" w:line="360" w:lineRule="auto"/>
        <w:rPr>
          <w:lang w:val="de-DE"/>
        </w:rPr>
      </w:pPr>
      <w:r w:rsidRPr="00DC781E">
        <w:rPr>
          <w:lang w:val="de-DE"/>
        </w:rPr>
        <w:t>Carsten H. G. Müller: carstmue@uni-greifswald.de</w:t>
      </w:r>
    </w:p>
    <w:p w:rsidR="00373241" w:rsidRDefault="00373241" w:rsidP="00DC781E">
      <w:pPr>
        <w:spacing w:after="0" w:line="360" w:lineRule="auto"/>
      </w:pPr>
      <w:r>
        <w:t>Andreas Fischer: andreas.fischer@uni-greifswald.de</w:t>
      </w:r>
    </w:p>
    <w:p w:rsidR="00373241" w:rsidRPr="00DC781E" w:rsidRDefault="00373241" w:rsidP="00DC781E">
      <w:pPr>
        <w:spacing w:after="0" w:line="360" w:lineRule="auto"/>
        <w:rPr>
          <w:lang w:val="de-DE"/>
        </w:rPr>
      </w:pPr>
      <w:proofErr w:type="spellStart"/>
      <w:r w:rsidRPr="00DC781E">
        <w:rPr>
          <w:lang w:val="de-DE"/>
        </w:rPr>
        <w:t>Vedanti</w:t>
      </w:r>
      <w:proofErr w:type="spellEnd"/>
      <w:r w:rsidRPr="00DC781E">
        <w:rPr>
          <w:lang w:val="de-DE"/>
        </w:rPr>
        <w:t xml:space="preserve"> </w:t>
      </w:r>
      <w:proofErr w:type="spellStart"/>
      <w:r w:rsidRPr="00DC781E">
        <w:rPr>
          <w:lang w:val="de-DE"/>
        </w:rPr>
        <w:t>Mahimkar</w:t>
      </w:r>
      <w:proofErr w:type="spellEnd"/>
      <w:r w:rsidRPr="00DC781E">
        <w:rPr>
          <w:lang w:val="de-DE"/>
        </w:rPr>
        <w:t>: vedanti.mahimkar@stud.uni-greifswald.de</w:t>
      </w:r>
    </w:p>
    <w:p w:rsidR="00373241" w:rsidRPr="00DC781E" w:rsidRDefault="00373241" w:rsidP="00DC781E">
      <w:pPr>
        <w:spacing w:after="0" w:line="360" w:lineRule="auto"/>
        <w:rPr>
          <w:lang w:val="de-DE"/>
        </w:rPr>
      </w:pPr>
      <w:r w:rsidRPr="00DC781E">
        <w:rPr>
          <w:lang w:val="de-DE"/>
        </w:rPr>
        <w:t>Jonas O. Wolff: j.wolff@uni-greifswald.de</w:t>
      </w:r>
    </w:p>
    <w:p w:rsidR="00373241" w:rsidRPr="00DC781E" w:rsidRDefault="00373241" w:rsidP="00DC781E">
      <w:pPr>
        <w:spacing w:after="0" w:line="360" w:lineRule="auto"/>
        <w:rPr>
          <w:lang w:val="de-DE"/>
        </w:rPr>
      </w:pPr>
      <w:r w:rsidRPr="00DC781E">
        <w:rPr>
          <w:lang w:val="de-DE"/>
        </w:rPr>
        <w:t>Gabriele B. Uhl: gabriele.uhl@uni-greifswald.de</w:t>
      </w:r>
    </w:p>
    <w:p w:rsidR="00373241" w:rsidRDefault="00373241" w:rsidP="00DC781E">
      <w:pPr>
        <w:spacing w:after="0" w:line="360" w:lineRule="auto"/>
        <w:rPr>
          <w:b/>
          <w:sz w:val="32"/>
          <w:szCs w:val="32"/>
        </w:rPr>
      </w:pPr>
      <w:r w:rsidRPr="00EA79EB">
        <w:t xml:space="preserve">*Corresponding authors: Email: </w:t>
      </w:r>
      <w:hyperlink r:id="rId7" w:tooltip="mailto:gabriele.uhl@uni-greifswald.de" w:history="1">
        <w:r w:rsidRPr="00EA79EB">
          <w:rPr>
            <w:rStyle w:val="Hyperlink"/>
          </w:rPr>
          <w:t>gabriele.uhl@uni-greifswald.de</w:t>
        </w:r>
      </w:hyperlink>
      <w:r w:rsidRPr="00EA79EB">
        <w:t xml:space="preserve"> (</w:t>
      </w:r>
      <w:r>
        <w:t>GBU</w:t>
      </w:r>
      <w:r w:rsidRPr="00EA79EB">
        <w:t xml:space="preserve">), </w:t>
      </w:r>
      <w:hyperlink r:id="rId8" w:history="1">
        <w:r w:rsidRPr="00EA79EB">
          <w:rPr>
            <w:rStyle w:val="Hyperlink"/>
          </w:rPr>
          <w:t>talukderm@uni-greifswald.de</w:t>
        </w:r>
      </w:hyperlink>
      <w:r w:rsidRPr="00EA79EB">
        <w:t xml:space="preserve"> (</w:t>
      </w:r>
      <w:r>
        <w:t>MBT</w:t>
      </w:r>
      <w:r w:rsidRPr="00EA79EB">
        <w:t>)</w:t>
      </w:r>
    </w:p>
    <w:p w:rsidR="00C042E6" w:rsidRPr="005509AF" w:rsidRDefault="00D92903" w:rsidP="00A85455">
      <w:pPr>
        <w:jc w:val="center"/>
        <w:rPr>
          <w:b/>
          <w:bCs/>
        </w:rPr>
      </w:pPr>
      <w:r w:rsidRPr="00676344">
        <w:rPr>
          <w:rFonts w:ascii="Arial" w:hAnsi="Arial" w:cs="Arial"/>
          <w:b/>
          <w:bCs/>
          <w:noProof/>
          <w:lang w:val="de-DE" w:eastAsia="de-DE"/>
        </w:rPr>
        <w:lastRenderedPageBreak/>
        <w:drawing>
          <wp:inline distT="0" distB="0" distL="0" distR="0">
            <wp:extent cx="6505534" cy="9198473"/>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403map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05534" cy="9198473"/>
                    </a:xfrm>
                    <a:prstGeom prst="rect">
                      <a:avLst/>
                    </a:prstGeom>
                  </pic:spPr>
                </pic:pic>
              </a:graphicData>
            </a:graphic>
          </wp:inline>
        </w:drawing>
      </w:r>
    </w:p>
    <w:p w:rsidR="00740545" w:rsidRDefault="004A4A6B" w:rsidP="0046158D">
      <w:pPr>
        <w:spacing w:line="480" w:lineRule="auto"/>
        <w:jc w:val="both"/>
        <w:rPr>
          <w:rFonts w:cstheme="minorHAnsi"/>
        </w:rPr>
      </w:pPr>
      <w:r w:rsidRPr="0046158D">
        <w:rPr>
          <w:rFonts w:cstheme="minorHAnsi"/>
          <w:b/>
        </w:rPr>
        <w:lastRenderedPageBreak/>
        <w:t>Figure S1. Distribution of chemosensilla on the 2</w:t>
      </w:r>
      <w:r w:rsidRPr="0046158D">
        <w:rPr>
          <w:rFonts w:cstheme="minorHAnsi"/>
          <w:b/>
          <w:vertAlign w:val="superscript"/>
        </w:rPr>
        <w:t>nd</w:t>
      </w:r>
      <w:r w:rsidRPr="0046158D">
        <w:rPr>
          <w:rFonts w:cstheme="minorHAnsi"/>
          <w:b/>
        </w:rPr>
        <w:t>, 3</w:t>
      </w:r>
      <w:r w:rsidRPr="0046158D">
        <w:rPr>
          <w:rFonts w:cstheme="minorHAnsi"/>
          <w:b/>
          <w:vertAlign w:val="superscript"/>
        </w:rPr>
        <w:t>rd</w:t>
      </w:r>
      <w:r w:rsidRPr="0046158D">
        <w:rPr>
          <w:rFonts w:cstheme="minorHAnsi"/>
          <w:b/>
        </w:rPr>
        <w:t>, and 4</w:t>
      </w:r>
      <w:r w:rsidRPr="0046158D">
        <w:rPr>
          <w:rFonts w:cstheme="minorHAnsi"/>
          <w:b/>
          <w:vertAlign w:val="superscript"/>
        </w:rPr>
        <w:t>th</w:t>
      </w:r>
      <w:r w:rsidR="005045DF" w:rsidRPr="0046158D">
        <w:rPr>
          <w:rFonts w:cstheme="minorHAnsi"/>
          <w:b/>
        </w:rPr>
        <w:t xml:space="preserve"> walking </w:t>
      </w:r>
      <w:r w:rsidR="00D92903">
        <w:rPr>
          <w:rFonts w:cs="Calibri"/>
          <w:b/>
        </w:rPr>
        <w:t>legs</w:t>
      </w:r>
      <w:r w:rsidR="005045DF" w:rsidRPr="0046158D">
        <w:rPr>
          <w:rFonts w:cstheme="minorHAnsi"/>
          <w:b/>
        </w:rPr>
        <w:t xml:space="preserve"> of </w:t>
      </w:r>
      <w:proofErr w:type="spellStart"/>
      <w:r w:rsidR="000A29EE" w:rsidRPr="0046158D">
        <w:rPr>
          <w:rStyle w:val="Hervorhebung"/>
          <w:rFonts w:cstheme="minorHAnsi"/>
          <w:b/>
        </w:rPr>
        <w:t>Pisaura</w:t>
      </w:r>
      <w:proofErr w:type="spellEnd"/>
      <w:r w:rsidR="000A29EE" w:rsidRPr="0046158D">
        <w:rPr>
          <w:rStyle w:val="Hervorhebung"/>
          <w:rFonts w:cstheme="minorHAnsi"/>
          <w:b/>
        </w:rPr>
        <w:t xml:space="preserve"> mirabilis</w:t>
      </w:r>
      <w:r w:rsidRPr="0046158D">
        <w:rPr>
          <w:rFonts w:cstheme="minorHAnsi"/>
          <w:b/>
        </w:rPr>
        <w:t xml:space="preserve">. A </w:t>
      </w:r>
      <w:r w:rsidRPr="0046158D">
        <w:rPr>
          <w:rFonts w:cstheme="minorHAnsi"/>
        </w:rPr>
        <w:t>2</w:t>
      </w:r>
      <w:r w:rsidRPr="0046158D">
        <w:rPr>
          <w:rFonts w:cstheme="minorHAnsi"/>
          <w:vertAlign w:val="superscript"/>
        </w:rPr>
        <w:t>nd</w:t>
      </w:r>
      <w:r w:rsidR="002E6E27">
        <w:rPr>
          <w:rFonts w:cstheme="minorHAnsi"/>
        </w:rPr>
        <w:t xml:space="preserve"> walking leg of a male (upper panels) and a female (lower panels).</w:t>
      </w:r>
      <w:r w:rsidR="00126D08" w:rsidRPr="0046158D">
        <w:rPr>
          <w:rFonts w:cstheme="minorHAnsi"/>
          <w:b/>
        </w:rPr>
        <w:t xml:space="preserve"> B </w:t>
      </w:r>
      <w:r w:rsidR="00126D08" w:rsidRPr="0046158D">
        <w:rPr>
          <w:rFonts w:cstheme="minorHAnsi"/>
        </w:rPr>
        <w:t>3</w:t>
      </w:r>
      <w:r w:rsidR="00126D08" w:rsidRPr="0046158D">
        <w:rPr>
          <w:rFonts w:cstheme="minorHAnsi"/>
          <w:vertAlign w:val="superscript"/>
        </w:rPr>
        <w:t>rd</w:t>
      </w:r>
      <w:r w:rsidR="002E6E27">
        <w:rPr>
          <w:rFonts w:cstheme="minorHAnsi"/>
        </w:rPr>
        <w:t xml:space="preserve"> walking leg of a male (upper panels) and a female (lower panels).</w:t>
      </w:r>
      <w:r w:rsidR="00126D08" w:rsidRPr="0046158D">
        <w:rPr>
          <w:rFonts w:cstheme="minorHAnsi"/>
          <w:b/>
        </w:rPr>
        <w:t xml:space="preserve"> C </w:t>
      </w:r>
      <w:r w:rsidR="00126D08" w:rsidRPr="0046158D">
        <w:rPr>
          <w:rFonts w:cstheme="minorHAnsi"/>
        </w:rPr>
        <w:t>4</w:t>
      </w:r>
      <w:r w:rsidR="00126D08" w:rsidRPr="0046158D">
        <w:rPr>
          <w:rFonts w:cstheme="minorHAnsi"/>
          <w:vertAlign w:val="superscript"/>
        </w:rPr>
        <w:t>th</w:t>
      </w:r>
      <w:r w:rsidRPr="0046158D">
        <w:rPr>
          <w:rFonts w:cstheme="minorHAnsi"/>
        </w:rPr>
        <w:t xml:space="preserve"> walking leg (hind leg) of a male (upper panels) and a female (lower panels). Each panel shows four perspectives from top to bottom: dorsal, prolateral, ventral, and retrolateral. Notably, wall-pore sensilla are present only in males. Scale bars: 1 mm.</w:t>
      </w:r>
    </w:p>
    <w:p w:rsidR="00DC781E" w:rsidRDefault="00DC781E" w:rsidP="0046158D">
      <w:pPr>
        <w:spacing w:line="480" w:lineRule="auto"/>
        <w:jc w:val="both"/>
        <w:rPr>
          <w:rFonts w:cstheme="minorHAnsi"/>
        </w:rPr>
      </w:pPr>
    </w:p>
    <w:p w:rsidR="00DC781E" w:rsidRPr="0046158D" w:rsidRDefault="00DC781E" w:rsidP="0046158D">
      <w:pPr>
        <w:spacing w:line="480" w:lineRule="auto"/>
        <w:jc w:val="both"/>
        <w:rPr>
          <w:rFonts w:cstheme="minorHAnsi"/>
        </w:rPr>
      </w:pPr>
    </w:p>
    <w:p w:rsidR="00C042E6" w:rsidRPr="005509AF" w:rsidRDefault="00D92903" w:rsidP="00054638">
      <w:pPr>
        <w:jc w:val="both"/>
      </w:pPr>
      <w:r w:rsidRPr="00676344">
        <w:rPr>
          <w:rFonts w:ascii="Arial" w:hAnsi="Arial" w:cs="Arial"/>
          <w:noProof/>
          <w:lang w:val="de-DE" w:eastAsia="de-DE"/>
        </w:rPr>
        <w:drawing>
          <wp:inline distT="0" distB="0" distL="0" distR="0">
            <wp:extent cx="5495925" cy="339099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531731" cy="3413090"/>
                    </a:xfrm>
                    <a:prstGeom prst="rect">
                      <a:avLst/>
                    </a:prstGeom>
                    <a:noFill/>
                  </pic:spPr>
                </pic:pic>
              </a:graphicData>
            </a:graphic>
          </wp:inline>
        </w:drawing>
      </w:r>
    </w:p>
    <w:p w:rsidR="00740545" w:rsidRPr="0046158D" w:rsidRDefault="00372C23" w:rsidP="0046158D">
      <w:pPr>
        <w:spacing w:line="480" w:lineRule="auto"/>
        <w:jc w:val="both"/>
        <w:rPr>
          <w:rFonts w:cstheme="minorHAnsi"/>
        </w:rPr>
      </w:pPr>
      <w:r w:rsidRPr="0046158D">
        <w:rPr>
          <w:rFonts w:cstheme="minorHAnsi"/>
          <w:b/>
        </w:rPr>
        <w:t xml:space="preserve">Figure S2: Number and distribution of chemosensilla on the appendages of a male and a female </w:t>
      </w:r>
      <w:r w:rsidR="00054638" w:rsidRPr="0046158D">
        <w:rPr>
          <w:rFonts w:cstheme="minorHAnsi"/>
          <w:b/>
          <w:i/>
          <w:iCs/>
        </w:rPr>
        <w:t>Pisaura mirabilis.</w:t>
      </w:r>
      <w:r w:rsidR="00054638" w:rsidRPr="0046158D">
        <w:rPr>
          <w:rFonts w:cstheme="minorHAnsi"/>
        </w:rPr>
        <w:t xml:space="preserve"> </w:t>
      </w:r>
      <w:r w:rsidR="002E6E27">
        <w:rPr>
          <w:rFonts w:cstheme="minorHAnsi"/>
          <w:b/>
        </w:rPr>
        <w:t>A</w:t>
      </w:r>
      <w:r w:rsidRPr="0046158D">
        <w:rPr>
          <w:rFonts w:cstheme="minorHAnsi"/>
        </w:rPr>
        <w:t xml:space="preserve"> Number and distribution of tip-pore sensilla on the appendages</w:t>
      </w:r>
      <w:r w:rsidR="004A4D1B" w:rsidRPr="0046158D">
        <w:rPr>
          <w:rFonts w:cstheme="minorHAnsi"/>
          <w:b/>
        </w:rPr>
        <w:t xml:space="preserve"> </w:t>
      </w:r>
      <w:r w:rsidR="004A4D1B" w:rsidRPr="0046158D">
        <w:rPr>
          <w:rFonts w:cstheme="minorHAnsi"/>
        </w:rPr>
        <w:t>of</w:t>
      </w:r>
      <w:r w:rsidR="004A4D1B" w:rsidRPr="0046158D">
        <w:rPr>
          <w:rFonts w:cstheme="minorHAnsi"/>
          <w:b/>
        </w:rPr>
        <w:t xml:space="preserve"> </w:t>
      </w:r>
      <w:r w:rsidRPr="0046158D">
        <w:rPr>
          <w:rFonts w:cstheme="minorHAnsi"/>
        </w:rPr>
        <w:t xml:space="preserve">a male and </w:t>
      </w:r>
      <w:r w:rsidR="002E6E27">
        <w:rPr>
          <w:rFonts w:cstheme="minorHAnsi"/>
          <w:b/>
        </w:rPr>
        <w:t>B</w:t>
      </w:r>
      <w:r w:rsidR="00054638" w:rsidRPr="0046158D">
        <w:rPr>
          <w:rFonts w:cstheme="minorHAnsi"/>
        </w:rPr>
        <w:t xml:space="preserve"> a female. Note that there is no metatarsus in the pedipalp. </w:t>
      </w:r>
      <w:r w:rsidR="002E6E27">
        <w:rPr>
          <w:rFonts w:cstheme="minorHAnsi"/>
          <w:b/>
        </w:rPr>
        <w:t>C</w:t>
      </w:r>
      <w:r w:rsidR="005402A2" w:rsidRPr="0046158D">
        <w:rPr>
          <w:rFonts w:cstheme="minorHAnsi"/>
        </w:rPr>
        <w:t xml:space="preserve"> Comparison of the number of tip-pore sensilla on the appendages of a male and a female. </w:t>
      </w:r>
      <w:r w:rsidR="009848D3" w:rsidRPr="0046158D">
        <w:rPr>
          <w:rFonts w:cstheme="minorHAnsi"/>
          <w:b/>
          <w:bCs/>
        </w:rPr>
        <w:t xml:space="preserve">D </w:t>
      </w:r>
      <w:r w:rsidR="008775AF" w:rsidRPr="0046158D">
        <w:rPr>
          <w:rFonts w:cstheme="minorHAnsi"/>
        </w:rPr>
        <w:t xml:space="preserve">Number and distribution of wall-pore sensilla on the segments of walking legs of a male. </w:t>
      </w:r>
      <w:r w:rsidR="00D92903">
        <w:rPr>
          <w:rFonts w:cs="Calibri"/>
        </w:rPr>
        <w:t>The labels</w:t>
      </w:r>
      <w:r w:rsidR="008775AF" w:rsidRPr="0046158D">
        <w:rPr>
          <w:rFonts w:cstheme="minorHAnsi"/>
        </w:rPr>
        <w:t xml:space="preserve"> WL I-WL IV represent the first to fourth walking legs. Note that wall-pore sensilla are absent on the pedipalp</w:t>
      </w:r>
      <w:r w:rsidR="00D92903">
        <w:rPr>
          <w:rFonts w:cs="Calibri"/>
        </w:rPr>
        <w:t>,</w:t>
      </w:r>
      <w:r w:rsidR="008775AF" w:rsidRPr="0046158D">
        <w:rPr>
          <w:rFonts w:cstheme="minorHAnsi"/>
        </w:rPr>
        <w:t xml:space="preserve"> and none </w:t>
      </w:r>
      <w:r w:rsidR="00D92903">
        <w:rPr>
          <w:rFonts w:cs="Calibri"/>
        </w:rPr>
        <w:t xml:space="preserve">are present </w:t>
      </w:r>
      <w:r w:rsidR="008775AF" w:rsidRPr="0046158D">
        <w:rPr>
          <w:rFonts w:cstheme="minorHAnsi"/>
        </w:rPr>
        <w:t xml:space="preserve">on </w:t>
      </w:r>
      <w:r w:rsidR="00D92903">
        <w:rPr>
          <w:rFonts w:cs="Calibri"/>
        </w:rPr>
        <w:t xml:space="preserve">the </w:t>
      </w:r>
      <w:r w:rsidR="008775AF" w:rsidRPr="0046158D">
        <w:rPr>
          <w:rFonts w:cstheme="minorHAnsi"/>
        </w:rPr>
        <w:t xml:space="preserve">metatarsus </w:t>
      </w:r>
      <w:r w:rsidR="00D92903">
        <w:rPr>
          <w:rFonts w:cs="Calibri"/>
        </w:rPr>
        <w:t>or</w:t>
      </w:r>
      <w:r w:rsidR="008775AF" w:rsidRPr="0046158D">
        <w:rPr>
          <w:rFonts w:cstheme="minorHAnsi"/>
        </w:rPr>
        <w:t xml:space="preserve"> tarsus. See also Figure S1.</w:t>
      </w:r>
    </w:p>
    <w:p w:rsidR="00B324C7" w:rsidRPr="005509AF" w:rsidRDefault="00D92903" w:rsidP="00B324C7">
      <w:pPr>
        <w:jc w:val="center"/>
      </w:pPr>
      <w:r w:rsidRPr="00676344">
        <w:rPr>
          <w:rFonts w:ascii="Arial" w:hAnsi="Arial" w:cs="Arial"/>
          <w:noProof/>
          <w:lang w:val="de-DE" w:eastAsia="de-DE"/>
        </w:rPr>
        <w:lastRenderedPageBreak/>
        <w:drawing>
          <wp:inline distT="0" distB="0" distL="0" distR="0">
            <wp:extent cx="5286375" cy="2335294"/>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403msf-0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57437" cy="2366686"/>
                    </a:xfrm>
                    <a:prstGeom prst="rect">
                      <a:avLst/>
                    </a:prstGeom>
                  </pic:spPr>
                </pic:pic>
              </a:graphicData>
            </a:graphic>
          </wp:inline>
        </w:drawing>
      </w:r>
    </w:p>
    <w:p w:rsidR="00740545" w:rsidRDefault="00D92903" w:rsidP="0046158D">
      <w:pPr>
        <w:spacing w:line="480" w:lineRule="auto"/>
        <w:jc w:val="both"/>
        <w:rPr>
          <w:rFonts w:cstheme="minorHAnsi"/>
        </w:rPr>
      </w:pPr>
      <w:r w:rsidRPr="0046158D">
        <w:rPr>
          <w:rFonts w:cstheme="minorHAnsi"/>
          <w:b/>
          <w:bCs/>
        </w:rPr>
        <w:t xml:space="preserve">Figure S3. </w:t>
      </w:r>
      <w:r>
        <w:rPr>
          <w:rFonts w:cs="Calibri"/>
          <w:b/>
          <w:bCs/>
        </w:rPr>
        <w:t>The wall</w:t>
      </w:r>
      <w:r w:rsidRPr="0046158D">
        <w:rPr>
          <w:rFonts w:cstheme="minorHAnsi"/>
          <w:b/>
          <w:bCs/>
        </w:rPr>
        <w:t xml:space="preserve">-pore sensilla occur exclusively in adult male </w:t>
      </w:r>
      <w:r w:rsidRPr="0046158D">
        <w:rPr>
          <w:rFonts w:cstheme="minorHAnsi"/>
          <w:b/>
          <w:bCs/>
          <w:i/>
          <w:iCs/>
        </w:rPr>
        <w:t>Pisaura mirabilis</w:t>
      </w:r>
      <w:r w:rsidR="005402A2" w:rsidRPr="0046158D">
        <w:rPr>
          <w:rFonts w:cstheme="minorHAnsi"/>
          <w:b/>
        </w:rPr>
        <w:t>.</w:t>
      </w:r>
      <w:r w:rsidR="009D4182" w:rsidRPr="0046158D">
        <w:rPr>
          <w:rFonts w:cstheme="minorHAnsi"/>
        </w:rPr>
        <w:t xml:space="preserve"> SEM overview of the femur region of the first walking leg of </w:t>
      </w:r>
      <w:r w:rsidR="002E6E27">
        <w:rPr>
          <w:rFonts w:cstheme="minorHAnsi"/>
          <w:b/>
        </w:rPr>
        <w:t>A</w:t>
      </w:r>
      <w:r w:rsidR="009D4182" w:rsidRPr="0046158D">
        <w:rPr>
          <w:rFonts w:cstheme="minorHAnsi"/>
        </w:rPr>
        <w:t xml:space="preserve"> an adult male, </w:t>
      </w:r>
      <w:r w:rsidR="002E6E27">
        <w:rPr>
          <w:rFonts w:cstheme="minorHAnsi"/>
          <w:b/>
        </w:rPr>
        <w:t>B</w:t>
      </w:r>
      <w:r w:rsidR="009D4182" w:rsidRPr="0046158D">
        <w:rPr>
          <w:rFonts w:cstheme="minorHAnsi"/>
        </w:rPr>
        <w:t xml:space="preserve"> a subadult male, and </w:t>
      </w:r>
      <w:r w:rsidR="002E6E27">
        <w:rPr>
          <w:rFonts w:cstheme="minorHAnsi"/>
          <w:b/>
        </w:rPr>
        <w:t>C</w:t>
      </w:r>
      <w:r w:rsidRPr="0046158D">
        <w:rPr>
          <w:rFonts w:cstheme="minorHAnsi"/>
        </w:rPr>
        <w:t xml:space="preserve"> an adult female. Five wall-pore sensilla are marked with white arrows on the femur of the adult male.</w:t>
      </w:r>
    </w:p>
    <w:p w:rsidR="00DC781E" w:rsidRDefault="00DC781E" w:rsidP="0046158D">
      <w:pPr>
        <w:spacing w:line="480" w:lineRule="auto"/>
        <w:jc w:val="both"/>
        <w:rPr>
          <w:rFonts w:cstheme="minorHAnsi"/>
        </w:rPr>
      </w:pPr>
    </w:p>
    <w:p w:rsidR="00DC781E" w:rsidRPr="0046158D" w:rsidRDefault="00DC781E" w:rsidP="0046158D">
      <w:pPr>
        <w:spacing w:line="480" w:lineRule="auto"/>
        <w:jc w:val="both"/>
        <w:rPr>
          <w:rFonts w:cstheme="minorHAnsi"/>
        </w:rPr>
      </w:pPr>
    </w:p>
    <w:p w:rsidR="007D1FC1" w:rsidRPr="005509AF" w:rsidRDefault="00D92903" w:rsidP="007D1FC1">
      <w:pPr>
        <w:jc w:val="center"/>
      </w:pPr>
      <w:r w:rsidRPr="00676344">
        <w:rPr>
          <w:rFonts w:ascii="Arial" w:hAnsi="Arial" w:cs="Arial"/>
          <w:noProof/>
          <w:lang w:val="de-DE" w:eastAsia="de-DE"/>
        </w:rPr>
        <w:drawing>
          <wp:inline distT="0" distB="0" distL="0" distR="0">
            <wp:extent cx="3714750" cy="2224032"/>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3"/>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3748564" cy="2244276"/>
                    </a:xfrm>
                    <a:prstGeom prst="rect">
                      <a:avLst/>
                    </a:prstGeom>
                    <a:noFill/>
                  </pic:spPr>
                </pic:pic>
              </a:graphicData>
            </a:graphic>
          </wp:inline>
        </w:drawing>
      </w:r>
    </w:p>
    <w:p w:rsidR="00236D44" w:rsidRDefault="004E5BCF" w:rsidP="0046158D">
      <w:pPr>
        <w:spacing w:line="480" w:lineRule="auto"/>
        <w:jc w:val="both"/>
        <w:rPr>
          <w:rFonts w:cstheme="minorHAnsi"/>
        </w:rPr>
      </w:pPr>
      <w:r w:rsidRPr="0046158D">
        <w:rPr>
          <w:rFonts w:cstheme="minorHAnsi"/>
          <w:b/>
        </w:rPr>
        <w:t>Figure S4</w:t>
      </w:r>
      <w:r w:rsidR="00D92903" w:rsidRPr="0046158D">
        <w:rPr>
          <w:rFonts w:cstheme="minorHAnsi"/>
        </w:rPr>
        <w:t>:</w:t>
      </w:r>
      <w:r w:rsidR="00D92903" w:rsidRPr="0046158D">
        <w:rPr>
          <w:rFonts w:cstheme="minorHAnsi"/>
          <w:b/>
        </w:rPr>
        <w:t xml:space="preserve"> Comparison of </w:t>
      </w:r>
      <w:r w:rsidR="00D92903">
        <w:rPr>
          <w:rFonts w:cs="Calibri"/>
          <w:b/>
        </w:rPr>
        <w:t xml:space="preserve">the </w:t>
      </w:r>
      <w:r w:rsidR="00D92903" w:rsidRPr="0046158D">
        <w:rPr>
          <w:rFonts w:cstheme="minorHAnsi"/>
          <w:b/>
        </w:rPr>
        <w:t xml:space="preserve">total number of chemosensilla (tip-pore and wall-pore sensilla) between the cursorial spider </w:t>
      </w:r>
      <w:r w:rsidR="00D92903" w:rsidRPr="0046158D">
        <w:rPr>
          <w:rFonts w:cstheme="minorHAnsi"/>
          <w:b/>
          <w:i/>
          <w:iCs/>
        </w:rPr>
        <w:t>Pisaura mirabilis</w:t>
      </w:r>
      <w:r w:rsidR="00D92903" w:rsidRPr="0046158D">
        <w:rPr>
          <w:rFonts w:cstheme="minorHAnsi"/>
          <w:b/>
        </w:rPr>
        <w:t xml:space="preserve"> (N=1) and the orb-weaver </w:t>
      </w:r>
      <w:r w:rsidR="00E16C45" w:rsidRPr="0046158D">
        <w:rPr>
          <w:rFonts w:cstheme="minorHAnsi"/>
          <w:b/>
          <w:i/>
          <w:iCs/>
        </w:rPr>
        <w:t xml:space="preserve">Argiope bruennichi </w:t>
      </w:r>
      <w:r w:rsidR="001E37ED" w:rsidRPr="0046158D">
        <w:rPr>
          <w:rFonts w:cstheme="minorHAnsi"/>
          <w:b/>
        </w:rPr>
        <w:t xml:space="preserve">(N=1). </w:t>
      </w:r>
      <w:r w:rsidR="001E37ED" w:rsidRPr="0046158D">
        <w:rPr>
          <w:rFonts w:cstheme="minorHAnsi"/>
        </w:rPr>
        <w:t>Notably, wall-pore sensilla are present only in males.</w:t>
      </w:r>
    </w:p>
    <w:p w:rsidR="00DC781E" w:rsidRDefault="00DC781E" w:rsidP="0046158D">
      <w:pPr>
        <w:spacing w:line="480" w:lineRule="auto"/>
        <w:jc w:val="both"/>
        <w:rPr>
          <w:rFonts w:cstheme="minorHAnsi"/>
          <w:b/>
        </w:rPr>
      </w:pPr>
    </w:p>
    <w:p w:rsidR="00DC781E" w:rsidRPr="0046158D" w:rsidRDefault="00DC781E" w:rsidP="0046158D">
      <w:pPr>
        <w:spacing w:line="480" w:lineRule="auto"/>
        <w:jc w:val="both"/>
        <w:rPr>
          <w:rFonts w:cstheme="minorHAnsi"/>
          <w:b/>
        </w:rPr>
      </w:pPr>
    </w:p>
    <w:tbl>
      <w:tblPr>
        <w:tblStyle w:val="Tabellenraster"/>
        <w:tblpPr w:leftFromText="141" w:rightFromText="141" w:vertAnchor="text" w:horzAnchor="margin" w:tblpY="231"/>
        <w:tblW w:w="9625" w:type="dxa"/>
        <w:tblLook w:val="04A0" w:firstRow="1" w:lastRow="0" w:firstColumn="1" w:lastColumn="0" w:noHBand="0" w:noVBand="1"/>
      </w:tblPr>
      <w:tblGrid>
        <w:gridCol w:w="1008"/>
        <w:gridCol w:w="332"/>
        <w:gridCol w:w="1194"/>
        <w:gridCol w:w="1194"/>
        <w:gridCol w:w="927"/>
        <w:gridCol w:w="927"/>
        <w:gridCol w:w="1105"/>
        <w:gridCol w:w="1105"/>
        <w:gridCol w:w="1194"/>
        <w:gridCol w:w="1061"/>
      </w:tblGrid>
      <w:tr w:rsidR="00C73010" w:rsidTr="00306109">
        <w:trPr>
          <w:trHeight w:val="288"/>
        </w:trPr>
        <w:tc>
          <w:tcPr>
            <w:tcW w:w="958"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hAnsi="Arial" w:cs="Arial"/>
                <w:b/>
                <w:sz w:val="16"/>
                <w:szCs w:val="16"/>
              </w:rPr>
            </w:pPr>
            <w:r w:rsidRPr="005509AF">
              <w:rPr>
                <w:rFonts w:ascii="Arial" w:hAnsi="Arial" w:cs="Arial"/>
                <w:b/>
                <w:sz w:val="16"/>
                <w:szCs w:val="16"/>
              </w:rPr>
              <w:lastRenderedPageBreak/>
              <w:t>Leg</w:t>
            </w:r>
          </w:p>
          <w:p w:rsidR="00006DC9" w:rsidRPr="005509AF" w:rsidRDefault="00D92903" w:rsidP="006505DE">
            <w:pPr>
              <w:jc w:val="center"/>
              <w:rPr>
                <w:rFonts w:ascii="Arial" w:hAnsi="Arial" w:cs="Arial"/>
                <w:b/>
                <w:sz w:val="16"/>
                <w:szCs w:val="16"/>
              </w:rPr>
            </w:pPr>
            <w:r w:rsidRPr="005509AF">
              <w:rPr>
                <w:rFonts w:ascii="Arial" w:hAnsi="Arial" w:cs="Arial"/>
                <w:b/>
                <w:sz w:val="16"/>
                <w:szCs w:val="16"/>
              </w:rPr>
              <w:t>segment</w:t>
            </w:r>
          </w:p>
        </w:tc>
        <w:tc>
          <w:tcPr>
            <w:tcW w:w="513"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hAnsi="Arial" w:cs="Arial"/>
                <w:b/>
                <w:sz w:val="16"/>
                <w:szCs w:val="16"/>
              </w:rPr>
            </w:pPr>
            <w:r w:rsidRPr="005509AF">
              <w:rPr>
                <w:rFonts w:ascii="Arial" w:hAnsi="Arial" w:cs="Arial"/>
                <w:b/>
                <w:bCs/>
                <w:sz w:val="16"/>
                <w:szCs w:val="16"/>
              </w:rPr>
              <w:t>N</w:t>
            </w:r>
          </w:p>
        </w:tc>
        <w:tc>
          <w:tcPr>
            <w:tcW w:w="2253" w:type="dxa"/>
            <w:gridSpan w:val="2"/>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85717" w:rsidP="006505DE">
            <w:pPr>
              <w:jc w:val="center"/>
              <w:rPr>
                <w:rFonts w:ascii="Arial" w:hAnsi="Arial" w:cs="Arial"/>
                <w:b/>
                <w:sz w:val="16"/>
                <w:szCs w:val="16"/>
              </w:rPr>
            </w:pPr>
            <w:r w:rsidRPr="005509AF">
              <w:rPr>
                <w:rFonts w:ascii="Arial" w:hAnsi="Arial" w:cs="Arial"/>
                <w:b/>
                <w:bCs/>
                <w:sz w:val="16"/>
                <w:szCs w:val="16"/>
              </w:rPr>
              <w:t xml:space="preserve">Sensillum length </w:t>
            </w:r>
            <w:r w:rsidRPr="005509AF">
              <w:rPr>
                <w:rFonts w:ascii="Arial" w:hAnsi="Arial" w:cs="Arial"/>
                <w:b/>
                <w:bCs/>
                <w:sz w:val="16"/>
                <w:szCs w:val="16"/>
              </w:rPr>
              <w:br/>
              <w:t>(µm)</w:t>
            </w:r>
          </w:p>
        </w:tc>
        <w:tc>
          <w:tcPr>
            <w:tcW w:w="1742" w:type="dxa"/>
            <w:gridSpan w:val="2"/>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85717" w:rsidP="00A52E37">
            <w:pPr>
              <w:jc w:val="center"/>
              <w:rPr>
                <w:rFonts w:ascii="Arial" w:hAnsi="Arial" w:cs="Arial"/>
                <w:b/>
                <w:bCs/>
                <w:sz w:val="16"/>
                <w:szCs w:val="16"/>
              </w:rPr>
            </w:pPr>
            <w:r w:rsidRPr="005509AF">
              <w:rPr>
                <w:rFonts w:ascii="Arial" w:hAnsi="Arial" w:cs="Arial"/>
                <w:b/>
                <w:bCs/>
                <w:sz w:val="16"/>
                <w:szCs w:val="16"/>
              </w:rPr>
              <w:t>Sensillum shaft diameter (µm)</w:t>
            </w:r>
          </w:p>
        </w:tc>
        <w:tc>
          <w:tcPr>
            <w:tcW w:w="2060" w:type="dxa"/>
            <w:gridSpan w:val="2"/>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hAnsi="Arial" w:cs="Arial"/>
                <w:b/>
                <w:sz w:val="16"/>
                <w:szCs w:val="16"/>
              </w:rPr>
            </w:pPr>
            <w:r w:rsidRPr="005509AF">
              <w:rPr>
                <w:rFonts w:ascii="Arial" w:hAnsi="Arial" w:cs="Arial"/>
                <w:b/>
                <w:bCs/>
                <w:sz w:val="16"/>
                <w:szCs w:val="16"/>
              </w:rPr>
              <w:t>Sensillum insertion angle</w:t>
            </w:r>
          </w:p>
          <w:p w:rsidR="000B1F87" w:rsidRPr="005509AF" w:rsidRDefault="00D92903" w:rsidP="006505DE">
            <w:pPr>
              <w:jc w:val="center"/>
              <w:rPr>
                <w:rFonts w:ascii="Arial" w:hAnsi="Arial" w:cs="Arial"/>
                <w:b/>
                <w:sz w:val="16"/>
                <w:szCs w:val="16"/>
              </w:rPr>
            </w:pPr>
            <w:r w:rsidRPr="005509AF">
              <w:rPr>
                <w:rFonts w:ascii="Arial" w:hAnsi="Arial" w:cs="Arial"/>
                <w:b/>
                <w:sz w:val="16"/>
                <w:szCs w:val="16"/>
              </w:rPr>
              <w:t>(</w:t>
            </w:r>
            <w:r w:rsidRPr="005509AF">
              <w:rPr>
                <w:rFonts w:ascii="Arial" w:hAnsi="Arial" w:cs="Arial"/>
                <w:b/>
                <w:color w:val="4D5156"/>
                <w:sz w:val="16"/>
                <w:szCs w:val="16"/>
                <w:shd w:val="clear" w:color="auto" w:fill="FFFFFF"/>
              </w:rPr>
              <w:t>°)</w:t>
            </w:r>
          </w:p>
        </w:tc>
        <w:tc>
          <w:tcPr>
            <w:tcW w:w="2099" w:type="dxa"/>
            <w:gridSpan w:val="2"/>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85717" w:rsidP="006505DE">
            <w:pPr>
              <w:jc w:val="center"/>
              <w:rPr>
                <w:rFonts w:ascii="Arial" w:hAnsi="Arial" w:cs="Arial"/>
                <w:b/>
                <w:sz w:val="16"/>
                <w:szCs w:val="16"/>
              </w:rPr>
            </w:pPr>
            <w:r w:rsidRPr="005509AF">
              <w:rPr>
                <w:rFonts w:ascii="Arial" w:hAnsi="Arial" w:cs="Arial"/>
                <w:b/>
                <w:bCs/>
                <w:sz w:val="16"/>
                <w:szCs w:val="16"/>
              </w:rPr>
              <w:t xml:space="preserve">Pore diameter </w:t>
            </w:r>
            <w:r w:rsidRPr="005509AF">
              <w:rPr>
                <w:rFonts w:ascii="Arial" w:hAnsi="Arial" w:cs="Arial"/>
                <w:b/>
                <w:bCs/>
                <w:sz w:val="16"/>
                <w:szCs w:val="16"/>
              </w:rPr>
              <w:br/>
              <w:t>(nm)</w:t>
            </w:r>
          </w:p>
        </w:tc>
      </w:tr>
      <w:tr w:rsidR="00C73010" w:rsidTr="00306109">
        <w:trPr>
          <w:trHeight w:val="288"/>
        </w:trPr>
        <w:tc>
          <w:tcPr>
            <w:tcW w:w="958"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0B1F87" w:rsidP="006505DE">
            <w:pPr>
              <w:jc w:val="center"/>
              <w:rPr>
                <w:rFonts w:ascii="Arial" w:hAnsi="Arial" w:cs="Arial"/>
                <w:sz w:val="16"/>
                <w:szCs w:val="16"/>
              </w:rPr>
            </w:pPr>
          </w:p>
        </w:tc>
        <w:tc>
          <w:tcPr>
            <w:tcW w:w="513"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0B1F87" w:rsidP="006505DE">
            <w:pPr>
              <w:jc w:val="center"/>
              <w:rPr>
                <w:rFonts w:ascii="Arial" w:hAnsi="Arial" w:cs="Arial"/>
                <w:sz w:val="16"/>
                <w:szCs w:val="16"/>
              </w:rPr>
            </w:pPr>
          </w:p>
        </w:tc>
        <w:tc>
          <w:tcPr>
            <w:tcW w:w="1142" w:type="dxa"/>
            <w:tcBorders>
              <w:top w:val="single" w:sz="12" w:space="0" w:color="auto"/>
              <w:left w:val="single" w:sz="12" w:space="0" w:color="auto"/>
              <w:bottom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Male</w:t>
            </w:r>
          </w:p>
        </w:tc>
        <w:tc>
          <w:tcPr>
            <w:tcW w:w="1111" w:type="dxa"/>
            <w:tcBorders>
              <w:top w:val="single" w:sz="12" w:space="0" w:color="auto"/>
              <w:bottom w:val="single" w:sz="12" w:space="0" w:color="auto"/>
              <w:right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Female</w:t>
            </w:r>
          </w:p>
        </w:tc>
        <w:tc>
          <w:tcPr>
            <w:tcW w:w="874" w:type="dxa"/>
            <w:tcBorders>
              <w:top w:val="single" w:sz="12" w:space="0" w:color="auto"/>
              <w:left w:val="single" w:sz="12" w:space="0" w:color="auto"/>
              <w:bottom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Male</w:t>
            </w:r>
          </w:p>
        </w:tc>
        <w:tc>
          <w:tcPr>
            <w:tcW w:w="868" w:type="dxa"/>
            <w:tcBorders>
              <w:top w:val="single" w:sz="12" w:space="0" w:color="auto"/>
              <w:bottom w:val="single" w:sz="12" w:space="0" w:color="auto"/>
              <w:right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Female</w:t>
            </w:r>
          </w:p>
        </w:tc>
        <w:tc>
          <w:tcPr>
            <w:tcW w:w="1030" w:type="dxa"/>
            <w:tcBorders>
              <w:top w:val="single" w:sz="12" w:space="0" w:color="auto"/>
              <w:left w:val="single" w:sz="12" w:space="0" w:color="auto"/>
              <w:bottom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Male</w:t>
            </w:r>
          </w:p>
        </w:tc>
        <w:tc>
          <w:tcPr>
            <w:tcW w:w="1030" w:type="dxa"/>
            <w:tcBorders>
              <w:top w:val="single" w:sz="12" w:space="0" w:color="auto"/>
              <w:bottom w:val="single" w:sz="12" w:space="0" w:color="auto"/>
              <w:right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Female</w:t>
            </w:r>
          </w:p>
        </w:tc>
        <w:tc>
          <w:tcPr>
            <w:tcW w:w="1111" w:type="dxa"/>
            <w:tcBorders>
              <w:top w:val="single" w:sz="12" w:space="0" w:color="auto"/>
              <w:left w:val="single" w:sz="12" w:space="0" w:color="auto"/>
              <w:bottom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Male</w:t>
            </w:r>
          </w:p>
        </w:tc>
        <w:tc>
          <w:tcPr>
            <w:tcW w:w="988" w:type="dxa"/>
            <w:tcBorders>
              <w:top w:val="single" w:sz="12" w:space="0" w:color="auto"/>
              <w:bottom w:val="single" w:sz="12" w:space="0" w:color="auto"/>
              <w:right w:val="single" w:sz="12" w:space="0" w:color="auto"/>
            </w:tcBorders>
            <w:shd w:val="clear" w:color="auto" w:fill="E7E6E6" w:themeFill="background2"/>
            <w:tcMar>
              <w:top w:w="28" w:type="dxa"/>
              <w:bottom w:w="28" w:type="dxa"/>
            </w:tcMar>
            <w:vAlign w:val="center"/>
          </w:tcPr>
          <w:p w:rsidR="000B1F87" w:rsidRPr="005509AF" w:rsidRDefault="00D92903" w:rsidP="006505DE">
            <w:pPr>
              <w:jc w:val="center"/>
              <w:rPr>
                <w:rFonts w:ascii="Arial" w:hAnsi="Arial" w:cs="Arial"/>
                <w:sz w:val="16"/>
                <w:szCs w:val="16"/>
              </w:rPr>
            </w:pPr>
            <w:r w:rsidRPr="005509AF">
              <w:rPr>
                <w:rFonts w:ascii="Arial" w:hAnsi="Arial" w:cs="Arial"/>
                <w:b/>
                <w:bCs/>
                <w:sz w:val="16"/>
                <w:szCs w:val="16"/>
              </w:rPr>
              <w:t>Female</w:t>
            </w:r>
          </w:p>
        </w:tc>
      </w:tr>
      <w:tr w:rsidR="00C73010" w:rsidTr="00306109">
        <w:trPr>
          <w:trHeight w:val="288"/>
        </w:trPr>
        <w:tc>
          <w:tcPr>
            <w:tcW w:w="958" w:type="dxa"/>
            <w:tcBorders>
              <w:top w:val="single" w:sz="12" w:space="0" w:color="auto"/>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Femur</w:t>
            </w:r>
          </w:p>
        </w:tc>
        <w:tc>
          <w:tcPr>
            <w:tcW w:w="513" w:type="dxa"/>
            <w:tcBorders>
              <w:top w:val="single" w:sz="12" w:space="0" w:color="auto"/>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w:t>
            </w:r>
          </w:p>
        </w:tc>
        <w:tc>
          <w:tcPr>
            <w:tcW w:w="1142" w:type="dxa"/>
            <w:tcBorders>
              <w:top w:val="single" w:sz="12" w:space="0" w:color="auto"/>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180.57±40.46</w:t>
            </w:r>
          </w:p>
        </w:tc>
        <w:tc>
          <w:tcPr>
            <w:tcW w:w="1111" w:type="dxa"/>
            <w:tcBorders>
              <w:top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201.60±16.63</w:t>
            </w:r>
          </w:p>
        </w:tc>
        <w:tc>
          <w:tcPr>
            <w:tcW w:w="874" w:type="dxa"/>
            <w:tcBorders>
              <w:top w:val="single" w:sz="12" w:space="0" w:color="auto"/>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5.75±0.44</w:t>
            </w:r>
          </w:p>
        </w:tc>
        <w:tc>
          <w:tcPr>
            <w:tcW w:w="868" w:type="dxa"/>
            <w:tcBorders>
              <w:top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6.72±0.79</w:t>
            </w:r>
          </w:p>
        </w:tc>
        <w:tc>
          <w:tcPr>
            <w:tcW w:w="1030" w:type="dxa"/>
            <w:tcBorders>
              <w:top w:val="single" w:sz="12" w:space="0" w:color="auto"/>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63.68±09.90</w:t>
            </w:r>
          </w:p>
        </w:tc>
        <w:tc>
          <w:tcPr>
            <w:tcW w:w="1030" w:type="dxa"/>
            <w:tcBorders>
              <w:top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72.75±7.72</w:t>
            </w:r>
          </w:p>
        </w:tc>
        <w:tc>
          <w:tcPr>
            <w:tcW w:w="1111" w:type="dxa"/>
            <w:vMerge w:val="restart"/>
            <w:tcBorders>
              <w:top w:val="single" w:sz="12" w:space="0" w:color="auto"/>
              <w:left w:val="single" w:sz="12" w:space="0" w:color="auto"/>
            </w:tcBorders>
            <w:tcMar>
              <w:top w:w="28" w:type="dxa"/>
              <w:bottom w:w="28" w:type="dxa"/>
            </w:tcMar>
            <w:vAlign w:val="center"/>
          </w:tcPr>
          <w:p w:rsidR="00450A85" w:rsidRPr="005509AF" w:rsidRDefault="00D92903" w:rsidP="006505DE">
            <w:pPr>
              <w:jc w:val="center"/>
              <w:rPr>
                <w:rFonts w:ascii="Arial" w:hAnsi="Arial" w:cs="Arial"/>
                <w:sz w:val="16"/>
                <w:szCs w:val="16"/>
              </w:rPr>
            </w:pPr>
            <w:r w:rsidRPr="005509AF">
              <w:rPr>
                <w:rFonts w:ascii="Arial" w:hAnsi="Arial" w:cs="Arial"/>
                <w:sz w:val="16"/>
                <w:szCs w:val="16"/>
              </w:rPr>
              <w:t>N=10 pores</w:t>
            </w:r>
          </w:p>
        </w:tc>
        <w:tc>
          <w:tcPr>
            <w:tcW w:w="988" w:type="dxa"/>
            <w:vMerge w:val="restart"/>
            <w:tcBorders>
              <w:top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hAnsi="Arial" w:cs="Arial"/>
                <w:sz w:val="16"/>
                <w:szCs w:val="16"/>
              </w:rPr>
            </w:pPr>
            <w:r w:rsidRPr="005509AF">
              <w:rPr>
                <w:rFonts w:ascii="Arial" w:hAnsi="Arial" w:cs="Arial"/>
                <w:sz w:val="16"/>
                <w:szCs w:val="16"/>
              </w:rPr>
              <w:t>N=10 pores</w:t>
            </w:r>
          </w:p>
        </w:tc>
      </w:tr>
      <w:tr w:rsidR="00C73010" w:rsidTr="00306109">
        <w:trPr>
          <w:trHeight w:val="288"/>
        </w:trPr>
        <w:tc>
          <w:tcPr>
            <w:tcW w:w="958"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Patella</w:t>
            </w:r>
          </w:p>
        </w:tc>
        <w:tc>
          <w:tcPr>
            <w:tcW w:w="513"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w:t>
            </w:r>
          </w:p>
        </w:tc>
        <w:tc>
          <w:tcPr>
            <w:tcW w:w="1142"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143.17±20.55</w:t>
            </w:r>
          </w:p>
        </w:tc>
        <w:tc>
          <w:tcPr>
            <w:tcW w:w="1111"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136.12±17.30</w:t>
            </w:r>
          </w:p>
        </w:tc>
        <w:tc>
          <w:tcPr>
            <w:tcW w:w="874"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5.72±0.29</w:t>
            </w:r>
          </w:p>
        </w:tc>
        <w:tc>
          <w:tcPr>
            <w:tcW w:w="868"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6.05±0.24</w:t>
            </w:r>
          </w:p>
        </w:tc>
        <w:tc>
          <w:tcPr>
            <w:tcW w:w="1030"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51.32±13.74</w:t>
            </w:r>
          </w:p>
        </w:tc>
        <w:tc>
          <w:tcPr>
            <w:tcW w:w="1030"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71.18±7.27</w:t>
            </w:r>
          </w:p>
        </w:tc>
        <w:tc>
          <w:tcPr>
            <w:tcW w:w="1111" w:type="dxa"/>
            <w:vMerge/>
            <w:tcBorders>
              <w:lef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c>
          <w:tcPr>
            <w:tcW w:w="988" w:type="dxa"/>
            <w:vMerge/>
            <w:tcBorders>
              <w:righ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r>
      <w:tr w:rsidR="00C73010" w:rsidTr="00306109">
        <w:trPr>
          <w:trHeight w:val="288"/>
        </w:trPr>
        <w:tc>
          <w:tcPr>
            <w:tcW w:w="958"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Tibia</w:t>
            </w:r>
          </w:p>
        </w:tc>
        <w:tc>
          <w:tcPr>
            <w:tcW w:w="513"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w:t>
            </w:r>
          </w:p>
        </w:tc>
        <w:tc>
          <w:tcPr>
            <w:tcW w:w="1142"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202.85±31.03</w:t>
            </w:r>
          </w:p>
        </w:tc>
        <w:tc>
          <w:tcPr>
            <w:tcW w:w="1111"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230.07±22.09</w:t>
            </w:r>
          </w:p>
        </w:tc>
        <w:tc>
          <w:tcPr>
            <w:tcW w:w="874"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6.22±0.16</w:t>
            </w:r>
          </w:p>
        </w:tc>
        <w:tc>
          <w:tcPr>
            <w:tcW w:w="868"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6.47±0.98</w:t>
            </w:r>
          </w:p>
        </w:tc>
        <w:tc>
          <w:tcPr>
            <w:tcW w:w="1030"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48.81±07.95</w:t>
            </w:r>
          </w:p>
        </w:tc>
        <w:tc>
          <w:tcPr>
            <w:tcW w:w="1030"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56.57±2.22</w:t>
            </w:r>
          </w:p>
        </w:tc>
        <w:tc>
          <w:tcPr>
            <w:tcW w:w="1111" w:type="dxa"/>
            <w:vMerge/>
            <w:tcBorders>
              <w:lef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c>
          <w:tcPr>
            <w:tcW w:w="988" w:type="dxa"/>
            <w:vMerge/>
            <w:tcBorders>
              <w:righ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r>
      <w:tr w:rsidR="00C73010" w:rsidTr="00306109">
        <w:trPr>
          <w:trHeight w:val="288"/>
        </w:trPr>
        <w:tc>
          <w:tcPr>
            <w:tcW w:w="958"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Metatarsus</w:t>
            </w:r>
          </w:p>
        </w:tc>
        <w:tc>
          <w:tcPr>
            <w:tcW w:w="513" w:type="dxa"/>
            <w:tcBorders>
              <w:left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w:t>
            </w:r>
          </w:p>
        </w:tc>
        <w:tc>
          <w:tcPr>
            <w:tcW w:w="1142"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199.13±25.23</w:t>
            </w:r>
          </w:p>
        </w:tc>
        <w:tc>
          <w:tcPr>
            <w:tcW w:w="1111"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215.48±16.60</w:t>
            </w:r>
          </w:p>
        </w:tc>
        <w:tc>
          <w:tcPr>
            <w:tcW w:w="874"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6.85±0.71</w:t>
            </w:r>
          </w:p>
        </w:tc>
        <w:tc>
          <w:tcPr>
            <w:tcW w:w="868"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6.90±0.37</w:t>
            </w:r>
          </w:p>
        </w:tc>
        <w:tc>
          <w:tcPr>
            <w:tcW w:w="1030" w:type="dxa"/>
            <w:tcBorders>
              <w:lef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53.12±03.35</w:t>
            </w:r>
          </w:p>
        </w:tc>
        <w:tc>
          <w:tcPr>
            <w:tcW w:w="1030" w:type="dxa"/>
            <w:tcBorders>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59.13±1.96</w:t>
            </w:r>
          </w:p>
        </w:tc>
        <w:tc>
          <w:tcPr>
            <w:tcW w:w="1111" w:type="dxa"/>
            <w:vMerge/>
            <w:tcBorders>
              <w:lef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c>
          <w:tcPr>
            <w:tcW w:w="988" w:type="dxa"/>
            <w:vMerge/>
            <w:tcBorders>
              <w:righ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r>
      <w:tr w:rsidR="00C73010" w:rsidTr="00306109">
        <w:trPr>
          <w:trHeight w:val="288"/>
        </w:trPr>
        <w:tc>
          <w:tcPr>
            <w:tcW w:w="958" w:type="dxa"/>
            <w:tcBorders>
              <w:left w:val="single" w:sz="12" w:space="0" w:color="auto"/>
              <w:bottom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Tarsus</w:t>
            </w:r>
          </w:p>
        </w:tc>
        <w:tc>
          <w:tcPr>
            <w:tcW w:w="513" w:type="dxa"/>
            <w:tcBorders>
              <w:left w:val="single" w:sz="12" w:space="0" w:color="auto"/>
              <w:bottom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w:t>
            </w:r>
          </w:p>
        </w:tc>
        <w:tc>
          <w:tcPr>
            <w:tcW w:w="1142" w:type="dxa"/>
            <w:tcBorders>
              <w:left w:val="single" w:sz="12" w:space="0" w:color="auto"/>
              <w:bottom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150.05±07.75</w:t>
            </w:r>
          </w:p>
        </w:tc>
        <w:tc>
          <w:tcPr>
            <w:tcW w:w="1111" w:type="dxa"/>
            <w:tcBorders>
              <w:bottom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157.45±19.33</w:t>
            </w:r>
          </w:p>
        </w:tc>
        <w:tc>
          <w:tcPr>
            <w:tcW w:w="874" w:type="dxa"/>
            <w:tcBorders>
              <w:left w:val="single" w:sz="12" w:space="0" w:color="auto"/>
              <w:bottom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6.68±0.37</w:t>
            </w:r>
          </w:p>
        </w:tc>
        <w:tc>
          <w:tcPr>
            <w:tcW w:w="868" w:type="dxa"/>
            <w:tcBorders>
              <w:bottom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6.75±0.49</w:t>
            </w:r>
          </w:p>
        </w:tc>
        <w:tc>
          <w:tcPr>
            <w:tcW w:w="1030" w:type="dxa"/>
            <w:tcBorders>
              <w:left w:val="single" w:sz="12" w:space="0" w:color="auto"/>
              <w:bottom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49.05±07.48</w:t>
            </w:r>
          </w:p>
        </w:tc>
        <w:tc>
          <w:tcPr>
            <w:tcW w:w="1030" w:type="dxa"/>
            <w:tcBorders>
              <w:bottom w:val="single" w:sz="12" w:space="0" w:color="auto"/>
              <w:right w:val="single" w:sz="12" w:space="0" w:color="auto"/>
            </w:tcBorders>
            <w:tcMar>
              <w:top w:w="28" w:type="dxa"/>
              <w:bottom w:w="28" w:type="dxa"/>
            </w:tcMar>
            <w:vAlign w:val="center"/>
          </w:tcPr>
          <w:p w:rsidR="00450A85" w:rsidRPr="005509AF" w:rsidRDefault="00D92903" w:rsidP="006505DE">
            <w:pPr>
              <w:jc w:val="center"/>
              <w:rPr>
                <w:rFonts w:ascii="Arial" w:eastAsia="Times New Roman" w:hAnsi="Arial" w:cs="Arial"/>
                <w:color w:val="000000"/>
                <w:sz w:val="16"/>
                <w:szCs w:val="16"/>
                <w:lang w:eastAsia="de-DE"/>
              </w:rPr>
            </w:pPr>
            <w:r w:rsidRPr="005509AF">
              <w:rPr>
                <w:rFonts w:ascii="Arial" w:eastAsia="Times New Roman" w:hAnsi="Arial" w:cs="Arial"/>
                <w:color w:val="000000"/>
                <w:sz w:val="16"/>
                <w:szCs w:val="16"/>
                <w:lang w:eastAsia="de-DE"/>
              </w:rPr>
              <w:t>46.27±5.54</w:t>
            </w:r>
          </w:p>
        </w:tc>
        <w:tc>
          <w:tcPr>
            <w:tcW w:w="1111" w:type="dxa"/>
            <w:vMerge/>
            <w:tcBorders>
              <w:left w:val="single" w:sz="12" w:space="0" w:color="auto"/>
              <w:bottom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c>
          <w:tcPr>
            <w:tcW w:w="988" w:type="dxa"/>
            <w:vMerge/>
            <w:tcBorders>
              <w:bottom w:val="single" w:sz="12" w:space="0" w:color="auto"/>
              <w:right w:val="single" w:sz="12" w:space="0" w:color="auto"/>
            </w:tcBorders>
            <w:tcMar>
              <w:top w:w="28" w:type="dxa"/>
              <w:bottom w:w="28" w:type="dxa"/>
            </w:tcMar>
            <w:vAlign w:val="center"/>
          </w:tcPr>
          <w:p w:rsidR="00450A85" w:rsidRPr="005509AF" w:rsidRDefault="00450A85" w:rsidP="006505DE">
            <w:pPr>
              <w:jc w:val="center"/>
              <w:rPr>
                <w:rFonts w:ascii="Arial" w:hAnsi="Arial" w:cs="Arial"/>
                <w:sz w:val="16"/>
                <w:szCs w:val="16"/>
              </w:rPr>
            </w:pPr>
          </w:p>
        </w:tc>
      </w:tr>
      <w:tr w:rsidR="00C73010" w:rsidTr="00306109">
        <w:trPr>
          <w:trHeight w:val="288"/>
        </w:trPr>
        <w:tc>
          <w:tcPr>
            <w:tcW w:w="958"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x̄±SD</w:t>
            </w:r>
          </w:p>
        </w:tc>
        <w:tc>
          <w:tcPr>
            <w:tcW w:w="513" w:type="dxa"/>
            <w:tcBorders>
              <w:top w:val="single" w:sz="12" w:space="0" w:color="auto"/>
              <w:left w:val="single" w:sz="12" w:space="0" w:color="auto"/>
              <w:bottom w:val="single" w:sz="12" w:space="0" w:color="auto"/>
              <w:right w:val="single" w:sz="12" w:space="0" w:color="auto"/>
            </w:tcBorders>
            <w:tcMar>
              <w:top w:w="28" w:type="dxa"/>
              <w:bottom w:w="28" w:type="dxa"/>
            </w:tcMar>
            <w:vAlign w:val="center"/>
          </w:tcPr>
          <w:p w:rsidR="000B1F87" w:rsidRPr="005509AF" w:rsidRDefault="000B1F87" w:rsidP="006505DE">
            <w:pPr>
              <w:jc w:val="center"/>
              <w:rPr>
                <w:rFonts w:ascii="Arial" w:eastAsia="Times New Roman" w:hAnsi="Arial" w:cs="Arial"/>
                <w:b/>
                <w:color w:val="000000"/>
                <w:sz w:val="16"/>
                <w:szCs w:val="16"/>
                <w:lang w:eastAsia="de-DE"/>
              </w:rPr>
            </w:pPr>
          </w:p>
        </w:tc>
        <w:tc>
          <w:tcPr>
            <w:tcW w:w="1142" w:type="dxa"/>
            <w:tcBorders>
              <w:top w:val="single" w:sz="12" w:space="0" w:color="auto"/>
              <w:left w:val="single" w:sz="12" w:space="0" w:color="auto"/>
              <w:bottom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175.15±37.39</w:t>
            </w:r>
          </w:p>
        </w:tc>
        <w:tc>
          <w:tcPr>
            <w:tcW w:w="1111" w:type="dxa"/>
            <w:tcBorders>
              <w:top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188.14±40.80</w:t>
            </w:r>
          </w:p>
        </w:tc>
        <w:tc>
          <w:tcPr>
            <w:tcW w:w="874" w:type="dxa"/>
            <w:tcBorders>
              <w:top w:val="single" w:sz="12" w:space="0" w:color="auto"/>
              <w:left w:val="single" w:sz="12" w:space="0" w:color="auto"/>
              <w:bottom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6.24±0.65</w:t>
            </w:r>
          </w:p>
        </w:tc>
        <w:tc>
          <w:tcPr>
            <w:tcW w:w="868" w:type="dxa"/>
            <w:tcBorders>
              <w:top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6.58±0.71</w:t>
            </w:r>
          </w:p>
        </w:tc>
        <w:tc>
          <w:tcPr>
            <w:tcW w:w="1030" w:type="dxa"/>
            <w:tcBorders>
              <w:top w:val="single" w:sz="12" w:space="0" w:color="auto"/>
              <w:left w:val="single" w:sz="12" w:space="0" w:color="auto"/>
              <w:bottom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53.20±10.83</w:t>
            </w:r>
          </w:p>
        </w:tc>
        <w:tc>
          <w:tcPr>
            <w:tcW w:w="1030" w:type="dxa"/>
            <w:tcBorders>
              <w:top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61.18±11.45</w:t>
            </w:r>
          </w:p>
        </w:tc>
        <w:tc>
          <w:tcPr>
            <w:tcW w:w="1111" w:type="dxa"/>
            <w:tcBorders>
              <w:top w:val="single" w:sz="12" w:space="0" w:color="auto"/>
              <w:left w:val="single" w:sz="12" w:space="0" w:color="auto"/>
              <w:bottom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599.1±150.26</w:t>
            </w:r>
          </w:p>
        </w:tc>
        <w:tc>
          <w:tcPr>
            <w:tcW w:w="988" w:type="dxa"/>
            <w:tcBorders>
              <w:top w:val="single" w:sz="12" w:space="0" w:color="auto"/>
              <w:bottom w:val="single" w:sz="12" w:space="0" w:color="auto"/>
              <w:right w:val="single" w:sz="12" w:space="0" w:color="auto"/>
            </w:tcBorders>
            <w:tcMar>
              <w:top w:w="28" w:type="dxa"/>
              <w:bottom w:w="28" w:type="dxa"/>
            </w:tcMar>
            <w:vAlign w:val="center"/>
          </w:tcPr>
          <w:p w:rsidR="000B1F87" w:rsidRPr="005509AF" w:rsidRDefault="00D92903" w:rsidP="006505DE">
            <w:pPr>
              <w:jc w:val="center"/>
              <w:rPr>
                <w:rFonts w:ascii="Arial" w:eastAsia="Times New Roman" w:hAnsi="Arial" w:cs="Arial"/>
                <w:b/>
                <w:color w:val="000000"/>
                <w:sz w:val="16"/>
                <w:szCs w:val="16"/>
                <w:lang w:eastAsia="de-DE"/>
              </w:rPr>
            </w:pPr>
            <w:r w:rsidRPr="005509AF">
              <w:rPr>
                <w:rFonts w:ascii="Arial" w:eastAsia="Times New Roman" w:hAnsi="Arial" w:cs="Arial"/>
                <w:b/>
                <w:color w:val="000000"/>
                <w:sz w:val="16"/>
                <w:szCs w:val="16"/>
                <w:lang w:eastAsia="de-DE"/>
              </w:rPr>
              <w:t>561±106.06</w:t>
            </w:r>
          </w:p>
        </w:tc>
      </w:tr>
    </w:tbl>
    <w:p w:rsidR="001078E1" w:rsidRPr="005509AF" w:rsidRDefault="001078E1" w:rsidP="00F55E8F">
      <w:pPr>
        <w:jc w:val="both"/>
        <w:rPr>
          <w:rFonts w:ascii="Arial" w:hAnsi="Arial" w:cs="Arial"/>
          <w:b/>
        </w:rPr>
      </w:pPr>
    </w:p>
    <w:p w:rsidR="007D1FC1" w:rsidRDefault="00D92903" w:rsidP="0046158D">
      <w:pPr>
        <w:spacing w:line="480" w:lineRule="auto"/>
        <w:jc w:val="both"/>
        <w:rPr>
          <w:rFonts w:cstheme="minorHAnsi"/>
        </w:rPr>
      </w:pPr>
      <w:r w:rsidRPr="0046158D">
        <w:rPr>
          <w:rFonts w:cstheme="minorHAnsi"/>
          <w:b/>
        </w:rPr>
        <w:t>Table S1:</w:t>
      </w:r>
      <w:r w:rsidRPr="0046158D">
        <w:rPr>
          <w:rFonts w:cstheme="minorHAnsi"/>
        </w:rPr>
        <w:t xml:space="preserve"> </w:t>
      </w:r>
      <w:r w:rsidRPr="0046158D">
        <w:rPr>
          <w:rFonts w:cstheme="minorHAnsi"/>
          <w:b/>
          <w:bCs/>
        </w:rPr>
        <w:t>Measurements of tip-pore sensilla on segments of the 1st walking leg (1 male and 1 female).</w:t>
      </w:r>
      <w:r w:rsidRPr="0046158D">
        <w:rPr>
          <w:rFonts w:cstheme="minorHAnsi"/>
        </w:rPr>
        <w:t xml:space="preserve"> </w:t>
      </w:r>
      <w:r>
        <w:rPr>
          <w:rFonts w:cs="Calibri"/>
        </w:rPr>
        <w:t>The values</w:t>
      </w:r>
      <w:r w:rsidRPr="0046158D">
        <w:rPr>
          <w:rFonts w:cstheme="minorHAnsi"/>
        </w:rPr>
        <w:t xml:space="preserve"> for each leg segment represent the average and standard deviation of six sensilla. Pore diameters were measured from 10 randomly selected tip-pores distributed along the leg.</w:t>
      </w:r>
    </w:p>
    <w:p w:rsidR="00DC781E" w:rsidRDefault="00DC781E" w:rsidP="0046158D">
      <w:pPr>
        <w:spacing w:line="480" w:lineRule="auto"/>
        <w:jc w:val="both"/>
        <w:rPr>
          <w:rFonts w:cstheme="minorHAnsi"/>
        </w:rPr>
      </w:pPr>
    </w:p>
    <w:p w:rsidR="00DC781E" w:rsidRPr="0046158D" w:rsidRDefault="00DC781E" w:rsidP="0046158D">
      <w:pPr>
        <w:spacing w:line="480" w:lineRule="auto"/>
        <w:jc w:val="both"/>
        <w:rPr>
          <w:rFonts w:cstheme="minorHAnsi"/>
        </w:rPr>
      </w:pPr>
    </w:p>
    <w:tbl>
      <w:tblPr>
        <w:tblStyle w:val="Tabellenraster"/>
        <w:tblW w:w="8926" w:type="dxa"/>
        <w:tblCellMar>
          <w:top w:w="28" w:type="dxa"/>
          <w:bottom w:w="28" w:type="dxa"/>
        </w:tblCellMar>
        <w:tblLook w:val="04A0" w:firstRow="1" w:lastRow="0" w:firstColumn="1" w:lastColumn="0" w:noHBand="0" w:noVBand="1"/>
      </w:tblPr>
      <w:tblGrid>
        <w:gridCol w:w="1803"/>
        <w:gridCol w:w="602"/>
        <w:gridCol w:w="1985"/>
        <w:gridCol w:w="2126"/>
        <w:gridCol w:w="2410"/>
      </w:tblGrid>
      <w:tr w:rsidR="00C73010" w:rsidTr="00776680">
        <w:trPr>
          <w:trHeight w:val="457"/>
        </w:trPr>
        <w:tc>
          <w:tcPr>
            <w:tcW w:w="1803" w:type="dxa"/>
            <w:tcBorders>
              <w:top w:val="single" w:sz="12" w:space="0" w:color="auto"/>
              <w:left w:val="single" w:sz="12" w:space="0" w:color="auto"/>
              <w:right w:val="single" w:sz="12" w:space="0" w:color="auto"/>
            </w:tcBorders>
            <w:shd w:val="clear" w:color="auto" w:fill="E7E6E6" w:themeFill="background2"/>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Leg segment</w:t>
            </w:r>
          </w:p>
        </w:tc>
        <w:tc>
          <w:tcPr>
            <w:tcW w:w="602" w:type="dxa"/>
            <w:tcBorders>
              <w:top w:val="single" w:sz="12" w:space="0" w:color="auto"/>
              <w:left w:val="single" w:sz="12" w:space="0" w:color="auto"/>
              <w:right w:val="single" w:sz="12" w:space="0" w:color="auto"/>
            </w:tcBorders>
            <w:shd w:val="clear" w:color="auto" w:fill="E7E6E6" w:themeFill="background2"/>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N</w:t>
            </w:r>
          </w:p>
        </w:tc>
        <w:tc>
          <w:tcPr>
            <w:tcW w:w="1985" w:type="dxa"/>
            <w:tcBorders>
              <w:top w:val="single" w:sz="12" w:space="0" w:color="auto"/>
              <w:left w:val="single" w:sz="12" w:space="0" w:color="auto"/>
              <w:right w:val="single" w:sz="12" w:space="0" w:color="auto"/>
            </w:tcBorders>
            <w:shd w:val="clear" w:color="auto" w:fill="E7E6E6" w:themeFill="background2"/>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 xml:space="preserve">Sensilla length </w:t>
            </w:r>
            <w:r w:rsidRPr="005509AF">
              <w:rPr>
                <w:rFonts w:ascii="Arial" w:hAnsi="Arial" w:cs="Arial"/>
                <w:b/>
                <w:bCs/>
                <w:sz w:val="20"/>
                <w:szCs w:val="20"/>
              </w:rPr>
              <w:br/>
            </w:r>
            <w:r w:rsidR="00D85717" w:rsidRPr="005509AF">
              <w:rPr>
                <w:rFonts w:ascii="Arial" w:hAnsi="Arial" w:cs="Arial"/>
                <w:bCs/>
                <w:sz w:val="20"/>
                <w:szCs w:val="20"/>
              </w:rPr>
              <w:t>(µm)</w:t>
            </w:r>
          </w:p>
        </w:tc>
        <w:tc>
          <w:tcPr>
            <w:tcW w:w="2126" w:type="dxa"/>
            <w:tcBorders>
              <w:top w:val="single" w:sz="12" w:space="0" w:color="auto"/>
              <w:left w:val="single" w:sz="12" w:space="0" w:color="auto"/>
              <w:right w:val="single" w:sz="12" w:space="0" w:color="auto"/>
            </w:tcBorders>
            <w:shd w:val="clear" w:color="auto" w:fill="E7E6E6" w:themeFill="background2"/>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 xml:space="preserve">Sensilla diameter </w:t>
            </w:r>
            <w:r w:rsidRPr="005509AF">
              <w:rPr>
                <w:rFonts w:ascii="Arial" w:hAnsi="Arial" w:cs="Arial"/>
                <w:b/>
                <w:bCs/>
                <w:sz w:val="20"/>
                <w:szCs w:val="20"/>
              </w:rPr>
              <w:br/>
            </w:r>
            <w:r w:rsidR="00D85717" w:rsidRPr="005509AF">
              <w:rPr>
                <w:rFonts w:ascii="Arial" w:hAnsi="Arial" w:cs="Arial"/>
                <w:bCs/>
                <w:sz w:val="20"/>
                <w:szCs w:val="20"/>
              </w:rPr>
              <w:t>(µm)</w:t>
            </w:r>
          </w:p>
        </w:tc>
        <w:tc>
          <w:tcPr>
            <w:tcW w:w="2410" w:type="dxa"/>
            <w:tcBorders>
              <w:top w:val="single" w:sz="12" w:space="0" w:color="auto"/>
              <w:left w:val="single" w:sz="12" w:space="0" w:color="auto"/>
              <w:right w:val="single" w:sz="12" w:space="0" w:color="auto"/>
            </w:tcBorders>
            <w:shd w:val="clear" w:color="auto" w:fill="E7E6E6" w:themeFill="background2"/>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 xml:space="preserve">Pore diameter </w:t>
            </w:r>
            <w:r w:rsidRPr="005509AF">
              <w:rPr>
                <w:rFonts w:ascii="Arial" w:hAnsi="Arial" w:cs="Arial"/>
                <w:b/>
                <w:bCs/>
                <w:sz w:val="20"/>
                <w:szCs w:val="20"/>
              </w:rPr>
              <w:br/>
            </w:r>
            <w:r w:rsidR="00D85717" w:rsidRPr="005509AF">
              <w:rPr>
                <w:rFonts w:ascii="Arial" w:hAnsi="Arial" w:cs="Arial"/>
                <w:bCs/>
                <w:sz w:val="20"/>
                <w:szCs w:val="20"/>
              </w:rPr>
              <w:t>(nm)</w:t>
            </w:r>
          </w:p>
        </w:tc>
      </w:tr>
      <w:tr w:rsidR="00C73010" w:rsidTr="00776680">
        <w:trPr>
          <w:trHeight w:val="340"/>
        </w:trPr>
        <w:tc>
          <w:tcPr>
            <w:tcW w:w="1803"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Femur</w:t>
            </w:r>
          </w:p>
        </w:tc>
        <w:tc>
          <w:tcPr>
            <w:tcW w:w="602"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5</w:t>
            </w:r>
          </w:p>
        </w:tc>
        <w:tc>
          <w:tcPr>
            <w:tcW w:w="1985"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148.62±09.94</w:t>
            </w:r>
          </w:p>
        </w:tc>
        <w:tc>
          <w:tcPr>
            <w:tcW w:w="2126"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2.18±0.10</w:t>
            </w:r>
          </w:p>
        </w:tc>
        <w:tc>
          <w:tcPr>
            <w:tcW w:w="2410"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42.60±1.85</w:t>
            </w:r>
          </w:p>
        </w:tc>
      </w:tr>
      <w:tr w:rsidR="00C73010" w:rsidTr="00776680">
        <w:trPr>
          <w:trHeight w:val="340"/>
        </w:trPr>
        <w:tc>
          <w:tcPr>
            <w:tcW w:w="1803"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Patella</w:t>
            </w:r>
          </w:p>
        </w:tc>
        <w:tc>
          <w:tcPr>
            <w:tcW w:w="602"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5</w:t>
            </w:r>
          </w:p>
        </w:tc>
        <w:tc>
          <w:tcPr>
            <w:tcW w:w="1985"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136.26±07.51</w:t>
            </w:r>
          </w:p>
        </w:tc>
        <w:tc>
          <w:tcPr>
            <w:tcW w:w="2126"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2.08±0.23</w:t>
            </w:r>
          </w:p>
        </w:tc>
        <w:tc>
          <w:tcPr>
            <w:tcW w:w="2410" w:type="dxa"/>
            <w:tcBorders>
              <w:left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40.20±2.56</w:t>
            </w:r>
          </w:p>
        </w:tc>
      </w:tr>
      <w:tr w:rsidR="00C73010" w:rsidTr="00F55E8F">
        <w:trPr>
          <w:trHeight w:val="340"/>
        </w:trPr>
        <w:tc>
          <w:tcPr>
            <w:tcW w:w="1803" w:type="dxa"/>
            <w:tcBorders>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Tibia</w:t>
            </w:r>
          </w:p>
        </w:tc>
        <w:tc>
          <w:tcPr>
            <w:tcW w:w="602" w:type="dxa"/>
            <w:tcBorders>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5</w:t>
            </w:r>
          </w:p>
        </w:tc>
        <w:tc>
          <w:tcPr>
            <w:tcW w:w="1985" w:type="dxa"/>
            <w:tcBorders>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140.48±11.43</w:t>
            </w:r>
          </w:p>
        </w:tc>
        <w:tc>
          <w:tcPr>
            <w:tcW w:w="2126" w:type="dxa"/>
            <w:tcBorders>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2.10±0.60</w:t>
            </w:r>
          </w:p>
        </w:tc>
        <w:tc>
          <w:tcPr>
            <w:tcW w:w="2410" w:type="dxa"/>
            <w:tcBorders>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sz w:val="20"/>
                <w:szCs w:val="20"/>
              </w:rPr>
              <w:t>43.00±3.90</w:t>
            </w:r>
          </w:p>
        </w:tc>
      </w:tr>
      <w:tr w:rsidR="00C73010" w:rsidTr="00F55E8F">
        <w:trPr>
          <w:trHeight w:val="340"/>
        </w:trPr>
        <w:tc>
          <w:tcPr>
            <w:tcW w:w="1803" w:type="dxa"/>
            <w:tcBorders>
              <w:top w:val="single" w:sz="12" w:space="0" w:color="auto"/>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x̄±SD</w:t>
            </w:r>
          </w:p>
        </w:tc>
        <w:tc>
          <w:tcPr>
            <w:tcW w:w="602" w:type="dxa"/>
            <w:tcBorders>
              <w:top w:val="single" w:sz="12" w:space="0" w:color="auto"/>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15</w:t>
            </w:r>
          </w:p>
        </w:tc>
        <w:tc>
          <w:tcPr>
            <w:tcW w:w="1985" w:type="dxa"/>
            <w:tcBorders>
              <w:top w:val="single" w:sz="12" w:space="0" w:color="auto"/>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141.79±11.41</w:t>
            </w:r>
          </w:p>
        </w:tc>
        <w:tc>
          <w:tcPr>
            <w:tcW w:w="2126" w:type="dxa"/>
            <w:tcBorders>
              <w:top w:val="single" w:sz="12" w:space="0" w:color="auto"/>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2.12±0.16</w:t>
            </w:r>
          </w:p>
        </w:tc>
        <w:tc>
          <w:tcPr>
            <w:tcW w:w="2410" w:type="dxa"/>
            <w:tcBorders>
              <w:top w:val="single" w:sz="12" w:space="0" w:color="auto"/>
              <w:left w:val="single" w:sz="12" w:space="0" w:color="auto"/>
              <w:bottom w:val="single" w:sz="12" w:space="0" w:color="auto"/>
              <w:right w:val="single" w:sz="12" w:space="0" w:color="auto"/>
            </w:tcBorders>
            <w:vAlign w:val="center"/>
            <w:hideMark/>
          </w:tcPr>
          <w:p w:rsidR="007D1FC1" w:rsidRPr="005509AF" w:rsidRDefault="00D92903" w:rsidP="006505DE">
            <w:pPr>
              <w:jc w:val="center"/>
              <w:rPr>
                <w:rFonts w:ascii="Arial" w:hAnsi="Arial" w:cs="Arial"/>
                <w:sz w:val="20"/>
                <w:szCs w:val="20"/>
              </w:rPr>
            </w:pPr>
            <w:r w:rsidRPr="005509AF">
              <w:rPr>
                <w:rFonts w:ascii="Arial" w:hAnsi="Arial" w:cs="Arial"/>
                <w:b/>
                <w:bCs/>
                <w:sz w:val="20"/>
                <w:szCs w:val="20"/>
              </w:rPr>
              <w:t>41.93±3.26</w:t>
            </w:r>
          </w:p>
        </w:tc>
      </w:tr>
    </w:tbl>
    <w:p w:rsidR="007D1FC1" w:rsidRPr="005509AF" w:rsidRDefault="007D1FC1" w:rsidP="009A7D57">
      <w:pPr>
        <w:jc w:val="both"/>
        <w:rPr>
          <w:b/>
          <w:bCs/>
        </w:rPr>
      </w:pPr>
    </w:p>
    <w:p w:rsidR="004A2DB6" w:rsidRPr="0046158D" w:rsidRDefault="00D92903" w:rsidP="0046158D">
      <w:pPr>
        <w:spacing w:line="480" w:lineRule="auto"/>
        <w:jc w:val="both"/>
        <w:rPr>
          <w:rFonts w:cstheme="minorHAnsi"/>
        </w:rPr>
      </w:pPr>
      <w:r w:rsidRPr="0046158D">
        <w:rPr>
          <w:rFonts w:cstheme="minorHAnsi"/>
          <w:b/>
          <w:bCs/>
        </w:rPr>
        <w:t>Table S2: Measurements of wall-pore sensilla on the segments of the 1st walking leg (male; N=1).</w:t>
      </w:r>
      <w:r w:rsidRPr="0046158D">
        <w:rPr>
          <w:rFonts w:cstheme="minorHAnsi"/>
        </w:rPr>
        <w:t xml:space="preserve"> </w:t>
      </w:r>
      <w:r>
        <w:rPr>
          <w:rFonts w:cs="Calibri"/>
        </w:rPr>
        <w:t>The values</w:t>
      </w:r>
      <w:r w:rsidRPr="0046158D">
        <w:rPr>
          <w:rFonts w:cstheme="minorHAnsi"/>
        </w:rPr>
        <w:t xml:space="preserve"> for each leg segment represent the average and standard deviation of five sensilla. For </w:t>
      </w:r>
      <w:r>
        <w:rPr>
          <w:rFonts w:cs="Calibri"/>
        </w:rPr>
        <w:t xml:space="preserve">the </w:t>
      </w:r>
      <w:r w:rsidRPr="0046158D">
        <w:rPr>
          <w:rFonts w:cstheme="minorHAnsi"/>
        </w:rPr>
        <w:t>average pore diameter, three pores from each sensillum were measured.</w:t>
      </w:r>
    </w:p>
    <w:p w:rsidR="00526512" w:rsidRPr="005509AF" w:rsidRDefault="00D92903" w:rsidP="004A2DB6">
      <w:pPr>
        <w:rPr>
          <w:rFonts w:ascii="Arial" w:hAnsi="Arial" w:cs="Arial"/>
          <w:sz w:val="20"/>
          <w:szCs w:val="20"/>
        </w:rPr>
      </w:pPr>
      <w:r w:rsidRPr="005509AF">
        <w:rPr>
          <w:rFonts w:ascii="Arial" w:hAnsi="Arial" w:cs="Arial"/>
          <w:sz w:val="20"/>
          <w:szCs w:val="20"/>
        </w:rPr>
        <w:br w:type="page"/>
      </w:r>
    </w:p>
    <w:p w:rsidR="009A7D57" w:rsidRPr="0046158D" w:rsidRDefault="00D92903" w:rsidP="0046158D">
      <w:pPr>
        <w:spacing w:line="480" w:lineRule="auto"/>
        <w:jc w:val="both"/>
        <w:rPr>
          <w:rFonts w:cstheme="minorHAnsi"/>
          <w:b/>
          <w:bCs/>
        </w:rPr>
      </w:pPr>
      <w:r>
        <w:rPr>
          <w:rFonts w:cs="Calibri"/>
          <w:b/>
          <w:bCs/>
        </w:rPr>
        <w:lastRenderedPageBreak/>
        <w:t>Supplemental</w:t>
      </w:r>
      <w:r w:rsidRPr="0046158D">
        <w:rPr>
          <w:rFonts w:cstheme="minorHAnsi"/>
          <w:b/>
          <w:bCs/>
        </w:rPr>
        <w:t xml:space="preserve"> text</w:t>
      </w:r>
    </w:p>
    <w:p w:rsidR="009A7D57" w:rsidRPr="0046158D" w:rsidRDefault="00D92903" w:rsidP="0046158D">
      <w:pPr>
        <w:spacing w:line="480" w:lineRule="auto"/>
        <w:jc w:val="both"/>
        <w:rPr>
          <w:rFonts w:cstheme="minorHAnsi"/>
          <w:b/>
        </w:rPr>
      </w:pPr>
      <w:r>
        <w:rPr>
          <w:rFonts w:cstheme="minorHAnsi"/>
          <w:b/>
        </w:rPr>
        <w:t>Con</w:t>
      </w:r>
      <w:r w:rsidR="00DC781E">
        <w:rPr>
          <w:rFonts w:cstheme="minorHAnsi"/>
          <w:b/>
        </w:rPr>
        <w:t>tac</w:t>
      </w:r>
      <w:r>
        <w:rPr>
          <w:rFonts w:cstheme="minorHAnsi"/>
          <w:b/>
        </w:rPr>
        <w:t>t</w:t>
      </w:r>
      <w:r w:rsidRPr="0046158D">
        <w:rPr>
          <w:rFonts w:cstheme="minorHAnsi"/>
          <w:b/>
        </w:rPr>
        <w:t xml:space="preserve"> </w:t>
      </w:r>
      <w:r>
        <w:rPr>
          <w:rFonts w:cs="Calibri"/>
          <w:b/>
        </w:rPr>
        <w:t xml:space="preserve">area </w:t>
      </w:r>
      <w:r w:rsidRPr="0046158D">
        <w:rPr>
          <w:rFonts w:cstheme="minorHAnsi"/>
          <w:b/>
        </w:rPr>
        <w:t xml:space="preserve">versus </w:t>
      </w:r>
      <w:r>
        <w:rPr>
          <w:rFonts w:cstheme="minorHAnsi"/>
          <w:b/>
        </w:rPr>
        <w:t>non-contact</w:t>
      </w:r>
      <w:r w:rsidRPr="0046158D">
        <w:rPr>
          <w:rFonts w:cstheme="minorHAnsi"/>
          <w:b/>
        </w:rPr>
        <w:t xml:space="preserve"> area of body appendages</w:t>
      </w:r>
    </w:p>
    <w:p w:rsidR="00196C01" w:rsidRDefault="00D92903" w:rsidP="0046158D">
      <w:pPr>
        <w:spacing w:line="480" w:lineRule="auto"/>
        <w:jc w:val="both"/>
        <w:rPr>
          <w:rFonts w:cstheme="minorHAnsi"/>
        </w:rPr>
      </w:pPr>
      <w:r w:rsidRPr="0046158D">
        <w:rPr>
          <w:rFonts w:cstheme="minorHAnsi"/>
        </w:rPr>
        <w:t xml:space="preserve">Using high-speed video recording, we analyzed the contact and non-contact regions of </w:t>
      </w:r>
      <w:r>
        <w:rPr>
          <w:rFonts w:cs="Calibri"/>
        </w:rPr>
        <w:t xml:space="preserve">the </w:t>
      </w:r>
      <w:r w:rsidRPr="0046158D">
        <w:rPr>
          <w:rFonts w:cstheme="minorHAnsi"/>
        </w:rPr>
        <w:t xml:space="preserve">body appendages </w:t>
      </w:r>
      <w:r>
        <w:rPr>
          <w:rFonts w:cs="Calibri"/>
        </w:rPr>
        <w:t>of</w:t>
      </w:r>
      <w:r w:rsidRPr="0046158D">
        <w:rPr>
          <w:rFonts w:cstheme="minorHAnsi"/>
        </w:rPr>
        <w:t xml:space="preserve"> </w:t>
      </w:r>
      <w:r w:rsidRPr="0046158D">
        <w:rPr>
          <w:rFonts w:cstheme="minorHAnsi"/>
          <w:i/>
          <w:iCs/>
        </w:rPr>
        <w:t>P. mirabilis</w:t>
      </w:r>
      <w:r w:rsidRPr="0046158D">
        <w:rPr>
          <w:rFonts w:cstheme="minorHAnsi"/>
        </w:rPr>
        <w:t xml:space="preserve"> males and females during locomotion on various surfaces, prey capture, silk probing, and mating. During locomotion, the </w:t>
      </w:r>
      <w:r>
        <w:rPr>
          <w:rFonts w:cs="Calibri"/>
        </w:rPr>
        <w:t>tarsi</w:t>
      </w:r>
      <w:r w:rsidRPr="0046158D">
        <w:rPr>
          <w:rFonts w:cstheme="minorHAnsi"/>
        </w:rPr>
        <w:t xml:space="preserve"> of all walking legs always contacted the substrate. The metatarsus occasionally contacted the substrate</w:t>
      </w:r>
      <w:r>
        <w:rPr>
          <w:rFonts w:cs="Calibri"/>
        </w:rPr>
        <w:t>,</w:t>
      </w:r>
      <w:r w:rsidRPr="0046158D">
        <w:rPr>
          <w:rFonts w:cstheme="minorHAnsi"/>
        </w:rPr>
        <w:t xml:space="preserve"> with frequencies ranging from 8% to 20%. The proximal leg segments, namely</w:t>
      </w:r>
      <w:r>
        <w:rPr>
          <w:rFonts w:cs="Calibri"/>
        </w:rPr>
        <w:t>,</w:t>
      </w:r>
      <w:r w:rsidRPr="0046158D">
        <w:rPr>
          <w:rFonts w:cstheme="minorHAnsi"/>
        </w:rPr>
        <w:t xml:space="preserve"> the tibia-patella and femur, did not contact the substrate during any of our locomotion trials (Table S3A). When males probed the dragline silk left behind by females, the tarsus of the 1st and 2nd walking legs, along with the cymbium (first segment of </w:t>
      </w:r>
      <w:r>
        <w:rPr>
          <w:rFonts w:cs="Calibri"/>
        </w:rPr>
        <w:t xml:space="preserve">the </w:t>
      </w:r>
      <w:r w:rsidRPr="0046158D">
        <w:rPr>
          <w:rFonts w:cstheme="minorHAnsi"/>
        </w:rPr>
        <w:t xml:space="preserve">male’s pedipalp) of the pedipalps, frequently contacted the silk (83%-100%). The </w:t>
      </w:r>
      <w:r>
        <w:rPr>
          <w:rFonts w:cs="Calibri"/>
        </w:rPr>
        <w:t>tarsi</w:t>
      </w:r>
      <w:r w:rsidRPr="0046158D">
        <w:rPr>
          <w:rFonts w:cstheme="minorHAnsi"/>
        </w:rPr>
        <w:t xml:space="preserve"> of the 3rd and 4th walking legs occasionally contacted the silk (16%) (Table S3B). The </w:t>
      </w:r>
      <w:r>
        <w:rPr>
          <w:rFonts w:cs="Calibri"/>
        </w:rPr>
        <w:t>remaining</w:t>
      </w:r>
      <w:r w:rsidRPr="0046158D">
        <w:rPr>
          <w:rFonts w:cstheme="minorHAnsi"/>
        </w:rPr>
        <w:t xml:space="preserve"> segments, other than the tarsus of the walking legs and the </w:t>
      </w:r>
      <w:proofErr w:type="spellStart"/>
      <w:r w:rsidRPr="0046158D">
        <w:rPr>
          <w:rFonts w:cstheme="minorHAnsi"/>
        </w:rPr>
        <w:t>cymbium</w:t>
      </w:r>
      <w:proofErr w:type="spellEnd"/>
      <w:r w:rsidRPr="0046158D">
        <w:rPr>
          <w:rFonts w:cstheme="minorHAnsi"/>
        </w:rPr>
        <w:t xml:space="preserve"> of </w:t>
      </w:r>
      <w:r>
        <w:rPr>
          <w:rFonts w:cs="Calibri"/>
        </w:rPr>
        <w:t xml:space="preserve">the </w:t>
      </w:r>
      <w:r w:rsidRPr="0046158D">
        <w:rPr>
          <w:rFonts w:cstheme="minorHAnsi"/>
        </w:rPr>
        <w:t xml:space="preserve">pedipalps, did not contact the silk. During prey capture, both sexes frequently </w:t>
      </w:r>
      <w:r>
        <w:rPr>
          <w:rFonts w:cs="Calibri"/>
        </w:rPr>
        <w:t>use</w:t>
      </w:r>
      <w:r w:rsidRPr="0046158D">
        <w:rPr>
          <w:rFonts w:cstheme="minorHAnsi"/>
        </w:rPr>
        <w:t xml:space="preserve"> the tarsus and metatarsus (contact frequencies: 58%-100%) to form a "prey basket." The tibia was rarely in contact with the prey (1%-16%), whereas the femur did not contact the prey (Table S3C). During mating, the tarsus and metatarsus of the first three leg pairs in males and the first two leg pairs in females frequently contacted the mating partner (83%-100%). The tibia-patella occasionally contacted the mating partner of both sexes, with frequencies ranging from 16% to 33%, whereas the femur did not contact the mating partner in either sex (Table S3D). The pedipalps of both sexes were always in contact with the mating partner or during </w:t>
      </w:r>
      <w:r>
        <w:rPr>
          <w:rFonts w:cs="Calibri"/>
        </w:rPr>
        <w:t xml:space="preserve">the </w:t>
      </w:r>
      <w:r w:rsidRPr="0046158D">
        <w:rPr>
          <w:rFonts w:cstheme="minorHAnsi"/>
        </w:rPr>
        <w:t xml:space="preserve">handling of the nuptial gift. We observed that in the walking legs, substrate contact occurs predominantly on the ventral and lateral surfaces, with little to no contact on the dorsal side. In contrast, substrate contact on pedipalps is limited </w:t>
      </w:r>
      <w:r>
        <w:rPr>
          <w:rFonts w:cs="Calibri"/>
        </w:rPr>
        <w:t xml:space="preserve">primarily </w:t>
      </w:r>
      <w:r w:rsidRPr="0046158D">
        <w:rPr>
          <w:rFonts w:cstheme="minorHAnsi"/>
        </w:rPr>
        <w:t>to the dorsal and lateral surfaces.</w:t>
      </w:r>
    </w:p>
    <w:p w:rsidR="0046158D" w:rsidRDefault="0046158D" w:rsidP="0046158D">
      <w:pPr>
        <w:spacing w:line="480" w:lineRule="auto"/>
        <w:jc w:val="both"/>
        <w:rPr>
          <w:rFonts w:cstheme="minorHAnsi"/>
        </w:rPr>
      </w:pPr>
    </w:p>
    <w:p w:rsidR="0046158D" w:rsidRPr="0046158D" w:rsidRDefault="0046158D" w:rsidP="0046158D">
      <w:pPr>
        <w:spacing w:line="480" w:lineRule="auto"/>
        <w:jc w:val="both"/>
        <w:rPr>
          <w:rFonts w:cstheme="minorHAnsi"/>
        </w:rPr>
      </w:pPr>
    </w:p>
    <w:p w:rsidR="009D713E" w:rsidRPr="005509AF" w:rsidRDefault="009D713E" w:rsidP="000C5852">
      <w:pPr>
        <w:jc w:val="both"/>
      </w:pPr>
    </w:p>
    <w:tbl>
      <w:tblPr>
        <w:tblStyle w:val="TabellemithellemGitternetz"/>
        <w:tblW w:w="0" w:type="auto"/>
        <w:tblLook w:val="04A0" w:firstRow="1" w:lastRow="0" w:firstColumn="1" w:lastColumn="0" w:noHBand="0" w:noVBand="1"/>
      </w:tblPr>
      <w:tblGrid>
        <w:gridCol w:w="1818"/>
        <w:gridCol w:w="973"/>
        <w:gridCol w:w="758"/>
        <w:gridCol w:w="812"/>
        <w:gridCol w:w="761"/>
        <w:gridCol w:w="747"/>
        <w:gridCol w:w="761"/>
        <w:gridCol w:w="858"/>
        <w:gridCol w:w="761"/>
        <w:gridCol w:w="747"/>
      </w:tblGrid>
      <w:tr w:rsidR="00C73010" w:rsidTr="00FA0971">
        <w:trPr>
          <w:trHeight w:val="440"/>
        </w:trPr>
        <w:tc>
          <w:tcPr>
            <w:tcW w:w="2794" w:type="dxa"/>
            <w:gridSpan w:val="2"/>
            <w:vMerge w:val="restart"/>
            <w:tcBorders>
              <w:top w:val="single" w:sz="12" w:space="0" w:color="auto"/>
              <w:left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3086" w:type="dxa"/>
            <w:gridSpan w:val="4"/>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hAnsi="Arial" w:cs="Arial"/>
                <w:b/>
                <w:sz w:val="20"/>
                <w:szCs w:val="20"/>
              </w:rPr>
            </w:pPr>
            <w:r w:rsidRPr="005509AF">
              <w:rPr>
                <w:rFonts w:ascii="Arial" w:hAnsi="Arial" w:cs="Arial"/>
                <w:b/>
                <w:sz w:val="20"/>
                <w:szCs w:val="20"/>
              </w:rPr>
              <w:t>Male</w:t>
            </w:r>
          </w:p>
        </w:tc>
        <w:tc>
          <w:tcPr>
            <w:tcW w:w="3136" w:type="dxa"/>
            <w:gridSpan w:val="4"/>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hAnsi="Arial" w:cs="Arial"/>
                <w:b/>
                <w:sz w:val="20"/>
                <w:szCs w:val="20"/>
              </w:rPr>
            </w:pPr>
            <w:r w:rsidRPr="005509AF">
              <w:rPr>
                <w:rFonts w:ascii="Arial" w:hAnsi="Arial" w:cs="Arial"/>
                <w:b/>
                <w:sz w:val="20"/>
                <w:szCs w:val="20"/>
              </w:rPr>
              <w:t>Female</w:t>
            </w:r>
          </w:p>
        </w:tc>
      </w:tr>
      <w:tr w:rsidR="00C73010" w:rsidTr="00FA0971">
        <w:trPr>
          <w:trHeight w:val="413"/>
        </w:trPr>
        <w:tc>
          <w:tcPr>
            <w:tcW w:w="2794" w:type="dxa"/>
            <w:gridSpan w:val="2"/>
            <w:vMerge/>
            <w:tcBorders>
              <w:left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760" w:type="dxa"/>
            <w:tcBorders>
              <w:top w:val="single" w:sz="12" w:space="0" w:color="auto"/>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ta</w:t>
            </w:r>
          </w:p>
        </w:tc>
        <w:tc>
          <w:tcPr>
            <w:tcW w:w="814" w:type="dxa"/>
            <w:tcBorders>
              <w:top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mt</w:t>
            </w:r>
          </w:p>
        </w:tc>
        <w:tc>
          <w:tcPr>
            <w:tcW w:w="762" w:type="dxa"/>
            <w:tcBorders>
              <w:top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ti+pt</w:t>
            </w:r>
          </w:p>
        </w:tc>
        <w:tc>
          <w:tcPr>
            <w:tcW w:w="750" w:type="dxa"/>
            <w:tcBorders>
              <w:top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fe</w:t>
            </w:r>
          </w:p>
        </w:tc>
        <w:tc>
          <w:tcPr>
            <w:tcW w:w="763" w:type="dxa"/>
            <w:tcBorders>
              <w:top w:val="single" w:sz="12" w:space="0" w:color="auto"/>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ta</w:t>
            </w:r>
          </w:p>
        </w:tc>
        <w:tc>
          <w:tcPr>
            <w:tcW w:w="861" w:type="dxa"/>
            <w:tcBorders>
              <w:top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mt</w:t>
            </w:r>
          </w:p>
        </w:tc>
        <w:tc>
          <w:tcPr>
            <w:tcW w:w="762" w:type="dxa"/>
            <w:tcBorders>
              <w:top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ti+pt</w:t>
            </w:r>
          </w:p>
        </w:tc>
        <w:tc>
          <w:tcPr>
            <w:tcW w:w="750" w:type="dxa"/>
            <w:tcBorders>
              <w:top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b/>
                <w:bCs/>
                <w:color w:val="000000"/>
                <w:sz w:val="20"/>
                <w:szCs w:val="20"/>
                <w:lang w:eastAsia="de-DE"/>
              </w:rPr>
              <w:t>fe</w:t>
            </w:r>
          </w:p>
        </w:tc>
      </w:tr>
      <w:tr w:rsidR="00C73010" w:rsidTr="00FA0971">
        <w:trPr>
          <w:trHeight w:val="288"/>
        </w:trPr>
        <w:tc>
          <w:tcPr>
            <w:tcW w:w="1821" w:type="dxa"/>
            <w:vMerge w:val="restart"/>
            <w:tcBorders>
              <w:top w:val="single" w:sz="12" w:space="0" w:color="auto"/>
              <w:left w:val="single" w:sz="12" w:space="0" w:color="auto"/>
              <w:right w:val="single" w:sz="12" w:space="0" w:color="auto"/>
            </w:tcBorders>
            <w:vAlign w:val="center"/>
          </w:tcPr>
          <w:p w:rsidR="00306109" w:rsidRPr="005509AF" w:rsidRDefault="00D92903" w:rsidP="00215507">
            <w:pPr>
              <w:rPr>
                <w:rFonts w:ascii="Arial" w:hAnsi="Arial" w:cs="Arial"/>
                <w:b/>
                <w:sz w:val="20"/>
                <w:szCs w:val="20"/>
              </w:rPr>
            </w:pPr>
            <w:r w:rsidRPr="005509AF">
              <w:rPr>
                <w:rFonts w:ascii="Arial" w:hAnsi="Arial" w:cs="Arial"/>
                <w:b/>
                <w:sz w:val="20"/>
                <w:szCs w:val="20"/>
              </w:rPr>
              <w:t>A)</w:t>
            </w:r>
          </w:p>
          <w:p w:rsidR="00EE5A4E" w:rsidRPr="005509AF" w:rsidRDefault="00D92903" w:rsidP="00215507">
            <w:pPr>
              <w:rPr>
                <w:rFonts w:ascii="Arial" w:hAnsi="Arial" w:cs="Arial"/>
                <w:b/>
                <w:sz w:val="20"/>
                <w:szCs w:val="20"/>
              </w:rPr>
            </w:pPr>
            <w:r w:rsidRPr="005509AF">
              <w:rPr>
                <w:rFonts w:ascii="Arial" w:hAnsi="Arial" w:cs="Arial"/>
                <w:b/>
                <w:sz w:val="20"/>
                <w:szCs w:val="20"/>
              </w:rPr>
              <w:t>Locomotion</w:t>
            </w:r>
          </w:p>
        </w:tc>
        <w:tc>
          <w:tcPr>
            <w:tcW w:w="973" w:type="dxa"/>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w:t>
            </w:r>
          </w:p>
        </w:tc>
        <w:tc>
          <w:tcPr>
            <w:tcW w:w="760" w:type="dxa"/>
            <w:tcBorders>
              <w:top w:val="single" w:sz="12" w:space="0" w:color="auto"/>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14"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25</w:t>
            </w:r>
          </w:p>
        </w:tc>
        <w:tc>
          <w:tcPr>
            <w:tcW w:w="762"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3" w:type="dxa"/>
            <w:tcBorders>
              <w:top w:val="single" w:sz="12" w:space="0" w:color="auto"/>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61"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12</w:t>
            </w:r>
          </w:p>
        </w:tc>
        <w:tc>
          <w:tcPr>
            <w:tcW w:w="762"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20</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3"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61"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III</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3"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61"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IV</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3"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61"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r>
      <w:tr w:rsidR="00C73010" w:rsidTr="00FA0971">
        <w:trPr>
          <w:trHeight w:val="288"/>
        </w:trPr>
        <w:tc>
          <w:tcPr>
            <w:tcW w:w="1821" w:type="dxa"/>
            <w:vMerge/>
            <w:tcBorders>
              <w:left w:val="single" w:sz="12" w:space="0" w:color="auto"/>
              <w:bottom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pedipalp</w:t>
            </w:r>
          </w:p>
        </w:tc>
        <w:tc>
          <w:tcPr>
            <w:tcW w:w="760" w:type="dxa"/>
            <w:tcBorders>
              <w:left w:val="single" w:sz="12" w:space="0" w:color="auto"/>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62</w:t>
            </w:r>
          </w:p>
        </w:tc>
        <w:tc>
          <w:tcPr>
            <w:tcW w:w="814"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n.a</w:t>
            </w:r>
          </w:p>
        </w:tc>
        <w:tc>
          <w:tcPr>
            <w:tcW w:w="762"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c>
          <w:tcPr>
            <w:tcW w:w="763" w:type="dxa"/>
            <w:tcBorders>
              <w:left w:val="single" w:sz="12" w:space="0" w:color="auto"/>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79</w:t>
            </w:r>
          </w:p>
        </w:tc>
        <w:tc>
          <w:tcPr>
            <w:tcW w:w="861"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n.a</w:t>
            </w:r>
          </w:p>
        </w:tc>
        <w:tc>
          <w:tcPr>
            <w:tcW w:w="762"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0</w:t>
            </w:r>
          </w:p>
        </w:tc>
      </w:tr>
      <w:tr w:rsidR="00C73010" w:rsidTr="00FA0971">
        <w:trPr>
          <w:trHeight w:val="288"/>
        </w:trPr>
        <w:tc>
          <w:tcPr>
            <w:tcW w:w="1821" w:type="dxa"/>
            <w:vMerge w:val="restart"/>
            <w:tcBorders>
              <w:top w:val="single" w:sz="12" w:space="0" w:color="auto"/>
              <w:left w:val="single" w:sz="12" w:space="0" w:color="auto"/>
              <w:right w:val="single" w:sz="12" w:space="0" w:color="auto"/>
            </w:tcBorders>
            <w:vAlign w:val="center"/>
          </w:tcPr>
          <w:p w:rsidR="00306109" w:rsidRPr="005509AF" w:rsidRDefault="00D92903" w:rsidP="006505DE">
            <w:pPr>
              <w:rPr>
                <w:rFonts w:ascii="Arial" w:hAnsi="Arial" w:cs="Arial"/>
                <w:b/>
                <w:sz w:val="20"/>
                <w:szCs w:val="20"/>
              </w:rPr>
            </w:pPr>
            <w:r w:rsidRPr="005509AF">
              <w:rPr>
                <w:rFonts w:ascii="Arial" w:hAnsi="Arial" w:cs="Arial"/>
                <w:b/>
                <w:sz w:val="20"/>
                <w:szCs w:val="20"/>
              </w:rPr>
              <w:t>B)</w:t>
            </w:r>
          </w:p>
          <w:p w:rsidR="00EE5A4E" w:rsidRPr="005509AF" w:rsidRDefault="00D92903" w:rsidP="006505DE">
            <w:pPr>
              <w:rPr>
                <w:rFonts w:ascii="Arial" w:hAnsi="Arial" w:cs="Arial"/>
                <w:b/>
                <w:sz w:val="20"/>
                <w:szCs w:val="20"/>
                <w:highlight w:val="yellow"/>
              </w:rPr>
            </w:pPr>
            <w:r w:rsidRPr="005509AF">
              <w:rPr>
                <w:rFonts w:ascii="Arial" w:hAnsi="Arial" w:cs="Arial"/>
                <w:b/>
                <w:sz w:val="20"/>
                <w:szCs w:val="20"/>
              </w:rPr>
              <w:t>Male probes female-produced dragline-silk</w:t>
            </w:r>
          </w:p>
        </w:tc>
        <w:tc>
          <w:tcPr>
            <w:tcW w:w="973" w:type="dxa"/>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w:t>
            </w:r>
          </w:p>
        </w:tc>
        <w:tc>
          <w:tcPr>
            <w:tcW w:w="760" w:type="dxa"/>
            <w:tcBorders>
              <w:top w:val="single" w:sz="12" w:space="0" w:color="auto"/>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100</w:t>
            </w:r>
          </w:p>
        </w:tc>
        <w:tc>
          <w:tcPr>
            <w:tcW w:w="814"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62" w:type="dxa"/>
            <w:tcBorders>
              <w:top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3136" w:type="dxa"/>
            <w:gridSpan w:val="4"/>
            <w:vMerge w:val="restart"/>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Pr>
                <w:rFonts w:ascii="Arial" w:hAnsi="Arial" w:cs="Arial"/>
                <w:sz w:val="20"/>
                <w:szCs w:val="20"/>
              </w:rPr>
              <w:t>-</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highlight w:val="yellow"/>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83</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3136" w:type="dxa"/>
            <w:gridSpan w:val="4"/>
            <w:vMerge/>
            <w:tcBorders>
              <w:left w:val="single" w:sz="12" w:space="0" w:color="auto"/>
              <w:right w:val="single" w:sz="12" w:space="0" w:color="auto"/>
            </w:tcBorders>
            <w:vAlign w:val="center"/>
          </w:tcPr>
          <w:p w:rsidR="00EE5A4E" w:rsidRPr="005509AF" w:rsidRDefault="00EE5A4E" w:rsidP="006505DE">
            <w:pPr>
              <w:jc w:val="center"/>
              <w:rPr>
                <w:rFonts w:ascii="Arial" w:hAnsi="Arial" w:cs="Arial"/>
                <w:sz w:val="20"/>
                <w:szCs w:val="20"/>
              </w:rPr>
            </w:pP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highlight w:val="yellow"/>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III</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16</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3136" w:type="dxa"/>
            <w:gridSpan w:val="4"/>
            <w:vMerge/>
            <w:tcBorders>
              <w:left w:val="single" w:sz="12" w:space="0" w:color="auto"/>
              <w:right w:val="single" w:sz="12" w:space="0" w:color="auto"/>
            </w:tcBorders>
            <w:vAlign w:val="center"/>
          </w:tcPr>
          <w:p w:rsidR="00EE5A4E" w:rsidRPr="005509AF" w:rsidRDefault="00EE5A4E" w:rsidP="006505DE">
            <w:pPr>
              <w:jc w:val="center"/>
              <w:rPr>
                <w:rFonts w:ascii="Arial" w:hAnsi="Arial" w:cs="Arial"/>
                <w:sz w:val="20"/>
                <w:szCs w:val="20"/>
              </w:rPr>
            </w:pP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highlight w:val="yellow"/>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IV</w:t>
            </w:r>
          </w:p>
        </w:tc>
        <w:tc>
          <w:tcPr>
            <w:tcW w:w="760" w:type="dxa"/>
            <w:tcBorders>
              <w:lef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16</w:t>
            </w:r>
          </w:p>
        </w:tc>
        <w:tc>
          <w:tcPr>
            <w:tcW w:w="814"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62" w:type="dxa"/>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3136" w:type="dxa"/>
            <w:gridSpan w:val="4"/>
            <w:vMerge/>
            <w:tcBorders>
              <w:left w:val="single" w:sz="12" w:space="0" w:color="auto"/>
              <w:right w:val="single" w:sz="12" w:space="0" w:color="auto"/>
            </w:tcBorders>
            <w:vAlign w:val="center"/>
          </w:tcPr>
          <w:p w:rsidR="00EE5A4E" w:rsidRPr="005509AF" w:rsidRDefault="00EE5A4E" w:rsidP="006505DE">
            <w:pPr>
              <w:jc w:val="center"/>
              <w:rPr>
                <w:rFonts w:ascii="Arial" w:hAnsi="Arial" w:cs="Arial"/>
                <w:sz w:val="20"/>
                <w:szCs w:val="20"/>
              </w:rPr>
            </w:pPr>
          </w:p>
        </w:tc>
      </w:tr>
      <w:tr w:rsidR="00C73010" w:rsidTr="00FA0971">
        <w:trPr>
          <w:trHeight w:val="288"/>
        </w:trPr>
        <w:tc>
          <w:tcPr>
            <w:tcW w:w="1821" w:type="dxa"/>
            <w:vMerge/>
            <w:tcBorders>
              <w:left w:val="single" w:sz="12" w:space="0" w:color="auto"/>
              <w:bottom w:val="single" w:sz="12" w:space="0" w:color="auto"/>
              <w:right w:val="single" w:sz="12" w:space="0" w:color="auto"/>
            </w:tcBorders>
            <w:vAlign w:val="center"/>
          </w:tcPr>
          <w:p w:rsidR="00EE5A4E" w:rsidRPr="005509AF" w:rsidRDefault="00EE5A4E" w:rsidP="006505DE">
            <w:pPr>
              <w:rPr>
                <w:rFonts w:ascii="Arial" w:hAnsi="Arial" w:cs="Arial"/>
                <w:b/>
                <w:sz w:val="20"/>
                <w:szCs w:val="20"/>
                <w:highlight w:val="yellow"/>
              </w:rPr>
            </w:pPr>
          </w:p>
        </w:tc>
        <w:tc>
          <w:tcPr>
            <w:tcW w:w="973" w:type="dxa"/>
            <w:tcBorders>
              <w:left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pedipalp</w:t>
            </w:r>
          </w:p>
        </w:tc>
        <w:tc>
          <w:tcPr>
            <w:tcW w:w="760" w:type="dxa"/>
            <w:tcBorders>
              <w:left w:val="single" w:sz="12" w:space="0" w:color="auto"/>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83</w:t>
            </w:r>
          </w:p>
        </w:tc>
        <w:tc>
          <w:tcPr>
            <w:tcW w:w="814"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hAnsi="Arial" w:cs="Arial"/>
                <w:sz w:val="20"/>
                <w:szCs w:val="20"/>
              </w:rPr>
              <w:t>n.a</w:t>
            </w:r>
          </w:p>
        </w:tc>
        <w:tc>
          <w:tcPr>
            <w:tcW w:w="762" w:type="dxa"/>
            <w:tcBorders>
              <w:bottom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hAnsi="Arial" w:cs="Arial"/>
                <w:sz w:val="20"/>
                <w:szCs w:val="20"/>
              </w:rPr>
            </w:pPr>
            <w:r w:rsidRPr="005509AF">
              <w:rPr>
                <w:rFonts w:ascii="Arial" w:eastAsia="Times New Roman" w:hAnsi="Arial" w:cs="Arial"/>
                <w:color w:val="000000"/>
                <w:sz w:val="20"/>
                <w:szCs w:val="20"/>
                <w:lang w:eastAsia="de-DE"/>
              </w:rPr>
              <w:t>0</w:t>
            </w:r>
          </w:p>
        </w:tc>
        <w:tc>
          <w:tcPr>
            <w:tcW w:w="3136" w:type="dxa"/>
            <w:gridSpan w:val="4"/>
            <w:vMerge/>
            <w:tcBorders>
              <w:left w:val="single" w:sz="12" w:space="0" w:color="auto"/>
              <w:bottom w:val="single" w:sz="12" w:space="0" w:color="auto"/>
              <w:right w:val="single" w:sz="12" w:space="0" w:color="auto"/>
            </w:tcBorders>
            <w:vAlign w:val="center"/>
          </w:tcPr>
          <w:p w:rsidR="00EE5A4E" w:rsidRPr="005509AF" w:rsidRDefault="00EE5A4E" w:rsidP="006505DE">
            <w:pPr>
              <w:jc w:val="center"/>
              <w:rPr>
                <w:rFonts w:ascii="Arial" w:hAnsi="Arial" w:cs="Arial"/>
                <w:sz w:val="20"/>
                <w:szCs w:val="20"/>
              </w:rPr>
            </w:pPr>
          </w:p>
        </w:tc>
      </w:tr>
      <w:tr w:rsidR="00C73010" w:rsidTr="00FA0971">
        <w:trPr>
          <w:trHeight w:val="288"/>
        </w:trPr>
        <w:tc>
          <w:tcPr>
            <w:tcW w:w="1821" w:type="dxa"/>
            <w:vMerge w:val="restart"/>
            <w:tcBorders>
              <w:top w:val="single" w:sz="12" w:space="0" w:color="auto"/>
              <w:left w:val="single" w:sz="12" w:space="0" w:color="auto"/>
              <w:right w:val="single" w:sz="12" w:space="0" w:color="auto"/>
            </w:tcBorders>
            <w:vAlign w:val="center"/>
          </w:tcPr>
          <w:p w:rsidR="00306109" w:rsidRPr="005509AF" w:rsidRDefault="00D92903" w:rsidP="006505DE">
            <w:pPr>
              <w:rPr>
                <w:rFonts w:ascii="Arial" w:hAnsi="Arial" w:cs="Arial"/>
                <w:b/>
                <w:sz w:val="20"/>
                <w:szCs w:val="20"/>
              </w:rPr>
            </w:pPr>
            <w:r w:rsidRPr="005509AF">
              <w:rPr>
                <w:rFonts w:ascii="Arial" w:hAnsi="Arial" w:cs="Arial"/>
                <w:b/>
                <w:sz w:val="20"/>
                <w:szCs w:val="20"/>
              </w:rPr>
              <w:t>C)</w:t>
            </w:r>
          </w:p>
          <w:p w:rsidR="00EE5A4E" w:rsidRPr="005509AF" w:rsidRDefault="00306109" w:rsidP="006505DE">
            <w:pPr>
              <w:rPr>
                <w:rFonts w:ascii="Arial" w:hAnsi="Arial" w:cs="Arial"/>
                <w:b/>
                <w:sz w:val="20"/>
                <w:szCs w:val="20"/>
                <w:highlight w:val="yellow"/>
              </w:rPr>
            </w:pPr>
            <w:r w:rsidRPr="005509AF">
              <w:rPr>
                <w:rFonts w:ascii="Arial" w:hAnsi="Arial" w:cs="Arial"/>
                <w:b/>
                <w:sz w:val="20"/>
                <w:szCs w:val="20"/>
              </w:rPr>
              <w:t>Prey capture</w:t>
            </w:r>
          </w:p>
        </w:tc>
        <w:tc>
          <w:tcPr>
            <w:tcW w:w="973" w:type="dxa"/>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w:t>
            </w:r>
          </w:p>
        </w:tc>
        <w:tc>
          <w:tcPr>
            <w:tcW w:w="760" w:type="dxa"/>
            <w:tcBorders>
              <w:top w:val="single" w:sz="12" w:space="0" w:color="auto"/>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762"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top w:val="single" w:sz="12" w:space="0" w:color="auto"/>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61"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762"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91</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91</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58</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III</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91</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58</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IV</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91</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58</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58</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bottom w:val="single" w:sz="12" w:space="0" w:color="auto"/>
              <w:right w:val="single" w:sz="12" w:space="0" w:color="auto"/>
            </w:tcBorders>
            <w:vAlign w:val="center"/>
          </w:tcPr>
          <w:p w:rsidR="00EE5A4E" w:rsidRPr="005509AF" w:rsidRDefault="00EE5A4E" w:rsidP="006505DE">
            <w:pPr>
              <w:rPr>
                <w:rFonts w:ascii="Arial" w:hAnsi="Arial" w:cs="Arial"/>
                <w:b/>
                <w:sz w:val="20"/>
                <w:szCs w:val="20"/>
              </w:rPr>
            </w:pPr>
          </w:p>
        </w:tc>
        <w:tc>
          <w:tcPr>
            <w:tcW w:w="973" w:type="dxa"/>
            <w:tcBorders>
              <w:left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pedipalp</w:t>
            </w:r>
          </w:p>
        </w:tc>
        <w:tc>
          <w:tcPr>
            <w:tcW w:w="760" w:type="dxa"/>
            <w:tcBorders>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762"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61"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762"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val="restart"/>
            <w:tcBorders>
              <w:top w:val="single" w:sz="12" w:space="0" w:color="auto"/>
              <w:left w:val="single" w:sz="12" w:space="0" w:color="auto"/>
              <w:right w:val="single" w:sz="12" w:space="0" w:color="auto"/>
            </w:tcBorders>
            <w:vAlign w:val="center"/>
          </w:tcPr>
          <w:p w:rsidR="00306109" w:rsidRPr="005509AF" w:rsidRDefault="00D92903" w:rsidP="006505DE">
            <w:pPr>
              <w:rPr>
                <w:rFonts w:ascii="Arial" w:hAnsi="Arial" w:cs="Arial"/>
                <w:b/>
                <w:sz w:val="20"/>
                <w:szCs w:val="20"/>
              </w:rPr>
            </w:pPr>
            <w:r w:rsidRPr="005509AF">
              <w:rPr>
                <w:rFonts w:ascii="Arial" w:hAnsi="Arial" w:cs="Arial"/>
                <w:b/>
                <w:sz w:val="20"/>
                <w:szCs w:val="20"/>
              </w:rPr>
              <w:t>D)</w:t>
            </w:r>
          </w:p>
          <w:p w:rsidR="00EE5A4E" w:rsidRPr="005509AF" w:rsidRDefault="00D92903" w:rsidP="006505DE">
            <w:pPr>
              <w:rPr>
                <w:rFonts w:ascii="Arial" w:hAnsi="Arial" w:cs="Arial"/>
                <w:b/>
                <w:sz w:val="20"/>
                <w:szCs w:val="20"/>
              </w:rPr>
            </w:pPr>
            <w:r w:rsidRPr="005509AF">
              <w:rPr>
                <w:rFonts w:ascii="Arial" w:hAnsi="Arial" w:cs="Arial"/>
                <w:b/>
                <w:sz w:val="20"/>
                <w:szCs w:val="20"/>
              </w:rPr>
              <w:t>Mating</w:t>
            </w:r>
          </w:p>
        </w:tc>
        <w:tc>
          <w:tcPr>
            <w:tcW w:w="973" w:type="dxa"/>
            <w:tcBorders>
              <w:top w:val="single" w:sz="12" w:space="0" w:color="auto"/>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w:t>
            </w:r>
          </w:p>
        </w:tc>
        <w:tc>
          <w:tcPr>
            <w:tcW w:w="760" w:type="dxa"/>
            <w:tcBorders>
              <w:top w:val="single" w:sz="12" w:space="0" w:color="auto"/>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762"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33</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top w:val="single" w:sz="12" w:space="0" w:color="auto"/>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861"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66</w:t>
            </w:r>
          </w:p>
        </w:tc>
        <w:tc>
          <w:tcPr>
            <w:tcW w:w="762" w:type="dxa"/>
            <w:tcBorders>
              <w:top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top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33</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66</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III</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83</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973" w:type="dxa"/>
            <w:tcBorders>
              <w:left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Leg IV</w:t>
            </w:r>
          </w:p>
        </w:tc>
        <w:tc>
          <w:tcPr>
            <w:tcW w:w="760"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33</w:t>
            </w:r>
          </w:p>
        </w:tc>
        <w:tc>
          <w:tcPr>
            <w:tcW w:w="814"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861"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16</w:t>
            </w:r>
          </w:p>
        </w:tc>
        <w:tc>
          <w:tcPr>
            <w:tcW w:w="762" w:type="dxa"/>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FA0971">
        <w:trPr>
          <w:trHeight w:val="288"/>
        </w:trPr>
        <w:tc>
          <w:tcPr>
            <w:tcW w:w="1821" w:type="dxa"/>
            <w:vMerge/>
            <w:tcBorders>
              <w:left w:val="single" w:sz="12" w:space="0" w:color="auto"/>
              <w:bottom w:val="single" w:sz="12" w:space="0" w:color="auto"/>
              <w:right w:val="single" w:sz="12" w:space="0" w:color="auto"/>
            </w:tcBorders>
          </w:tcPr>
          <w:p w:rsidR="00EE5A4E" w:rsidRPr="005509AF" w:rsidRDefault="00EE5A4E" w:rsidP="006505DE">
            <w:pPr>
              <w:jc w:val="center"/>
              <w:rPr>
                <w:rFonts w:ascii="Arial" w:hAnsi="Arial" w:cs="Arial"/>
                <w:sz w:val="20"/>
                <w:szCs w:val="20"/>
              </w:rPr>
            </w:pPr>
          </w:p>
        </w:tc>
        <w:tc>
          <w:tcPr>
            <w:tcW w:w="973" w:type="dxa"/>
            <w:tcBorders>
              <w:left w:val="single" w:sz="12" w:space="0" w:color="auto"/>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sz w:val="20"/>
                <w:szCs w:val="20"/>
                <w:lang w:eastAsia="de-DE"/>
              </w:rPr>
            </w:pPr>
            <w:r w:rsidRPr="005509AF">
              <w:rPr>
                <w:rFonts w:ascii="Arial" w:eastAsia="Times New Roman" w:hAnsi="Arial" w:cs="Arial"/>
                <w:color w:val="000000"/>
                <w:sz w:val="20"/>
                <w:szCs w:val="20"/>
                <w:lang w:eastAsia="de-DE"/>
              </w:rPr>
              <w:t>pedipalp</w:t>
            </w:r>
          </w:p>
        </w:tc>
        <w:tc>
          <w:tcPr>
            <w:tcW w:w="760" w:type="dxa"/>
            <w:tcBorders>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14"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762"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63" w:type="dxa"/>
            <w:tcBorders>
              <w:left w:val="single" w:sz="12" w:space="0" w:color="auto"/>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861"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762" w:type="dxa"/>
            <w:tcBorders>
              <w:bottom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750" w:type="dxa"/>
            <w:tcBorders>
              <w:bottom w:val="single" w:sz="12" w:space="0" w:color="auto"/>
              <w:right w:val="single" w:sz="12" w:space="0" w:color="auto"/>
            </w:tcBorders>
            <w:vAlign w:val="center"/>
          </w:tcPr>
          <w:p w:rsidR="00EE5A4E" w:rsidRPr="005509AF" w:rsidRDefault="00D92903" w:rsidP="006505DE">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bl>
    <w:p w:rsidR="00C74921" w:rsidRPr="005509AF" w:rsidRDefault="00C74921" w:rsidP="00C12523">
      <w:pPr>
        <w:rPr>
          <w:b/>
          <w:bCs/>
        </w:rPr>
      </w:pPr>
    </w:p>
    <w:p w:rsidR="009D713E" w:rsidRPr="0046158D" w:rsidRDefault="000C5852" w:rsidP="0046158D">
      <w:pPr>
        <w:spacing w:line="480" w:lineRule="auto"/>
        <w:jc w:val="both"/>
        <w:rPr>
          <w:rFonts w:cstheme="minorHAnsi"/>
        </w:rPr>
      </w:pPr>
      <w:r w:rsidRPr="0046158D">
        <w:rPr>
          <w:rFonts w:cstheme="minorHAnsi"/>
          <w:b/>
          <w:bCs/>
        </w:rPr>
        <w:t xml:space="preserve">Table S3: Probability (%) that body appendages of </w:t>
      </w:r>
      <w:r w:rsidRPr="0046158D">
        <w:rPr>
          <w:rFonts w:cstheme="minorHAnsi"/>
          <w:b/>
          <w:bCs/>
          <w:i/>
          <w:iCs/>
        </w:rPr>
        <w:t>Pisaura mirabilis</w:t>
      </w:r>
      <w:r w:rsidR="002E6E27">
        <w:rPr>
          <w:rFonts w:cstheme="minorHAnsi"/>
          <w:b/>
          <w:bCs/>
        </w:rPr>
        <w:t xml:space="preserve"> males and females come into contact with substrates. A</w:t>
      </w:r>
      <w:r w:rsidRPr="0046158D">
        <w:rPr>
          <w:rFonts w:cstheme="minorHAnsi"/>
        </w:rPr>
        <w:t xml:space="preserve"> During locomotion on 4 substrates (natural leaves, </w:t>
      </w:r>
      <w:r w:rsidR="00D92903">
        <w:rPr>
          <w:rFonts w:cs="Calibri"/>
        </w:rPr>
        <w:t>bundles</w:t>
      </w:r>
      <w:r w:rsidRPr="0046158D">
        <w:rPr>
          <w:rFonts w:cstheme="minorHAnsi"/>
        </w:rPr>
        <w:t xml:space="preserve"> of natural grass, flat </w:t>
      </w:r>
      <w:r w:rsidR="00D92903">
        <w:rPr>
          <w:rFonts w:cs="Calibri"/>
        </w:rPr>
        <w:t>surfaces</w:t>
      </w:r>
      <w:r w:rsidRPr="0046158D">
        <w:rPr>
          <w:rFonts w:cstheme="minorHAnsi"/>
        </w:rPr>
        <w:t xml:space="preserve">, and horizontal </w:t>
      </w:r>
      <w:r w:rsidR="00D92903">
        <w:rPr>
          <w:rFonts w:cs="Calibri"/>
        </w:rPr>
        <w:t>skewers</w:t>
      </w:r>
      <w:r w:rsidRPr="0046158D">
        <w:rPr>
          <w:rFonts w:cstheme="minorHAnsi"/>
        </w:rPr>
        <w:t xml:space="preserve">). Six males and six females were allowed to walk on all four substrates (N=6*4=24 trials for each sex). </w:t>
      </w:r>
      <w:r w:rsidR="002E6E27">
        <w:rPr>
          <w:rFonts w:cstheme="minorHAnsi"/>
          <w:b/>
        </w:rPr>
        <w:t>B</w:t>
      </w:r>
      <w:r w:rsidRPr="0046158D">
        <w:rPr>
          <w:rFonts w:cstheme="minorHAnsi"/>
        </w:rPr>
        <w:t xml:space="preserve"> During female-produced dragline</w:t>
      </w:r>
      <w:r w:rsidR="00D92903">
        <w:rPr>
          <w:rFonts w:cs="Calibri"/>
        </w:rPr>
        <w:t xml:space="preserve"> </w:t>
      </w:r>
      <w:r w:rsidRPr="0046158D">
        <w:rPr>
          <w:rFonts w:cstheme="minorHAnsi"/>
        </w:rPr>
        <w:t>silk probing by males. Six males were exposed to dragline</w:t>
      </w:r>
      <w:r w:rsidR="00D92903">
        <w:rPr>
          <w:rFonts w:cs="Calibri"/>
        </w:rPr>
        <w:t xml:space="preserve"> </w:t>
      </w:r>
      <w:r w:rsidRPr="0046158D">
        <w:rPr>
          <w:rFonts w:cstheme="minorHAnsi"/>
        </w:rPr>
        <w:t xml:space="preserve">silk left by females (N=6 trials). Note that female-produced dragline-silk probing trials were </w:t>
      </w:r>
      <w:r w:rsidR="00D92903">
        <w:rPr>
          <w:rFonts w:cs="Calibri"/>
        </w:rPr>
        <w:t>performed</w:t>
      </w:r>
      <w:r w:rsidRPr="0046158D">
        <w:rPr>
          <w:rFonts w:cstheme="minorHAnsi"/>
        </w:rPr>
        <w:t xml:space="preserve"> only for </w:t>
      </w:r>
      <w:r w:rsidR="00D92903">
        <w:rPr>
          <w:rFonts w:cs="Calibri"/>
        </w:rPr>
        <w:t>males</w:t>
      </w:r>
      <w:r w:rsidRPr="0046158D">
        <w:rPr>
          <w:rFonts w:cstheme="minorHAnsi"/>
        </w:rPr>
        <w:t xml:space="preserve">. </w:t>
      </w:r>
      <w:r w:rsidR="002E6E27">
        <w:rPr>
          <w:rFonts w:cstheme="minorHAnsi"/>
          <w:b/>
        </w:rPr>
        <w:t>C</w:t>
      </w:r>
      <w:r w:rsidRPr="0046158D">
        <w:rPr>
          <w:rFonts w:cstheme="minorHAnsi"/>
        </w:rPr>
        <w:t xml:space="preserve"> During prey capture. Six males and six females were filmed during prey (cricket and housefly) </w:t>
      </w:r>
      <w:r w:rsidR="00D92903">
        <w:rPr>
          <w:rFonts w:cs="Calibri"/>
        </w:rPr>
        <w:t>capture</w:t>
      </w:r>
      <w:r w:rsidRPr="0046158D">
        <w:rPr>
          <w:rFonts w:cstheme="minorHAnsi"/>
        </w:rPr>
        <w:t xml:space="preserve"> (N=6*2 </w:t>
      </w:r>
      <w:r w:rsidR="00D92903">
        <w:rPr>
          <w:rFonts w:cs="Calibri"/>
        </w:rPr>
        <w:t>prey</w:t>
      </w:r>
      <w:r w:rsidRPr="0046158D">
        <w:rPr>
          <w:rFonts w:cstheme="minorHAnsi"/>
        </w:rPr>
        <w:t xml:space="preserve"> item =12 trials for each sex). </w:t>
      </w:r>
      <w:r w:rsidR="002E6E27">
        <w:rPr>
          <w:rFonts w:cstheme="minorHAnsi"/>
          <w:b/>
        </w:rPr>
        <w:t>D</w:t>
      </w:r>
      <w:r w:rsidR="00D776D4" w:rsidRPr="0046158D">
        <w:rPr>
          <w:rFonts w:cstheme="minorHAnsi"/>
        </w:rPr>
        <w:t xml:space="preserve"> Contact with a mating partner during mating. Six couples were filmed immediately after their first touch with their mating partner (N=6 trials). In </w:t>
      </w:r>
      <w:r w:rsidR="00D776D4" w:rsidRPr="0046158D">
        <w:rPr>
          <w:rFonts w:cstheme="minorHAnsi"/>
          <w:b/>
        </w:rPr>
        <w:t>A-D</w:t>
      </w:r>
      <w:r w:rsidR="00490FA2" w:rsidRPr="0046158D">
        <w:rPr>
          <w:rFonts w:cstheme="minorHAnsi"/>
        </w:rPr>
        <w:t xml:space="preserve">: Data </w:t>
      </w:r>
      <w:r w:rsidR="00D92903">
        <w:rPr>
          <w:rFonts w:cs="Calibri"/>
        </w:rPr>
        <w:t>are</w:t>
      </w:r>
      <w:r w:rsidR="00490FA2" w:rsidRPr="0046158D">
        <w:rPr>
          <w:rFonts w:cstheme="minorHAnsi"/>
        </w:rPr>
        <w:t xml:space="preserve"> specified for the segments (tarsus to femur) of the walking legs and the pedipalps (n.a. = </w:t>
      </w:r>
      <w:r w:rsidR="00D92903">
        <w:rPr>
          <w:rFonts w:cs="Calibri"/>
        </w:rPr>
        <w:t>lacking</w:t>
      </w:r>
      <w:r w:rsidR="00490FA2" w:rsidRPr="0046158D">
        <w:rPr>
          <w:rFonts w:cstheme="minorHAnsi"/>
        </w:rPr>
        <w:t xml:space="preserve"> metatarsus). ta: tarsus, mt: metatarsus, ti: tibia, pt: patella, fe: femur.</w:t>
      </w:r>
    </w:p>
    <w:tbl>
      <w:tblPr>
        <w:tblStyle w:val="TabellemithellemGitternetz"/>
        <w:tblW w:w="8641" w:type="dxa"/>
        <w:tblLook w:val="04A0" w:firstRow="1" w:lastRow="0" w:firstColumn="1" w:lastColumn="0" w:noHBand="0" w:noVBand="1"/>
      </w:tblPr>
      <w:tblGrid>
        <w:gridCol w:w="961"/>
        <w:gridCol w:w="857"/>
        <w:gridCol w:w="1063"/>
        <w:gridCol w:w="809"/>
        <w:gridCol w:w="1111"/>
        <w:gridCol w:w="809"/>
        <w:gridCol w:w="1111"/>
        <w:gridCol w:w="809"/>
        <w:gridCol w:w="1111"/>
      </w:tblGrid>
      <w:tr w:rsidR="00C73010" w:rsidTr="00DC781E">
        <w:trPr>
          <w:trHeight w:val="300"/>
        </w:trPr>
        <w:tc>
          <w:tcPr>
            <w:tcW w:w="961" w:type="dxa"/>
            <w:tcBorders>
              <w:top w:val="single" w:sz="12" w:space="0" w:color="auto"/>
              <w:left w:val="single" w:sz="12" w:space="0" w:color="auto"/>
              <w:bottom w:val="single" w:sz="12" w:space="0" w:color="auto"/>
              <w:right w:val="single" w:sz="12" w:space="0" w:color="auto"/>
            </w:tcBorders>
            <w:noWrap/>
            <w:tcMar>
              <w:top w:w="28" w:type="dxa"/>
              <w:bottom w:w="28" w:type="dxa"/>
            </w:tcMar>
            <w:hideMark/>
          </w:tcPr>
          <w:p w:rsidR="009D713E" w:rsidRPr="005509AF" w:rsidRDefault="009D713E" w:rsidP="00FA0971">
            <w:pPr>
              <w:jc w:val="center"/>
              <w:rPr>
                <w:rFonts w:ascii="Arial" w:eastAsia="Times New Roman" w:hAnsi="Arial" w:cs="Arial"/>
                <w:b/>
                <w:sz w:val="20"/>
                <w:szCs w:val="20"/>
                <w:lang w:eastAsia="de-DE"/>
              </w:rPr>
            </w:pPr>
          </w:p>
        </w:tc>
        <w:tc>
          <w:tcPr>
            <w:tcW w:w="1920" w:type="dxa"/>
            <w:gridSpan w:val="2"/>
            <w:tcBorders>
              <w:top w:val="single" w:sz="12" w:space="0" w:color="auto"/>
              <w:left w:val="single" w:sz="12" w:space="0" w:color="auto"/>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tarsus</w:t>
            </w:r>
          </w:p>
        </w:tc>
        <w:tc>
          <w:tcPr>
            <w:tcW w:w="1920" w:type="dxa"/>
            <w:gridSpan w:val="2"/>
            <w:tcBorders>
              <w:top w:val="single" w:sz="12" w:space="0" w:color="auto"/>
              <w:left w:val="single" w:sz="12" w:space="0" w:color="auto"/>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metatarsus</w:t>
            </w:r>
          </w:p>
        </w:tc>
        <w:tc>
          <w:tcPr>
            <w:tcW w:w="1920" w:type="dxa"/>
            <w:gridSpan w:val="2"/>
            <w:tcBorders>
              <w:top w:val="single" w:sz="12" w:space="0" w:color="auto"/>
              <w:left w:val="single" w:sz="12" w:space="0" w:color="auto"/>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tibia+patella</w:t>
            </w:r>
          </w:p>
        </w:tc>
        <w:tc>
          <w:tcPr>
            <w:tcW w:w="1920" w:type="dxa"/>
            <w:gridSpan w:val="2"/>
            <w:tcBorders>
              <w:top w:val="single" w:sz="12" w:space="0" w:color="auto"/>
              <w:left w:val="single" w:sz="12" w:space="0" w:color="auto"/>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femur</w:t>
            </w:r>
          </w:p>
        </w:tc>
      </w:tr>
      <w:tr w:rsidR="00C73010" w:rsidTr="00DC781E">
        <w:trPr>
          <w:trHeight w:val="300"/>
        </w:trPr>
        <w:tc>
          <w:tcPr>
            <w:tcW w:w="961" w:type="dxa"/>
            <w:tcBorders>
              <w:top w:val="single" w:sz="12" w:space="0" w:color="auto"/>
              <w:left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WL/Pod</w:t>
            </w:r>
          </w:p>
        </w:tc>
        <w:tc>
          <w:tcPr>
            <w:tcW w:w="857" w:type="dxa"/>
            <w:tcBorders>
              <w:top w:val="single" w:sz="12" w:space="0" w:color="auto"/>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male</w:t>
            </w:r>
          </w:p>
        </w:tc>
        <w:tc>
          <w:tcPr>
            <w:tcW w:w="1063" w:type="dxa"/>
            <w:tcBorders>
              <w:top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female</w:t>
            </w:r>
          </w:p>
        </w:tc>
        <w:tc>
          <w:tcPr>
            <w:tcW w:w="809" w:type="dxa"/>
            <w:tcBorders>
              <w:top w:val="single" w:sz="12" w:space="0" w:color="auto"/>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male</w:t>
            </w:r>
          </w:p>
        </w:tc>
        <w:tc>
          <w:tcPr>
            <w:tcW w:w="1111" w:type="dxa"/>
            <w:tcBorders>
              <w:top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female</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male</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female</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male</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female</w:t>
            </w:r>
          </w:p>
        </w:tc>
      </w:tr>
      <w:tr w:rsidR="00C73010" w:rsidTr="00DC781E">
        <w:trPr>
          <w:trHeight w:val="300"/>
        </w:trPr>
        <w:tc>
          <w:tcPr>
            <w:tcW w:w="961" w:type="dxa"/>
            <w:tcBorders>
              <w:left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Leg I</w:t>
            </w:r>
          </w:p>
        </w:tc>
        <w:tc>
          <w:tcPr>
            <w:tcW w:w="857"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100</w:t>
            </w:r>
          </w:p>
        </w:tc>
        <w:tc>
          <w:tcPr>
            <w:tcW w:w="1063"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95</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52</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53</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11</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DC781E">
        <w:trPr>
          <w:trHeight w:val="300"/>
        </w:trPr>
        <w:tc>
          <w:tcPr>
            <w:tcW w:w="961" w:type="dxa"/>
            <w:tcBorders>
              <w:left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Leg II</w:t>
            </w:r>
          </w:p>
        </w:tc>
        <w:tc>
          <w:tcPr>
            <w:tcW w:w="857"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96</w:t>
            </w:r>
          </w:p>
        </w:tc>
        <w:tc>
          <w:tcPr>
            <w:tcW w:w="1063"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92</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53</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44</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11</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DC781E">
        <w:trPr>
          <w:trHeight w:val="300"/>
        </w:trPr>
        <w:tc>
          <w:tcPr>
            <w:tcW w:w="961" w:type="dxa"/>
            <w:tcBorders>
              <w:left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Leg III</w:t>
            </w:r>
          </w:p>
        </w:tc>
        <w:tc>
          <w:tcPr>
            <w:tcW w:w="857"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75</w:t>
            </w:r>
          </w:p>
        </w:tc>
        <w:tc>
          <w:tcPr>
            <w:tcW w:w="1063"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87</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29</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28</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4</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DC781E">
        <w:trPr>
          <w:trHeight w:val="300"/>
        </w:trPr>
        <w:tc>
          <w:tcPr>
            <w:tcW w:w="961" w:type="dxa"/>
            <w:tcBorders>
              <w:left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Leg IV</w:t>
            </w:r>
          </w:p>
        </w:tc>
        <w:tc>
          <w:tcPr>
            <w:tcW w:w="857"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60</w:t>
            </w:r>
          </w:p>
        </w:tc>
        <w:tc>
          <w:tcPr>
            <w:tcW w:w="1063"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55</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25</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28</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1</w:t>
            </w:r>
          </w:p>
        </w:tc>
        <w:tc>
          <w:tcPr>
            <w:tcW w:w="809" w:type="dxa"/>
            <w:tcBorders>
              <w:lef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r w:rsidR="00C73010" w:rsidTr="00DC781E">
        <w:trPr>
          <w:trHeight w:val="300"/>
        </w:trPr>
        <w:tc>
          <w:tcPr>
            <w:tcW w:w="961" w:type="dxa"/>
            <w:tcBorders>
              <w:left w:val="single" w:sz="12" w:space="0" w:color="auto"/>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b/>
                <w:color w:val="000000"/>
                <w:sz w:val="20"/>
                <w:szCs w:val="20"/>
                <w:lang w:eastAsia="de-DE"/>
              </w:rPr>
            </w:pPr>
            <w:r w:rsidRPr="005509AF">
              <w:rPr>
                <w:rFonts w:ascii="Arial" w:eastAsia="Times New Roman" w:hAnsi="Arial" w:cs="Arial"/>
                <w:b/>
                <w:color w:val="000000"/>
                <w:sz w:val="20"/>
                <w:szCs w:val="20"/>
                <w:lang w:eastAsia="de-DE"/>
              </w:rPr>
              <w:t>PP</w:t>
            </w:r>
          </w:p>
        </w:tc>
        <w:tc>
          <w:tcPr>
            <w:tcW w:w="857" w:type="dxa"/>
            <w:tcBorders>
              <w:left w:val="single" w:sz="12" w:space="0" w:color="auto"/>
              <w:bottom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86</w:t>
            </w:r>
          </w:p>
        </w:tc>
        <w:tc>
          <w:tcPr>
            <w:tcW w:w="1063" w:type="dxa"/>
            <w:tcBorders>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90</w:t>
            </w:r>
          </w:p>
        </w:tc>
        <w:tc>
          <w:tcPr>
            <w:tcW w:w="809" w:type="dxa"/>
            <w:tcBorders>
              <w:left w:val="single" w:sz="12" w:space="0" w:color="auto"/>
              <w:bottom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1111" w:type="dxa"/>
            <w:tcBorders>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n.a</w:t>
            </w:r>
          </w:p>
        </w:tc>
        <w:tc>
          <w:tcPr>
            <w:tcW w:w="809" w:type="dxa"/>
            <w:tcBorders>
              <w:left w:val="single" w:sz="12" w:space="0" w:color="auto"/>
              <w:bottom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3</w:t>
            </w:r>
          </w:p>
        </w:tc>
        <w:tc>
          <w:tcPr>
            <w:tcW w:w="809" w:type="dxa"/>
            <w:tcBorders>
              <w:left w:val="single" w:sz="12" w:space="0" w:color="auto"/>
              <w:bottom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c>
          <w:tcPr>
            <w:tcW w:w="1111" w:type="dxa"/>
            <w:tcBorders>
              <w:bottom w:val="single" w:sz="12" w:space="0" w:color="auto"/>
              <w:right w:val="single" w:sz="12" w:space="0" w:color="auto"/>
            </w:tcBorders>
            <w:noWrap/>
            <w:tcMar>
              <w:top w:w="28" w:type="dxa"/>
              <w:bottom w:w="28" w:type="dxa"/>
            </w:tcMar>
            <w:hideMark/>
          </w:tcPr>
          <w:p w:rsidR="009D713E" w:rsidRPr="005509AF" w:rsidRDefault="00D92903" w:rsidP="00FA0971">
            <w:pPr>
              <w:jc w:val="center"/>
              <w:rPr>
                <w:rFonts w:ascii="Arial" w:eastAsia="Times New Roman" w:hAnsi="Arial" w:cs="Arial"/>
                <w:color w:val="000000"/>
                <w:sz w:val="20"/>
                <w:szCs w:val="20"/>
                <w:lang w:eastAsia="de-DE"/>
              </w:rPr>
            </w:pPr>
            <w:r w:rsidRPr="005509AF">
              <w:rPr>
                <w:rFonts w:ascii="Arial" w:eastAsia="Times New Roman" w:hAnsi="Arial" w:cs="Arial"/>
                <w:color w:val="000000"/>
                <w:sz w:val="20"/>
                <w:szCs w:val="20"/>
                <w:lang w:eastAsia="de-DE"/>
              </w:rPr>
              <w:t>0</w:t>
            </w:r>
          </w:p>
        </w:tc>
      </w:tr>
    </w:tbl>
    <w:p w:rsidR="009D713E" w:rsidRPr="005509AF" w:rsidRDefault="009D713E" w:rsidP="009D713E">
      <w:pPr>
        <w:jc w:val="both"/>
        <w:rPr>
          <w:b/>
          <w:bCs/>
        </w:rPr>
      </w:pPr>
    </w:p>
    <w:p w:rsidR="009D713E" w:rsidRPr="0046158D" w:rsidRDefault="00D92903" w:rsidP="0046158D">
      <w:pPr>
        <w:spacing w:line="480" w:lineRule="auto"/>
        <w:jc w:val="both"/>
        <w:rPr>
          <w:rFonts w:cstheme="minorHAnsi"/>
        </w:rPr>
      </w:pPr>
      <w:r w:rsidRPr="0046158D">
        <w:rPr>
          <w:rFonts w:cstheme="minorHAnsi"/>
          <w:b/>
        </w:rPr>
        <w:t xml:space="preserve">Table S4: Probability (%) that body appendages of </w:t>
      </w:r>
      <w:r w:rsidRPr="0046158D">
        <w:rPr>
          <w:rFonts w:cstheme="minorHAnsi"/>
          <w:b/>
          <w:i/>
        </w:rPr>
        <w:t>Pisaura mirabilis</w:t>
      </w:r>
      <w:r w:rsidR="006F48BB" w:rsidRPr="0046158D">
        <w:rPr>
          <w:rFonts w:cstheme="minorHAnsi"/>
          <w:b/>
        </w:rPr>
        <w:t xml:space="preserve"> males and females come into contact with substrates when all the contexts are pooled (locomotion, silk probing by </w:t>
      </w:r>
      <w:r>
        <w:rPr>
          <w:rFonts w:cs="Calibri"/>
          <w:b/>
        </w:rPr>
        <w:t>males</w:t>
      </w:r>
      <w:r w:rsidR="006F48BB" w:rsidRPr="0046158D">
        <w:rPr>
          <w:rFonts w:cstheme="minorHAnsi"/>
          <w:b/>
        </w:rPr>
        <w:t xml:space="preserve">, prey </w:t>
      </w:r>
      <w:r>
        <w:rPr>
          <w:rFonts w:cs="Calibri"/>
          <w:b/>
        </w:rPr>
        <w:t>capture</w:t>
      </w:r>
      <w:r w:rsidR="006F48BB" w:rsidRPr="0046158D">
        <w:rPr>
          <w:rFonts w:cstheme="minorHAnsi"/>
          <w:b/>
        </w:rPr>
        <w:t>, and mating).</w:t>
      </w:r>
      <w:r w:rsidR="00265B60" w:rsidRPr="0046158D">
        <w:rPr>
          <w:rFonts w:cstheme="minorHAnsi"/>
        </w:rPr>
        <w:t xml:space="preserve"> We averaged all </w:t>
      </w:r>
      <w:r>
        <w:rPr>
          <w:rFonts w:cs="Calibri"/>
        </w:rPr>
        <w:t>percentages</w:t>
      </w:r>
      <w:r w:rsidR="00265B60" w:rsidRPr="0046158D">
        <w:rPr>
          <w:rFonts w:cstheme="minorHAnsi"/>
        </w:rPr>
        <w:t xml:space="preserve"> across all contexts; see </w:t>
      </w:r>
      <w:r>
        <w:rPr>
          <w:rFonts w:cs="Calibri"/>
        </w:rPr>
        <w:t>Table</w:t>
      </w:r>
      <w:r w:rsidR="00265B60" w:rsidRPr="0046158D">
        <w:rPr>
          <w:rFonts w:cstheme="minorHAnsi"/>
        </w:rPr>
        <w:t xml:space="preserve"> S3. For each sex, we analyzed 24 </w:t>
      </w:r>
      <w:r>
        <w:rPr>
          <w:rFonts w:cs="Calibri"/>
        </w:rPr>
        <w:t>footage samples</w:t>
      </w:r>
      <w:r w:rsidR="00265B60" w:rsidRPr="0046158D">
        <w:rPr>
          <w:rFonts w:cstheme="minorHAnsi"/>
        </w:rPr>
        <w:t xml:space="preserve"> for locomotion </w:t>
      </w:r>
      <w:r>
        <w:rPr>
          <w:rFonts w:cs="Calibri"/>
        </w:rPr>
        <w:t>on</w:t>
      </w:r>
      <w:r w:rsidR="00265B60" w:rsidRPr="0046158D">
        <w:rPr>
          <w:rFonts w:cstheme="minorHAnsi"/>
        </w:rPr>
        <w:t xml:space="preserve"> four different substrates, six </w:t>
      </w:r>
      <w:r>
        <w:rPr>
          <w:rFonts w:cs="Calibri"/>
        </w:rPr>
        <w:t>footage samples</w:t>
      </w:r>
      <w:r w:rsidR="00265B60" w:rsidRPr="0046158D">
        <w:rPr>
          <w:rFonts w:cstheme="minorHAnsi"/>
        </w:rPr>
        <w:t xml:space="preserve"> for female-produced dragline</w:t>
      </w:r>
      <w:r>
        <w:rPr>
          <w:rFonts w:cs="Calibri"/>
        </w:rPr>
        <w:t xml:space="preserve"> </w:t>
      </w:r>
      <w:r w:rsidR="00265B60" w:rsidRPr="0046158D">
        <w:rPr>
          <w:rFonts w:cstheme="minorHAnsi"/>
        </w:rPr>
        <w:t xml:space="preserve">silk probing by </w:t>
      </w:r>
      <w:r>
        <w:rPr>
          <w:rFonts w:cs="Calibri"/>
        </w:rPr>
        <w:t>males</w:t>
      </w:r>
      <w:r w:rsidR="00265B60" w:rsidRPr="0046158D">
        <w:rPr>
          <w:rFonts w:cstheme="minorHAnsi"/>
        </w:rPr>
        <w:t xml:space="preserve">, 12 </w:t>
      </w:r>
      <w:r>
        <w:rPr>
          <w:rFonts w:cs="Calibri"/>
        </w:rPr>
        <w:t>footage samples</w:t>
      </w:r>
      <w:r w:rsidR="00265B60" w:rsidRPr="0046158D">
        <w:rPr>
          <w:rFonts w:cstheme="minorHAnsi"/>
        </w:rPr>
        <w:t xml:space="preserve"> for two types of prey (cricket and housefly) </w:t>
      </w:r>
      <w:r>
        <w:rPr>
          <w:rFonts w:cs="Calibri"/>
        </w:rPr>
        <w:t>capture</w:t>
      </w:r>
      <w:r w:rsidR="00265B60" w:rsidRPr="0046158D">
        <w:rPr>
          <w:rFonts w:cstheme="minorHAnsi"/>
        </w:rPr>
        <w:t xml:space="preserve">, and six </w:t>
      </w:r>
      <w:r>
        <w:rPr>
          <w:rFonts w:cs="Calibri"/>
        </w:rPr>
        <w:t>footage samples for</w:t>
      </w:r>
      <w:r w:rsidR="00265B60" w:rsidRPr="0046158D">
        <w:rPr>
          <w:rFonts w:cstheme="minorHAnsi"/>
        </w:rPr>
        <w:t xml:space="preserve"> mating. Data </w:t>
      </w:r>
      <w:r>
        <w:rPr>
          <w:rFonts w:cs="Calibri"/>
        </w:rPr>
        <w:t>are</w:t>
      </w:r>
      <w:r w:rsidR="00265B60" w:rsidRPr="0046158D">
        <w:rPr>
          <w:rFonts w:cstheme="minorHAnsi"/>
        </w:rPr>
        <w:t xml:space="preserve"> specified for the segments (tarsus to femur) of the walking legs and the pedipalps (n.a. = </w:t>
      </w:r>
      <w:r>
        <w:rPr>
          <w:rFonts w:cs="Calibri"/>
        </w:rPr>
        <w:t>lacking</w:t>
      </w:r>
      <w:r w:rsidR="00265B60" w:rsidRPr="0046158D">
        <w:rPr>
          <w:rFonts w:cstheme="minorHAnsi"/>
        </w:rPr>
        <w:t xml:space="preserve"> metatarsus). WL: walking leg, Pod: podomeres, and PP: </w:t>
      </w:r>
      <w:r>
        <w:rPr>
          <w:rFonts w:cs="Calibri"/>
        </w:rPr>
        <w:t>pedipalp</w:t>
      </w:r>
      <w:r w:rsidR="00265B60" w:rsidRPr="0046158D">
        <w:rPr>
          <w:rFonts w:cstheme="minorHAnsi"/>
        </w:rPr>
        <w:t>.</w:t>
      </w:r>
    </w:p>
    <w:p w:rsidR="00265B60" w:rsidRDefault="00265B60" w:rsidP="009D713E">
      <w:pPr>
        <w:jc w:val="both"/>
      </w:pPr>
    </w:p>
    <w:p w:rsidR="00DC781E" w:rsidRPr="005509AF" w:rsidRDefault="00DC781E" w:rsidP="009D713E">
      <w:pPr>
        <w:jc w:val="both"/>
      </w:pPr>
      <w:bookmarkStart w:id="0" w:name="_GoBack"/>
      <w:bookmarkEnd w:id="0"/>
    </w:p>
    <w:p w:rsidR="00C36D92" w:rsidRPr="005509AF" w:rsidRDefault="00D92903" w:rsidP="00C36D92">
      <w:pPr>
        <w:jc w:val="center"/>
        <w:rPr>
          <w:rFonts w:cs="Arial"/>
          <w:bCs/>
        </w:rPr>
      </w:pPr>
      <w:r w:rsidRPr="005509AF">
        <w:rPr>
          <w:rFonts w:cs="Arial"/>
          <w:bCs/>
          <w:noProof/>
          <w:lang w:val="de-DE" w:eastAsia="de-DE"/>
        </w:rPr>
        <w:drawing>
          <wp:inline distT="0" distB="0" distL="0" distR="0">
            <wp:extent cx="4696851" cy="2019300"/>
            <wp:effectExtent l="0" t="0" r="8890" b="0"/>
            <wp:docPr id="1273905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0553"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727710" cy="2032567"/>
                    </a:xfrm>
                    <a:prstGeom prst="rect">
                      <a:avLst/>
                    </a:prstGeom>
                    <a:noFill/>
                    <a:ln>
                      <a:noFill/>
                    </a:ln>
                  </pic:spPr>
                </pic:pic>
              </a:graphicData>
            </a:graphic>
          </wp:inline>
        </w:drawing>
      </w:r>
    </w:p>
    <w:p w:rsidR="001E1B4D" w:rsidRPr="0046158D" w:rsidRDefault="00D92903" w:rsidP="0046158D">
      <w:pPr>
        <w:spacing w:line="480" w:lineRule="auto"/>
        <w:jc w:val="both"/>
        <w:rPr>
          <w:rFonts w:cstheme="minorHAnsi"/>
          <w:bCs/>
        </w:rPr>
      </w:pPr>
      <w:r w:rsidRPr="0046158D">
        <w:rPr>
          <w:rFonts w:cstheme="minorHAnsi"/>
          <w:b/>
          <w:bCs/>
        </w:rPr>
        <w:t xml:space="preserve">Figure S5: Olfactometer used to test for attraction of male </w:t>
      </w:r>
      <w:r w:rsidRPr="0046158D">
        <w:rPr>
          <w:rFonts w:cstheme="minorHAnsi"/>
          <w:b/>
          <w:bCs/>
          <w:i/>
          <w:iCs/>
        </w:rPr>
        <w:t>Pisaura mirabilis</w:t>
      </w:r>
      <w:r w:rsidRPr="0046158D">
        <w:rPr>
          <w:rFonts w:cstheme="minorHAnsi"/>
          <w:b/>
          <w:bCs/>
        </w:rPr>
        <w:t xml:space="preserve"> to female </w:t>
      </w:r>
      <w:r>
        <w:rPr>
          <w:rFonts w:cs="Calibri"/>
          <w:b/>
          <w:bCs/>
        </w:rPr>
        <w:t>scent</w:t>
      </w:r>
      <w:r w:rsidRPr="0046158D">
        <w:rPr>
          <w:rFonts w:cstheme="minorHAnsi"/>
          <w:b/>
          <w:bCs/>
        </w:rPr>
        <w:t xml:space="preserve"> versus a stimulus-free control.</w:t>
      </w:r>
      <w:r w:rsidRPr="0046158D">
        <w:rPr>
          <w:rFonts w:cstheme="minorHAnsi"/>
          <w:bCs/>
        </w:rPr>
        <w:t xml:space="preserve"> Tubing connected each arm with stimulus chambers that held a female or not. Males were introduced to a holding tube connected to a pump drawing 0.4 L/min air for two min prior </w:t>
      </w:r>
      <w:r>
        <w:rPr>
          <w:rFonts w:cs="Calibri"/>
          <w:bCs/>
        </w:rPr>
        <w:t xml:space="preserve">to </w:t>
      </w:r>
      <w:r w:rsidRPr="0046158D">
        <w:rPr>
          <w:rFonts w:cstheme="minorHAnsi"/>
          <w:bCs/>
        </w:rPr>
        <w:t>connection to the Y-tube. A choice was considered when a male reached the end of a Y-arm.</w:t>
      </w:r>
    </w:p>
    <w:sectPr w:rsidR="001E1B4D" w:rsidRPr="0046158D" w:rsidSect="0046158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21D8" w:rsidRDefault="001521D8">
      <w:pPr>
        <w:spacing w:after="0" w:line="240" w:lineRule="auto"/>
      </w:pPr>
      <w:r>
        <w:separator/>
      </w:r>
    </w:p>
  </w:endnote>
  <w:endnote w:type="continuationSeparator" w:id="0">
    <w:p w:rsidR="001521D8" w:rsidRDefault="001521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21D8" w:rsidRDefault="001521D8">
      <w:pPr>
        <w:spacing w:after="0" w:line="240" w:lineRule="auto"/>
      </w:pPr>
      <w:r>
        <w:separator/>
      </w:r>
    </w:p>
  </w:footnote>
  <w:footnote w:type="continuationSeparator" w:id="0">
    <w:p w:rsidR="001521D8" w:rsidRDefault="001521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D92" w:rsidRDefault="00C36D9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E74"/>
    <w:rsid w:val="000020BB"/>
    <w:rsid w:val="00003617"/>
    <w:rsid w:val="00006DC9"/>
    <w:rsid w:val="00022715"/>
    <w:rsid w:val="00027099"/>
    <w:rsid w:val="00034F7C"/>
    <w:rsid w:val="0003696B"/>
    <w:rsid w:val="00054638"/>
    <w:rsid w:val="00067546"/>
    <w:rsid w:val="00086932"/>
    <w:rsid w:val="00095931"/>
    <w:rsid w:val="000A0F87"/>
    <w:rsid w:val="000A29EE"/>
    <w:rsid w:val="000B1F87"/>
    <w:rsid w:val="000C5852"/>
    <w:rsid w:val="000E1528"/>
    <w:rsid w:val="000E3B8E"/>
    <w:rsid w:val="001078E1"/>
    <w:rsid w:val="00126D08"/>
    <w:rsid w:val="00150BA5"/>
    <w:rsid w:val="001521D8"/>
    <w:rsid w:val="00162C5B"/>
    <w:rsid w:val="00175F4A"/>
    <w:rsid w:val="00196C01"/>
    <w:rsid w:val="001A782D"/>
    <w:rsid w:val="001C235C"/>
    <w:rsid w:val="001D0ECF"/>
    <w:rsid w:val="001E1B4D"/>
    <w:rsid w:val="001E37ED"/>
    <w:rsid w:val="001E3B7C"/>
    <w:rsid w:val="00200C82"/>
    <w:rsid w:val="0020195A"/>
    <w:rsid w:val="00206F01"/>
    <w:rsid w:val="00215507"/>
    <w:rsid w:val="002208D4"/>
    <w:rsid w:val="002327D8"/>
    <w:rsid w:val="002337BD"/>
    <w:rsid w:val="00236D44"/>
    <w:rsid w:val="002462CE"/>
    <w:rsid w:val="00265B60"/>
    <w:rsid w:val="00280B76"/>
    <w:rsid w:val="00283073"/>
    <w:rsid w:val="002943F9"/>
    <w:rsid w:val="002A38D5"/>
    <w:rsid w:val="002C0CC4"/>
    <w:rsid w:val="002C1808"/>
    <w:rsid w:val="002E3BFC"/>
    <w:rsid w:val="002E6E27"/>
    <w:rsid w:val="00303124"/>
    <w:rsid w:val="00306109"/>
    <w:rsid w:val="003337DD"/>
    <w:rsid w:val="00370E8C"/>
    <w:rsid w:val="00372C23"/>
    <w:rsid w:val="00373241"/>
    <w:rsid w:val="003772D0"/>
    <w:rsid w:val="00382634"/>
    <w:rsid w:val="0039792B"/>
    <w:rsid w:val="003B3715"/>
    <w:rsid w:val="003C16DB"/>
    <w:rsid w:val="003C187D"/>
    <w:rsid w:val="003D2033"/>
    <w:rsid w:val="003E10B8"/>
    <w:rsid w:val="003F7187"/>
    <w:rsid w:val="00412359"/>
    <w:rsid w:val="004329C3"/>
    <w:rsid w:val="004342E5"/>
    <w:rsid w:val="00450A85"/>
    <w:rsid w:val="004538C0"/>
    <w:rsid w:val="0046158D"/>
    <w:rsid w:val="0046791C"/>
    <w:rsid w:val="00490FA2"/>
    <w:rsid w:val="004A2DB6"/>
    <w:rsid w:val="004A4A6B"/>
    <w:rsid w:val="004A4D1B"/>
    <w:rsid w:val="004E00E3"/>
    <w:rsid w:val="004E5BCF"/>
    <w:rsid w:val="004F71D7"/>
    <w:rsid w:val="005045DF"/>
    <w:rsid w:val="00512516"/>
    <w:rsid w:val="00526512"/>
    <w:rsid w:val="005402A2"/>
    <w:rsid w:val="005509AF"/>
    <w:rsid w:val="00552D62"/>
    <w:rsid w:val="00564267"/>
    <w:rsid w:val="00582B13"/>
    <w:rsid w:val="005A3DF0"/>
    <w:rsid w:val="005A68FD"/>
    <w:rsid w:val="005E7396"/>
    <w:rsid w:val="00646AAC"/>
    <w:rsid w:val="006505DE"/>
    <w:rsid w:val="0067015F"/>
    <w:rsid w:val="006708B4"/>
    <w:rsid w:val="006731DA"/>
    <w:rsid w:val="00676344"/>
    <w:rsid w:val="00687041"/>
    <w:rsid w:val="00687A29"/>
    <w:rsid w:val="006950BD"/>
    <w:rsid w:val="006A0ACE"/>
    <w:rsid w:val="006B403F"/>
    <w:rsid w:val="006D35D9"/>
    <w:rsid w:val="006D3F73"/>
    <w:rsid w:val="006E35FC"/>
    <w:rsid w:val="006F48BB"/>
    <w:rsid w:val="00707166"/>
    <w:rsid w:val="0072031C"/>
    <w:rsid w:val="0073369B"/>
    <w:rsid w:val="00740545"/>
    <w:rsid w:val="00751F77"/>
    <w:rsid w:val="00776680"/>
    <w:rsid w:val="007A318E"/>
    <w:rsid w:val="007C5ADB"/>
    <w:rsid w:val="007D1FC1"/>
    <w:rsid w:val="007D59C3"/>
    <w:rsid w:val="007F4A36"/>
    <w:rsid w:val="007F65E6"/>
    <w:rsid w:val="007F6D05"/>
    <w:rsid w:val="008008D1"/>
    <w:rsid w:val="00802D5D"/>
    <w:rsid w:val="008159A3"/>
    <w:rsid w:val="00815CD7"/>
    <w:rsid w:val="00820D94"/>
    <w:rsid w:val="00822179"/>
    <w:rsid w:val="00830297"/>
    <w:rsid w:val="0084319F"/>
    <w:rsid w:val="00844DFD"/>
    <w:rsid w:val="008600E1"/>
    <w:rsid w:val="00867507"/>
    <w:rsid w:val="008775AF"/>
    <w:rsid w:val="00886934"/>
    <w:rsid w:val="00887FDE"/>
    <w:rsid w:val="008D3FD3"/>
    <w:rsid w:val="008D6750"/>
    <w:rsid w:val="008E340D"/>
    <w:rsid w:val="008E702B"/>
    <w:rsid w:val="00904E12"/>
    <w:rsid w:val="0090703E"/>
    <w:rsid w:val="00907ADE"/>
    <w:rsid w:val="009331E1"/>
    <w:rsid w:val="00966D91"/>
    <w:rsid w:val="009823A6"/>
    <w:rsid w:val="009848D3"/>
    <w:rsid w:val="009928B0"/>
    <w:rsid w:val="009A3E2A"/>
    <w:rsid w:val="009A7D57"/>
    <w:rsid w:val="009C5757"/>
    <w:rsid w:val="009D4182"/>
    <w:rsid w:val="009D713E"/>
    <w:rsid w:val="00A52E37"/>
    <w:rsid w:val="00A5307C"/>
    <w:rsid w:val="00A61969"/>
    <w:rsid w:val="00A70112"/>
    <w:rsid w:val="00A74E67"/>
    <w:rsid w:val="00A85455"/>
    <w:rsid w:val="00A85DD6"/>
    <w:rsid w:val="00A86F77"/>
    <w:rsid w:val="00A93B13"/>
    <w:rsid w:val="00AA768B"/>
    <w:rsid w:val="00AC504D"/>
    <w:rsid w:val="00AE406D"/>
    <w:rsid w:val="00B05954"/>
    <w:rsid w:val="00B12387"/>
    <w:rsid w:val="00B24E74"/>
    <w:rsid w:val="00B324C7"/>
    <w:rsid w:val="00B34065"/>
    <w:rsid w:val="00B41B51"/>
    <w:rsid w:val="00B46E7E"/>
    <w:rsid w:val="00B473C9"/>
    <w:rsid w:val="00B573AA"/>
    <w:rsid w:val="00B800FE"/>
    <w:rsid w:val="00B8632C"/>
    <w:rsid w:val="00B90EC1"/>
    <w:rsid w:val="00BB37F6"/>
    <w:rsid w:val="00BE6379"/>
    <w:rsid w:val="00BF5441"/>
    <w:rsid w:val="00BF7584"/>
    <w:rsid w:val="00C042E6"/>
    <w:rsid w:val="00C12523"/>
    <w:rsid w:val="00C17E89"/>
    <w:rsid w:val="00C214BA"/>
    <w:rsid w:val="00C30397"/>
    <w:rsid w:val="00C36D92"/>
    <w:rsid w:val="00C42659"/>
    <w:rsid w:val="00C65C08"/>
    <w:rsid w:val="00C7010F"/>
    <w:rsid w:val="00C73010"/>
    <w:rsid w:val="00C74921"/>
    <w:rsid w:val="00C76FA9"/>
    <w:rsid w:val="00CA0E93"/>
    <w:rsid w:val="00CA6507"/>
    <w:rsid w:val="00CB105C"/>
    <w:rsid w:val="00CC1FA2"/>
    <w:rsid w:val="00CF3269"/>
    <w:rsid w:val="00D0531D"/>
    <w:rsid w:val="00D13D71"/>
    <w:rsid w:val="00D50758"/>
    <w:rsid w:val="00D71250"/>
    <w:rsid w:val="00D776D4"/>
    <w:rsid w:val="00D85717"/>
    <w:rsid w:val="00D92903"/>
    <w:rsid w:val="00D97833"/>
    <w:rsid w:val="00DA457C"/>
    <w:rsid w:val="00DC3DAE"/>
    <w:rsid w:val="00DC5CE6"/>
    <w:rsid w:val="00DC781E"/>
    <w:rsid w:val="00DE10F5"/>
    <w:rsid w:val="00E02453"/>
    <w:rsid w:val="00E16C45"/>
    <w:rsid w:val="00E200C2"/>
    <w:rsid w:val="00E55DFD"/>
    <w:rsid w:val="00E71A36"/>
    <w:rsid w:val="00E765CF"/>
    <w:rsid w:val="00E76620"/>
    <w:rsid w:val="00EA01DE"/>
    <w:rsid w:val="00EA289A"/>
    <w:rsid w:val="00EB13F4"/>
    <w:rsid w:val="00EB2AB1"/>
    <w:rsid w:val="00EB593D"/>
    <w:rsid w:val="00EE5A4E"/>
    <w:rsid w:val="00F07A3A"/>
    <w:rsid w:val="00F13A81"/>
    <w:rsid w:val="00F45C79"/>
    <w:rsid w:val="00F55E8F"/>
    <w:rsid w:val="00F568A3"/>
    <w:rsid w:val="00F80945"/>
    <w:rsid w:val="00FA06B5"/>
    <w:rsid w:val="00FA0971"/>
    <w:rsid w:val="00FE2280"/>
    <w:rsid w:val="00FE259B"/>
    <w:rsid w:val="00FF14C3"/>
    <w:rsid w:val="00FF46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1D576"/>
  <w15:chartTrackingRefBased/>
  <w15:docId w15:val="{03BAE52F-70B9-4838-B4E7-E3C6E59ED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A3DF0"/>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3C16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175F4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75F4A"/>
    <w:rPr>
      <w:rFonts w:ascii="Segoe UI" w:hAnsi="Segoe UI" w:cs="Segoe UI"/>
      <w:sz w:val="18"/>
      <w:szCs w:val="18"/>
    </w:rPr>
  </w:style>
  <w:style w:type="character" w:styleId="Kommentarzeichen">
    <w:name w:val="annotation reference"/>
    <w:basedOn w:val="Absatz-Standardschriftart"/>
    <w:uiPriority w:val="99"/>
    <w:semiHidden/>
    <w:unhideWhenUsed/>
    <w:rsid w:val="00175F4A"/>
    <w:rPr>
      <w:sz w:val="16"/>
      <w:szCs w:val="16"/>
    </w:rPr>
  </w:style>
  <w:style w:type="paragraph" w:styleId="Kommentartext">
    <w:name w:val="annotation text"/>
    <w:basedOn w:val="Standard"/>
    <w:link w:val="KommentartextZchn"/>
    <w:uiPriority w:val="99"/>
    <w:semiHidden/>
    <w:unhideWhenUsed/>
    <w:rsid w:val="00175F4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75F4A"/>
    <w:rPr>
      <w:sz w:val="20"/>
      <w:szCs w:val="20"/>
    </w:rPr>
  </w:style>
  <w:style w:type="paragraph" w:styleId="Kommentarthema">
    <w:name w:val="annotation subject"/>
    <w:basedOn w:val="Kommentartext"/>
    <w:next w:val="Kommentartext"/>
    <w:link w:val="KommentarthemaZchn"/>
    <w:uiPriority w:val="99"/>
    <w:semiHidden/>
    <w:unhideWhenUsed/>
    <w:rsid w:val="00175F4A"/>
    <w:rPr>
      <w:b/>
      <w:bCs/>
    </w:rPr>
  </w:style>
  <w:style w:type="character" w:customStyle="1" w:styleId="KommentarthemaZchn">
    <w:name w:val="Kommentarthema Zchn"/>
    <w:basedOn w:val="KommentartextZchn"/>
    <w:link w:val="Kommentarthema"/>
    <w:uiPriority w:val="99"/>
    <w:semiHidden/>
    <w:rsid w:val="00175F4A"/>
    <w:rPr>
      <w:b/>
      <w:bCs/>
      <w:sz w:val="20"/>
      <w:szCs w:val="20"/>
    </w:rPr>
  </w:style>
  <w:style w:type="paragraph" w:styleId="berarbeitung">
    <w:name w:val="Revision"/>
    <w:hidden/>
    <w:uiPriority w:val="99"/>
    <w:semiHidden/>
    <w:rsid w:val="00FF46A4"/>
    <w:pPr>
      <w:spacing w:after="0" w:line="240" w:lineRule="auto"/>
    </w:pPr>
  </w:style>
  <w:style w:type="character" w:styleId="Hervorhebung">
    <w:name w:val="Emphasis"/>
    <w:basedOn w:val="Absatz-Standardschriftart"/>
    <w:uiPriority w:val="20"/>
    <w:qFormat/>
    <w:rsid w:val="000A29EE"/>
    <w:rPr>
      <w:i/>
      <w:iCs/>
    </w:rPr>
  </w:style>
  <w:style w:type="table" w:styleId="TabellemithellemGitternetz">
    <w:name w:val="Grid Table Light"/>
    <w:basedOn w:val="NormaleTabelle"/>
    <w:uiPriority w:val="40"/>
    <w:rsid w:val="00EE5A4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Kopfzeile">
    <w:name w:val="header"/>
    <w:basedOn w:val="Standard"/>
    <w:link w:val="KopfzeileZchn"/>
    <w:uiPriority w:val="99"/>
    <w:unhideWhenUsed/>
    <w:rsid w:val="00C36D92"/>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C36D92"/>
  </w:style>
  <w:style w:type="paragraph" w:styleId="Fuzeile">
    <w:name w:val="footer"/>
    <w:basedOn w:val="Standard"/>
    <w:link w:val="FuzeileZchn"/>
    <w:uiPriority w:val="99"/>
    <w:unhideWhenUsed/>
    <w:rsid w:val="00C36D92"/>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C36D92"/>
  </w:style>
  <w:style w:type="character" w:styleId="Zeilennummer">
    <w:name w:val="line number"/>
    <w:basedOn w:val="Absatz-Standardschriftart"/>
    <w:uiPriority w:val="99"/>
    <w:semiHidden/>
    <w:unhideWhenUsed/>
    <w:rsid w:val="0046158D"/>
  </w:style>
  <w:style w:type="character" w:styleId="Hyperlink">
    <w:name w:val="Hyperlink"/>
    <w:basedOn w:val="Absatz-Standardschriftart"/>
    <w:uiPriority w:val="99"/>
    <w:unhideWhenUsed/>
    <w:rsid w:val="003732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gabri\AppData\Local\Microsoft\Windows\INetCache\Content.Outlook\458HVKXX\talukderm@uni-greifswald.de" TargetMode="External"/><Relationship Id="rId13" Type="http://schemas.openxmlformats.org/officeDocument/2006/relationships/image" Target="media/image5.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gabriele.uhl@uni-greifswald.de" TargetMode="Externa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ti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E3D1A-AF52-4F9E-B5DF-C90DB8001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1289</Words>
  <Characters>8125</Characters>
  <Application>Microsoft Office Word</Application>
  <DocSecurity>0</DocSecurity>
  <Lines>67</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Gast_Uhl9</dc:creator>
  <cp:lastModifiedBy>gabriele</cp:lastModifiedBy>
  <cp:revision>2</cp:revision>
  <dcterms:created xsi:type="dcterms:W3CDTF">2025-03-14T16:18:00Z</dcterms:created>
  <dcterms:modified xsi:type="dcterms:W3CDTF">2025-03-14T16:18:00Z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2025-03-14T15:00:32Z</vt:filetime>
  </property>
</Properties>
</file>