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A79F38" w14:textId="4E0C9067" w:rsidR="002066D8" w:rsidRPr="00033567" w:rsidRDefault="00D732C7" w:rsidP="00033567">
      <w:pPr>
        <w:pStyle w:val="NormalWeb"/>
        <w:spacing w:before="0" w:beforeAutospacing="0" w:after="0" w:afterAutospacing="0" w:line="360" w:lineRule="auto"/>
        <w:jc w:val="center"/>
        <w:rPr>
          <w:sz w:val="28"/>
          <w:szCs w:val="28"/>
          <w:lang w:val="en-GB"/>
        </w:rPr>
      </w:pPr>
      <w:r w:rsidRPr="00033567">
        <w:rPr>
          <w:b/>
          <w:bCs/>
          <w:color w:val="222222"/>
          <w:sz w:val="28"/>
          <w:szCs w:val="28"/>
          <w:shd w:val="clear" w:color="auto" w:fill="FFFFFF"/>
          <w:lang w:val="en-GB"/>
        </w:rPr>
        <w:t xml:space="preserve">High-Flow Nasal </w:t>
      </w:r>
      <w:r w:rsidR="00B20429" w:rsidRPr="00033567">
        <w:rPr>
          <w:b/>
          <w:bCs/>
          <w:color w:val="222222"/>
          <w:sz w:val="28"/>
          <w:szCs w:val="28"/>
          <w:shd w:val="clear" w:color="auto" w:fill="FFFFFF"/>
          <w:lang w:val="en-GB"/>
        </w:rPr>
        <w:t xml:space="preserve">Oxygen </w:t>
      </w:r>
      <w:r w:rsidR="00A756C6" w:rsidRPr="00033567">
        <w:rPr>
          <w:b/>
          <w:bCs/>
          <w:color w:val="222222"/>
          <w:sz w:val="28"/>
          <w:szCs w:val="28"/>
          <w:shd w:val="clear" w:color="auto" w:fill="FFFFFF"/>
          <w:lang w:val="en-GB"/>
        </w:rPr>
        <w:t xml:space="preserve">Setting </w:t>
      </w:r>
      <w:r w:rsidRPr="00033567">
        <w:rPr>
          <w:b/>
          <w:bCs/>
          <w:color w:val="222222"/>
          <w:sz w:val="28"/>
          <w:szCs w:val="28"/>
          <w:shd w:val="clear" w:color="auto" w:fill="FFFFFF"/>
          <w:lang w:val="en-GB"/>
        </w:rPr>
        <w:t xml:space="preserve">Post </w:t>
      </w:r>
      <w:proofErr w:type="spellStart"/>
      <w:r w:rsidRPr="00033567">
        <w:rPr>
          <w:b/>
          <w:bCs/>
          <w:color w:val="222222"/>
          <w:sz w:val="28"/>
          <w:szCs w:val="28"/>
          <w:shd w:val="clear" w:color="auto" w:fill="FFFFFF"/>
          <w:lang w:val="en-GB"/>
        </w:rPr>
        <w:t>Extubation</w:t>
      </w:r>
      <w:proofErr w:type="spellEnd"/>
      <w:r w:rsidR="005464D1" w:rsidRPr="00033567">
        <w:rPr>
          <w:b/>
          <w:bCs/>
          <w:color w:val="222222"/>
          <w:sz w:val="28"/>
          <w:szCs w:val="28"/>
          <w:shd w:val="clear" w:color="auto" w:fill="FFFFFF"/>
          <w:lang w:val="en-GB"/>
        </w:rPr>
        <w:t xml:space="preserve"> based o</w:t>
      </w:r>
      <w:r w:rsidR="00B20429" w:rsidRPr="00033567">
        <w:rPr>
          <w:b/>
          <w:bCs/>
          <w:color w:val="222222"/>
          <w:sz w:val="28"/>
          <w:szCs w:val="28"/>
          <w:shd w:val="clear" w:color="auto" w:fill="FFFFFF"/>
          <w:lang w:val="en-GB"/>
        </w:rPr>
        <w:t xml:space="preserve">n </w:t>
      </w:r>
      <w:r w:rsidRPr="00033567">
        <w:rPr>
          <w:b/>
          <w:bCs/>
          <w:color w:val="222222"/>
          <w:sz w:val="28"/>
          <w:szCs w:val="28"/>
          <w:shd w:val="clear" w:color="auto" w:fill="FFFFFF"/>
          <w:lang w:val="en-GB"/>
        </w:rPr>
        <w:t xml:space="preserve">Inspiratory Flow </w:t>
      </w:r>
      <w:r w:rsidR="005464D1" w:rsidRPr="00033567">
        <w:rPr>
          <w:b/>
          <w:bCs/>
          <w:color w:val="222222"/>
          <w:sz w:val="28"/>
          <w:szCs w:val="28"/>
          <w:shd w:val="clear" w:color="auto" w:fill="FFFFFF"/>
          <w:lang w:val="en-GB"/>
        </w:rPr>
        <w:t>during a</w:t>
      </w:r>
      <w:r w:rsidRPr="00033567">
        <w:rPr>
          <w:b/>
          <w:bCs/>
          <w:color w:val="222222"/>
          <w:sz w:val="28"/>
          <w:szCs w:val="28"/>
          <w:shd w:val="clear" w:color="auto" w:fill="FFFFFF"/>
          <w:lang w:val="en-GB"/>
        </w:rPr>
        <w:t xml:space="preserve"> Spontaneous Breathing Trial</w:t>
      </w:r>
    </w:p>
    <w:p w14:paraId="63C6CF54" w14:textId="77777777" w:rsidR="00D01CD2" w:rsidRDefault="00D01CD2" w:rsidP="00D01CD2">
      <w:pPr>
        <w:pStyle w:val="NormalWeb"/>
        <w:spacing w:before="0" w:beforeAutospacing="0" w:after="0" w:afterAutospacing="0" w:line="360" w:lineRule="auto"/>
        <w:jc w:val="center"/>
        <w:rPr>
          <w:b/>
          <w:bCs/>
          <w:color w:val="222222"/>
          <w:shd w:val="clear" w:color="auto" w:fill="FFFFFF"/>
          <w:lang w:val="en-GB"/>
        </w:rPr>
      </w:pPr>
    </w:p>
    <w:p w14:paraId="0FF4C0C0" w14:textId="3459600E" w:rsidR="00D01CD2" w:rsidRDefault="00D01CD2" w:rsidP="00D01CD2">
      <w:pPr>
        <w:pStyle w:val="NormalWeb"/>
        <w:spacing w:before="0" w:beforeAutospacing="0" w:after="0" w:afterAutospacing="0" w:line="360" w:lineRule="auto"/>
        <w:jc w:val="center"/>
        <w:rPr>
          <w:b/>
          <w:bCs/>
          <w:color w:val="222222"/>
          <w:shd w:val="clear" w:color="auto" w:fill="FFFFFF"/>
          <w:lang w:val="en-GB"/>
        </w:rPr>
      </w:pPr>
      <w:r>
        <w:rPr>
          <w:b/>
          <w:bCs/>
          <w:color w:val="222222"/>
          <w:shd w:val="clear" w:color="auto" w:fill="FFFFFF"/>
          <w:lang w:val="en-GB"/>
        </w:rPr>
        <w:t>ONLINE SUPPLEMENT</w:t>
      </w:r>
    </w:p>
    <w:p w14:paraId="4BD3FE14" w14:textId="77777777" w:rsidR="00A04E6A" w:rsidRPr="00033567" w:rsidRDefault="00A04E6A" w:rsidP="0047398E">
      <w:pPr>
        <w:spacing w:line="360" w:lineRule="auto"/>
        <w:rPr>
          <w:rFonts w:eastAsia="Times New Roman"/>
          <w:bCs/>
          <w:color w:val="000000"/>
          <w:lang w:val="en-US"/>
        </w:rPr>
      </w:pPr>
    </w:p>
    <w:p w14:paraId="1257B073" w14:textId="77777777" w:rsidR="00D01CD2" w:rsidRDefault="00D01CD2" w:rsidP="0047398E">
      <w:pPr>
        <w:spacing w:line="360" w:lineRule="auto"/>
        <w:rPr>
          <w:rFonts w:eastAsia="Times New Roman"/>
          <w:bCs/>
          <w:color w:val="000000"/>
        </w:rPr>
      </w:pPr>
    </w:p>
    <w:p w14:paraId="08639C59" w14:textId="77777777" w:rsidR="00D01CD2" w:rsidRDefault="00D01CD2" w:rsidP="0047398E">
      <w:pPr>
        <w:spacing w:line="360" w:lineRule="auto"/>
        <w:rPr>
          <w:rFonts w:eastAsia="Times New Roman"/>
          <w:bCs/>
          <w:color w:val="000000"/>
        </w:rPr>
      </w:pPr>
    </w:p>
    <w:p w14:paraId="328F1911" w14:textId="1BFB07B6" w:rsidR="0047398E" w:rsidRPr="000A1279" w:rsidRDefault="0047398E" w:rsidP="0047398E">
      <w:pPr>
        <w:spacing w:line="360" w:lineRule="auto"/>
        <w:rPr>
          <w:color w:val="000000"/>
        </w:rPr>
      </w:pPr>
      <w:proofErr w:type="spellStart"/>
      <w:r w:rsidRPr="000A1279">
        <w:rPr>
          <w:rFonts w:eastAsia="Times New Roman"/>
          <w:bCs/>
          <w:color w:val="000000"/>
        </w:rPr>
        <w:t>Sophia</w:t>
      </w:r>
      <w:proofErr w:type="spellEnd"/>
      <w:r w:rsidRPr="000A1279">
        <w:rPr>
          <w:rFonts w:eastAsia="Times New Roman"/>
          <w:bCs/>
          <w:color w:val="000000"/>
        </w:rPr>
        <w:t xml:space="preserve"> Butt</w:t>
      </w:r>
      <w:r w:rsidRPr="000A1279">
        <w:rPr>
          <w:rFonts w:eastAsia="Times New Roman"/>
          <w:bCs/>
          <w:color w:val="000000"/>
          <w:vertAlign w:val="superscript"/>
        </w:rPr>
        <w:t>1</w:t>
      </w:r>
      <w:r w:rsidRPr="000A1279">
        <w:rPr>
          <w:rFonts w:eastAsia="Times New Roman"/>
          <w:bCs/>
          <w:color w:val="000000"/>
        </w:rPr>
        <w:t xml:space="preserve">*, </w:t>
      </w:r>
      <w:r w:rsidRPr="000A1279">
        <w:rPr>
          <w:color w:val="000000"/>
        </w:rPr>
        <w:t>Laura Pistidda</w:t>
      </w:r>
      <w:r w:rsidRPr="000A1279">
        <w:rPr>
          <w:color w:val="000000"/>
          <w:vertAlign w:val="superscript"/>
        </w:rPr>
        <w:t>1,3</w:t>
      </w:r>
      <w:r w:rsidRPr="000A1279">
        <w:rPr>
          <w:color w:val="000000"/>
        </w:rPr>
        <w:t>*, Leda Floris</w:t>
      </w:r>
      <w:r w:rsidRPr="000A1279">
        <w:rPr>
          <w:color w:val="000000"/>
          <w:vertAlign w:val="superscript"/>
        </w:rPr>
        <w:t>1,3</w:t>
      </w:r>
      <w:r w:rsidRPr="000A1279">
        <w:rPr>
          <w:color w:val="000000"/>
        </w:rPr>
        <w:t>, Corrado Liperi</w:t>
      </w:r>
      <w:r w:rsidRPr="000A1279">
        <w:rPr>
          <w:color w:val="000000"/>
          <w:vertAlign w:val="superscript"/>
        </w:rPr>
        <w:t>,3</w:t>
      </w:r>
      <w:r w:rsidRPr="000A1279">
        <w:rPr>
          <w:color w:val="000000"/>
        </w:rPr>
        <w:t xml:space="preserve">, </w:t>
      </w:r>
      <w:r w:rsidRPr="000A1279">
        <w:rPr>
          <w:rFonts w:eastAsia="Times New Roman"/>
          <w:bCs/>
          <w:color w:val="000000"/>
        </w:rPr>
        <w:t>Francesco Vasques</w:t>
      </w:r>
      <w:r w:rsidRPr="000A1279">
        <w:rPr>
          <w:rFonts w:eastAsia="Times New Roman"/>
          <w:bCs/>
          <w:color w:val="000000"/>
          <w:vertAlign w:val="superscript"/>
        </w:rPr>
        <w:t>1</w:t>
      </w:r>
      <w:r w:rsidRPr="000A1279">
        <w:rPr>
          <w:rFonts w:eastAsia="Times New Roman"/>
          <w:bCs/>
          <w:color w:val="000000"/>
        </w:rPr>
        <w:t xml:space="preserve">, </w:t>
      </w:r>
      <w:proofErr w:type="spellStart"/>
      <w:r w:rsidRPr="000A1279">
        <w:rPr>
          <w:color w:val="000000"/>
        </w:rPr>
        <w:t>Guy</w:t>
      </w:r>
      <w:proofErr w:type="spellEnd"/>
      <w:r w:rsidRPr="000A1279">
        <w:rPr>
          <w:color w:val="000000"/>
        </w:rPr>
        <w:t xml:space="preserve"> Glover</w:t>
      </w:r>
      <w:r w:rsidRPr="000A1279">
        <w:rPr>
          <w:color w:val="000000"/>
          <w:vertAlign w:val="superscript"/>
        </w:rPr>
        <w:t>1</w:t>
      </w:r>
      <w:r w:rsidRPr="000A1279">
        <w:rPr>
          <w:color w:val="000000"/>
        </w:rPr>
        <w:t xml:space="preserve">, Nicholas </w:t>
      </w:r>
      <w:r w:rsidRPr="000A1279">
        <w:rPr>
          <w:rFonts w:eastAsia="Times New Roman"/>
          <w:bCs/>
          <w:color w:val="000000"/>
        </w:rPr>
        <w:t xml:space="preserve">A. </w:t>
      </w:r>
      <w:r w:rsidRPr="000A1279">
        <w:rPr>
          <w:color w:val="000000"/>
        </w:rPr>
        <w:t>Barrett</w:t>
      </w:r>
      <w:r w:rsidRPr="000A1279">
        <w:rPr>
          <w:color w:val="000000"/>
          <w:vertAlign w:val="superscript"/>
        </w:rPr>
        <w:t>1</w:t>
      </w:r>
      <w:r w:rsidRPr="000A1279">
        <w:rPr>
          <w:color w:val="000000"/>
        </w:rPr>
        <w:t xml:space="preserve">, </w:t>
      </w:r>
      <w:proofErr w:type="spellStart"/>
      <w:r w:rsidRPr="000A1279">
        <w:rPr>
          <w:color w:val="000000"/>
        </w:rPr>
        <w:t>Barnaby</w:t>
      </w:r>
      <w:proofErr w:type="spellEnd"/>
      <w:r w:rsidRPr="000A1279">
        <w:rPr>
          <w:color w:val="000000"/>
        </w:rPr>
        <w:t xml:space="preserve"> Sanderson</w:t>
      </w:r>
      <w:r w:rsidRPr="000A1279">
        <w:rPr>
          <w:color w:val="000000"/>
          <w:vertAlign w:val="superscript"/>
        </w:rPr>
        <w:t>1</w:t>
      </w:r>
      <w:r w:rsidRPr="000A1279">
        <w:rPr>
          <w:color w:val="000000"/>
        </w:rPr>
        <w:t>, Salvatore Grasso</w:t>
      </w:r>
      <w:r w:rsidRPr="000A1279">
        <w:rPr>
          <w:color w:val="000000"/>
          <w:vertAlign w:val="superscript"/>
        </w:rPr>
        <w:t>,2</w:t>
      </w:r>
      <w:r w:rsidRPr="000A1279">
        <w:rPr>
          <w:color w:val="000000"/>
        </w:rPr>
        <w:t xml:space="preserve">, </w:t>
      </w:r>
      <w:proofErr w:type="spellStart"/>
      <w:r w:rsidRPr="000A1279">
        <w:rPr>
          <w:color w:val="000000"/>
        </w:rPr>
        <w:t>Manu</w:t>
      </w:r>
      <w:proofErr w:type="spellEnd"/>
      <w:r w:rsidRPr="000A1279">
        <w:rPr>
          <w:color w:val="000000"/>
        </w:rPr>
        <w:t xml:space="preserve"> Shankar-Hari</w:t>
      </w:r>
      <w:r w:rsidRPr="000A1279">
        <w:rPr>
          <w:color w:val="000000"/>
          <w:vertAlign w:val="superscript"/>
        </w:rPr>
        <w:t>,1,4</w:t>
      </w:r>
      <w:r w:rsidRPr="000A1279">
        <w:rPr>
          <w:color w:val="000000"/>
        </w:rPr>
        <w:t>, Luigi Camporota</w:t>
      </w:r>
      <w:r w:rsidRPr="000A1279">
        <w:rPr>
          <w:color w:val="000000"/>
          <w:vertAlign w:val="superscript"/>
        </w:rPr>
        <w:t>1</w:t>
      </w:r>
      <w:r w:rsidRPr="000A1279">
        <w:rPr>
          <w:color w:val="000000"/>
        </w:rPr>
        <w:t xml:space="preserve">. </w:t>
      </w:r>
    </w:p>
    <w:p w14:paraId="36C16EF4" w14:textId="77777777" w:rsidR="0047398E" w:rsidRPr="004650CC" w:rsidRDefault="0047398E" w:rsidP="0047398E">
      <w:pPr>
        <w:spacing w:line="360" w:lineRule="auto"/>
        <w:ind w:left="360"/>
        <w:rPr>
          <w:i/>
          <w:color w:val="000000"/>
          <w:lang w:val="en-GB"/>
        </w:rPr>
      </w:pPr>
      <w:r w:rsidRPr="004650CC">
        <w:rPr>
          <w:i/>
          <w:color w:val="000000"/>
          <w:lang w:val="en-GB"/>
        </w:rPr>
        <w:t>To be considered ’First authors’</w:t>
      </w:r>
    </w:p>
    <w:p w14:paraId="4A44A6AA" w14:textId="206A4AF1" w:rsidR="003F545B" w:rsidRDefault="003F545B" w:rsidP="0047398E">
      <w:pPr>
        <w:spacing w:line="360" w:lineRule="auto"/>
        <w:rPr>
          <w:b/>
          <w:bCs/>
          <w:color w:val="000000"/>
          <w:sz w:val="28"/>
          <w:szCs w:val="28"/>
          <w:u w:val="single"/>
          <w:lang w:val="en-GB"/>
        </w:rPr>
      </w:pPr>
    </w:p>
    <w:p w14:paraId="5405AC5F" w14:textId="77777777" w:rsidR="00D01CD2" w:rsidRPr="00444D35" w:rsidRDefault="00D01CD2" w:rsidP="00D01CD2">
      <w:pPr>
        <w:spacing w:line="480" w:lineRule="auto"/>
        <w:jc w:val="both"/>
        <w:outlineLvl w:val="0"/>
        <w:rPr>
          <w:rFonts w:ascii="Arial" w:hAnsi="Arial" w:cs="Arial"/>
          <w:b/>
          <w:sz w:val="20"/>
          <w:szCs w:val="20"/>
        </w:rPr>
      </w:pPr>
      <w:proofErr w:type="spellStart"/>
      <w:r w:rsidRPr="00444D35">
        <w:rPr>
          <w:rFonts w:ascii="Arial" w:hAnsi="Arial" w:cs="Arial"/>
          <w:b/>
          <w:sz w:val="20"/>
          <w:szCs w:val="20"/>
        </w:rPr>
        <w:t>Institutions</w:t>
      </w:r>
      <w:proofErr w:type="spellEnd"/>
    </w:p>
    <w:p w14:paraId="78B2AB86" w14:textId="77777777" w:rsidR="00D01CD2" w:rsidRPr="00444D35" w:rsidRDefault="00D01CD2" w:rsidP="00D01CD2">
      <w:pPr>
        <w:pStyle w:val="Grigliamedia1-Colore21"/>
        <w:numPr>
          <w:ilvl w:val="0"/>
          <w:numId w:val="22"/>
        </w:numPr>
        <w:spacing w:line="480" w:lineRule="auto"/>
        <w:outlineLvl w:val="0"/>
        <w:rPr>
          <w:rFonts w:ascii="Arial" w:hAnsi="Arial" w:cs="Arial"/>
          <w:sz w:val="20"/>
          <w:szCs w:val="20"/>
          <w:lang w:val="en-GB"/>
        </w:rPr>
      </w:pPr>
      <w:r w:rsidRPr="00444D35">
        <w:rPr>
          <w:rFonts w:ascii="Arial" w:hAnsi="Arial" w:cs="Arial"/>
          <w:sz w:val="20"/>
          <w:szCs w:val="20"/>
          <w:lang w:val="en-GB"/>
        </w:rPr>
        <w:t>Department of Adult Critical Care, Guy’s and St Thomas’ NHS Foundation Trust, King’s Health Partners, and Division of Centre of Human Applied Physiological Sciences, King’s College London, London, UK</w:t>
      </w:r>
    </w:p>
    <w:p w14:paraId="796B2CE9" w14:textId="77777777" w:rsidR="00D01CD2" w:rsidRPr="00444D35" w:rsidRDefault="00D01CD2" w:rsidP="00D01CD2">
      <w:pPr>
        <w:numPr>
          <w:ilvl w:val="0"/>
          <w:numId w:val="22"/>
        </w:numPr>
        <w:spacing w:line="480" w:lineRule="auto"/>
        <w:jc w:val="both"/>
        <w:rPr>
          <w:rFonts w:ascii="Arial" w:hAnsi="Arial" w:cs="Arial"/>
          <w:color w:val="000000"/>
          <w:sz w:val="20"/>
          <w:szCs w:val="20"/>
        </w:rPr>
      </w:pPr>
      <w:proofErr w:type="spellStart"/>
      <w:r w:rsidRPr="00444D35">
        <w:rPr>
          <w:rFonts w:ascii="Arial" w:hAnsi="Arial" w:cs="Arial"/>
          <w:color w:val="000000"/>
          <w:sz w:val="20"/>
          <w:szCs w:val="20"/>
        </w:rPr>
        <w:t>Department</w:t>
      </w:r>
      <w:proofErr w:type="spellEnd"/>
      <w:r w:rsidRPr="00444D35">
        <w:rPr>
          <w:rFonts w:ascii="Arial" w:hAnsi="Arial" w:cs="Arial"/>
          <w:color w:val="000000"/>
          <w:sz w:val="20"/>
          <w:szCs w:val="20"/>
        </w:rPr>
        <w:t xml:space="preserve"> of Emergency and </w:t>
      </w:r>
      <w:proofErr w:type="spellStart"/>
      <w:r w:rsidRPr="00444D35">
        <w:rPr>
          <w:rFonts w:ascii="Arial" w:hAnsi="Arial" w:cs="Arial"/>
          <w:color w:val="000000"/>
          <w:sz w:val="20"/>
          <w:szCs w:val="20"/>
        </w:rPr>
        <w:t>Organ</w:t>
      </w:r>
      <w:proofErr w:type="spellEnd"/>
      <w:r w:rsidRPr="00444D35">
        <w:rPr>
          <w:rFonts w:ascii="Arial" w:hAnsi="Arial" w:cs="Arial"/>
          <w:color w:val="000000"/>
          <w:sz w:val="20"/>
          <w:szCs w:val="20"/>
        </w:rPr>
        <w:t xml:space="preserve"> </w:t>
      </w:r>
      <w:proofErr w:type="spellStart"/>
      <w:r w:rsidRPr="00444D35">
        <w:rPr>
          <w:rFonts w:ascii="Arial" w:hAnsi="Arial" w:cs="Arial"/>
          <w:color w:val="000000"/>
          <w:sz w:val="20"/>
          <w:szCs w:val="20"/>
        </w:rPr>
        <w:t>Transplants</w:t>
      </w:r>
      <w:proofErr w:type="spellEnd"/>
      <w:r w:rsidRPr="00444D35">
        <w:rPr>
          <w:rFonts w:ascii="Arial" w:hAnsi="Arial" w:cs="Arial"/>
          <w:color w:val="000000"/>
          <w:sz w:val="20"/>
          <w:szCs w:val="20"/>
        </w:rPr>
        <w:t xml:space="preserve"> (DETO), </w:t>
      </w:r>
      <w:proofErr w:type="spellStart"/>
      <w:r w:rsidRPr="00444D35">
        <w:rPr>
          <w:rFonts w:ascii="Arial" w:hAnsi="Arial" w:cs="Arial"/>
          <w:color w:val="000000"/>
          <w:sz w:val="20"/>
          <w:szCs w:val="20"/>
        </w:rPr>
        <w:t>Anesthesiology</w:t>
      </w:r>
      <w:proofErr w:type="spellEnd"/>
      <w:r w:rsidRPr="00444D35">
        <w:rPr>
          <w:rFonts w:ascii="Arial" w:hAnsi="Arial" w:cs="Arial"/>
          <w:color w:val="000000"/>
          <w:sz w:val="20"/>
          <w:szCs w:val="20"/>
        </w:rPr>
        <w:t xml:space="preserve"> and Intensive Care, Università degli Studi di Bari “Aldo Moro”, Bari, </w:t>
      </w:r>
      <w:proofErr w:type="spellStart"/>
      <w:r w:rsidRPr="00444D35">
        <w:rPr>
          <w:rFonts w:ascii="Arial" w:hAnsi="Arial" w:cs="Arial"/>
          <w:color w:val="000000"/>
          <w:sz w:val="20"/>
          <w:szCs w:val="20"/>
        </w:rPr>
        <w:t>Italy</w:t>
      </w:r>
      <w:proofErr w:type="spellEnd"/>
    </w:p>
    <w:p w14:paraId="1FA6E2F4" w14:textId="77777777" w:rsidR="00D01CD2" w:rsidRPr="00EA740D" w:rsidRDefault="00D01CD2" w:rsidP="00D01CD2">
      <w:pPr>
        <w:numPr>
          <w:ilvl w:val="0"/>
          <w:numId w:val="22"/>
        </w:numPr>
        <w:spacing w:line="480" w:lineRule="auto"/>
        <w:jc w:val="both"/>
        <w:rPr>
          <w:rFonts w:ascii="Arial" w:hAnsi="Arial" w:cs="Arial"/>
          <w:color w:val="000000"/>
          <w:sz w:val="20"/>
          <w:szCs w:val="20"/>
        </w:rPr>
      </w:pPr>
      <w:proofErr w:type="spellStart"/>
      <w:r w:rsidRPr="00EA740D">
        <w:rPr>
          <w:rFonts w:ascii="Arial" w:hAnsi="Arial" w:cs="Arial"/>
          <w:bCs/>
          <w:color w:val="000000"/>
          <w:sz w:val="20"/>
          <w:szCs w:val="20"/>
        </w:rPr>
        <w:t>Department</w:t>
      </w:r>
      <w:proofErr w:type="spellEnd"/>
      <w:r w:rsidRPr="00EA740D">
        <w:rPr>
          <w:rFonts w:ascii="Arial" w:hAnsi="Arial" w:cs="Arial"/>
          <w:bCs/>
          <w:color w:val="000000"/>
          <w:sz w:val="20"/>
          <w:szCs w:val="20"/>
        </w:rPr>
        <w:t xml:space="preserve"> of </w:t>
      </w:r>
      <w:r w:rsidRPr="00EA740D">
        <w:rPr>
          <w:rFonts w:ascii="Arial" w:hAnsi="Arial" w:cs="Arial"/>
          <w:color w:val="000000"/>
          <w:sz w:val="20"/>
          <w:szCs w:val="20"/>
        </w:rPr>
        <w:t xml:space="preserve">SCIENZE MEDICHE CHIRURGICHE E SPERIMENTALI, Sassari </w:t>
      </w:r>
      <w:proofErr w:type="spellStart"/>
      <w:r w:rsidRPr="00EA740D">
        <w:rPr>
          <w:rFonts w:ascii="Arial" w:hAnsi="Arial" w:cs="Arial"/>
          <w:color w:val="000000"/>
          <w:sz w:val="20"/>
          <w:szCs w:val="20"/>
        </w:rPr>
        <w:t>University</w:t>
      </w:r>
      <w:proofErr w:type="spellEnd"/>
      <w:r w:rsidRPr="00EA740D">
        <w:rPr>
          <w:rFonts w:ascii="Arial" w:hAnsi="Arial" w:cs="Arial"/>
          <w:color w:val="000000"/>
          <w:sz w:val="20"/>
          <w:szCs w:val="20"/>
        </w:rPr>
        <w:t xml:space="preserve"> – Sassari - </w:t>
      </w:r>
      <w:proofErr w:type="spellStart"/>
      <w:r w:rsidRPr="00EA740D">
        <w:rPr>
          <w:rFonts w:ascii="Arial" w:hAnsi="Arial" w:cs="Arial"/>
          <w:color w:val="000000"/>
          <w:sz w:val="20"/>
          <w:szCs w:val="20"/>
        </w:rPr>
        <w:t>Italy</w:t>
      </w:r>
      <w:proofErr w:type="spellEnd"/>
    </w:p>
    <w:p w14:paraId="605D6B4D" w14:textId="77777777" w:rsidR="00D01CD2" w:rsidRPr="00444D35" w:rsidRDefault="00D01CD2" w:rsidP="00D01CD2">
      <w:pPr>
        <w:numPr>
          <w:ilvl w:val="0"/>
          <w:numId w:val="22"/>
        </w:numPr>
        <w:spacing w:line="480" w:lineRule="auto"/>
        <w:jc w:val="both"/>
        <w:rPr>
          <w:rFonts w:ascii="Arial" w:hAnsi="Arial" w:cs="Arial"/>
          <w:color w:val="000000"/>
          <w:sz w:val="20"/>
          <w:szCs w:val="20"/>
        </w:rPr>
      </w:pPr>
      <w:r w:rsidRPr="00444D35">
        <w:rPr>
          <w:rFonts w:ascii="Arial" w:hAnsi="Arial" w:cs="Arial"/>
          <w:color w:val="000000"/>
          <w:sz w:val="20"/>
          <w:szCs w:val="20"/>
        </w:rPr>
        <w:t xml:space="preserve">Peter </w:t>
      </w:r>
      <w:proofErr w:type="spellStart"/>
      <w:r w:rsidRPr="00444D35">
        <w:rPr>
          <w:rFonts w:ascii="Arial" w:hAnsi="Arial" w:cs="Arial"/>
          <w:color w:val="000000"/>
          <w:sz w:val="20"/>
          <w:szCs w:val="20"/>
        </w:rPr>
        <w:t>Gorer</w:t>
      </w:r>
      <w:proofErr w:type="spellEnd"/>
      <w:r w:rsidRPr="00444D35">
        <w:rPr>
          <w:rFonts w:ascii="Arial" w:hAnsi="Arial" w:cs="Arial"/>
          <w:color w:val="000000"/>
          <w:sz w:val="20"/>
          <w:szCs w:val="20"/>
        </w:rPr>
        <w:t xml:space="preserve"> </w:t>
      </w:r>
      <w:proofErr w:type="spellStart"/>
      <w:r w:rsidRPr="00444D35">
        <w:rPr>
          <w:rFonts w:ascii="Arial" w:hAnsi="Arial" w:cs="Arial"/>
          <w:color w:val="000000"/>
          <w:sz w:val="20"/>
          <w:szCs w:val="20"/>
        </w:rPr>
        <w:t>Department</w:t>
      </w:r>
      <w:proofErr w:type="spellEnd"/>
      <w:r w:rsidRPr="00444D35">
        <w:rPr>
          <w:rFonts w:ascii="Arial" w:hAnsi="Arial" w:cs="Arial"/>
          <w:color w:val="000000"/>
          <w:sz w:val="20"/>
          <w:szCs w:val="20"/>
        </w:rPr>
        <w:t xml:space="preserve"> of </w:t>
      </w:r>
      <w:proofErr w:type="spellStart"/>
      <w:r w:rsidRPr="00444D35">
        <w:rPr>
          <w:rFonts w:ascii="Arial" w:hAnsi="Arial" w:cs="Arial"/>
          <w:color w:val="000000"/>
          <w:sz w:val="20"/>
          <w:szCs w:val="20"/>
        </w:rPr>
        <w:t>Immunobiology</w:t>
      </w:r>
      <w:proofErr w:type="spellEnd"/>
      <w:r w:rsidRPr="00444D35">
        <w:rPr>
          <w:rFonts w:ascii="Arial" w:hAnsi="Arial" w:cs="Arial"/>
          <w:color w:val="000000"/>
          <w:sz w:val="20"/>
          <w:szCs w:val="20"/>
        </w:rPr>
        <w:t xml:space="preserve">, School of </w:t>
      </w:r>
      <w:proofErr w:type="spellStart"/>
      <w:r w:rsidRPr="00444D35">
        <w:rPr>
          <w:rFonts w:ascii="Arial" w:hAnsi="Arial" w:cs="Arial"/>
          <w:color w:val="000000"/>
          <w:sz w:val="20"/>
          <w:szCs w:val="20"/>
        </w:rPr>
        <w:t>Immunology</w:t>
      </w:r>
      <w:proofErr w:type="spellEnd"/>
      <w:r w:rsidRPr="00444D35">
        <w:rPr>
          <w:rFonts w:ascii="Arial" w:hAnsi="Arial" w:cs="Arial"/>
          <w:color w:val="000000"/>
          <w:sz w:val="20"/>
          <w:szCs w:val="20"/>
        </w:rPr>
        <w:t xml:space="preserve"> &amp; </w:t>
      </w:r>
      <w:proofErr w:type="spellStart"/>
      <w:r w:rsidRPr="00444D35">
        <w:rPr>
          <w:rFonts w:ascii="Arial" w:hAnsi="Arial" w:cs="Arial"/>
          <w:color w:val="000000"/>
          <w:sz w:val="20"/>
          <w:szCs w:val="20"/>
        </w:rPr>
        <w:t>Microbial</w:t>
      </w:r>
      <w:proofErr w:type="spellEnd"/>
      <w:r w:rsidRPr="00444D35">
        <w:rPr>
          <w:rFonts w:ascii="Arial" w:hAnsi="Arial" w:cs="Arial"/>
          <w:color w:val="000000"/>
          <w:sz w:val="20"/>
          <w:szCs w:val="20"/>
        </w:rPr>
        <w:t xml:space="preserve"> </w:t>
      </w:r>
      <w:proofErr w:type="spellStart"/>
      <w:r w:rsidRPr="00444D35">
        <w:rPr>
          <w:rFonts w:ascii="Arial" w:hAnsi="Arial" w:cs="Arial"/>
          <w:color w:val="000000"/>
          <w:sz w:val="20"/>
          <w:szCs w:val="20"/>
        </w:rPr>
        <w:t>Sciences</w:t>
      </w:r>
      <w:proofErr w:type="spellEnd"/>
      <w:r w:rsidRPr="00444D35">
        <w:rPr>
          <w:rFonts w:ascii="Arial" w:hAnsi="Arial" w:cs="Arial"/>
          <w:color w:val="000000"/>
          <w:sz w:val="20"/>
          <w:szCs w:val="20"/>
        </w:rPr>
        <w:t xml:space="preserve">, Kings College </w:t>
      </w:r>
      <w:proofErr w:type="spellStart"/>
      <w:r w:rsidRPr="00444D35">
        <w:rPr>
          <w:rFonts w:ascii="Arial" w:hAnsi="Arial" w:cs="Arial"/>
          <w:color w:val="000000"/>
          <w:sz w:val="20"/>
          <w:szCs w:val="20"/>
        </w:rPr>
        <w:t>London</w:t>
      </w:r>
      <w:proofErr w:type="spellEnd"/>
      <w:r w:rsidRPr="00444D35">
        <w:rPr>
          <w:rFonts w:ascii="Arial" w:hAnsi="Arial" w:cs="Arial"/>
          <w:color w:val="000000"/>
          <w:sz w:val="20"/>
          <w:szCs w:val="20"/>
        </w:rPr>
        <w:t>, UK</w:t>
      </w:r>
    </w:p>
    <w:p w14:paraId="7AEA5FCE" w14:textId="77777777" w:rsidR="00D01CD2" w:rsidRPr="00444D35" w:rsidRDefault="00D01CD2" w:rsidP="00D01CD2">
      <w:pPr>
        <w:spacing w:line="480" w:lineRule="auto"/>
        <w:rPr>
          <w:rFonts w:ascii="Arial" w:hAnsi="Arial" w:cs="Arial"/>
          <w:color w:val="000000"/>
          <w:sz w:val="20"/>
          <w:szCs w:val="20"/>
        </w:rPr>
      </w:pPr>
    </w:p>
    <w:p w14:paraId="0C6A6530" w14:textId="77777777" w:rsidR="00D01CD2" w:rsidRPr="00EA740D" w:rsidRDefault="00D01CD2" w:rsidP="00D01CD2">
      <w:pPr>
        <w:spacing w:line="480" w:lineRule="auto"/>
        <w:jc w:val="both"/>
        <w:outlineLvl w:val="0"/>
        <w:rPr>
          <w:rFonts w:ascii="Arial" w:hAnsi="Arial" w:cs="Arial"/>
          <w:b/>
          <w:sz w:val="20"/>
          <w:szCs w:val="20"/>
        </w:rPr>
      </w:pPr>
      <w:proofErr w:type="spellStart"/>
      <w:r w:rsidRPr="00EA740D">
        <w:rPr>
          <w:rFonts w:ascii="Arial" w:hAnsi="Arial" w:cs="Arial"/>
          <w:b/>
          <w:sz w:val="20"/>
          <w:szCs w:val="20"/>
        </w:rPr>
        <w:t>Corresponding</w:t>
      </w:r>
      <w:proofErr w:type="spellEnd"/>
      <w:r w:rsidRPr="00EA740D">
        <w:rPr>
          <w:rFonts w:ascii="Arial" w:hAnsi="Arial" w:cs="Arial"/>
          <w:b/>
          <w:sz w:val="20"/>
          <w:szCs w:val="20"/>
        </w:rPr>
        <w:t xml:space="preserve"> </w:t>
      </w:r>
      <w:proofErr w:type="spellStart"/>
      <w:r w:rsidRPr="00EA740D">
        <w:rPr>
          <w:rFonts w:ascii="Arial" w:hAnsi="Arial" w:cs="Arial"/>
          <w:b/>
          <w:sz w:val="20"/>
          <w:szCs w:val="20"/>
        </w:rPr>
        <w:t>author</w:t>
      </w:r>
      <w:proofErr w:type="spellEnd"/>
      <w:r w:rsidRPr="00EA740D">
        <w:rPr>
          <w:rFonts w:ascii="Arial" w:hAnsi="Arial" w:cs="Arial"/>
          <w:b/>
          <w:sz w:val="20"/>
          <w:szCs w:val="20"/>
        </w:rPr>
        <w:t xml:space="preserve">: </w:t>
      </w:r>
    </w:p>
    <w:p w14:paraId="68B8A5F2" w14:textId="77777777" w:rsidR="00D01CD2" w:rsidRPr="00EA740D" w:rsidRDefault="00D01CD2" w:rsidP="00D01CD2">
      <w:pPr>
        <w:spacing w:line="480" w:lineRule="auto"/>
        <w:jc w:val="both"/>
        <w:outlineLvl w:val="0"/>
        <w:rPr>
          <w:rFonts w:ascii="Arial" w:hAnsi="Arial" w:cs="Arial"/>
          <w:sz w:val="20"/>
          <w:szCs w:val="20"/>
        </w:rPr>
      </w:pPr>
      <w:r w:rsidRPr="00EA740D">
        <w:rPr>
          <w:rFonts w:ascii="Arial" w:hAnsi="Arial" w:cs="Arial"/>
          <w:sz w:val="20"/>
          <w:szCs w:val="20"/>
        </w:rPr>
        <w:t xml:space="preserve">Luigi </w:t>
      </w:r>
      <w:proofErr w:type="spellStart"/>
      <w:r w:rsidRPr="00EA740D">
        <w:rPr>
          <w:rFonts w:ascii="Arial" w:hAnsi="Arial" w:cs="Arial"/>
          <w:sz w:val="20"/>
          <w:szCs w:val="20"/>
        </w:rPr>
        <w:t>Camporota</w:t>
      </w:r>
      <w:proofErr w:type="spellEnd"/>
      <w:r w:rsidRPr="00EA740D">
        <w:rPr>
          <w:rFonts w:ascii="Arial" w:hAnsi="Arial" w:cs="Arial"/>
          <w:sz w:val="20"/>
          <w:szCs w:val="20"/>
        </w:rPr>
        <w:t xml:space="preserve">; </w:t>
      </w:r>
      <w:hyperlink r:id="rId8" w:history="1">
        <w:r w:rsidRPr="00EA740D">
          <w:rPr>
            <w:rStyle w:val="Hyperlink"/>
            <w:rFonts w:ascii="Arial" w:hAnsi="Arial" w:cs="Arial"/>
            <w:sz w:val="20"/>
            <w:szCs w:val="20"/>
          </w:rPr>
          <w:t>luigi.camporota@gstt.nhs.uk</w:t>
        </w:r>
      </w:hyperlink>
    </w:p>
    <w:p w14:paraId="0EC32802" w14:textId="77777777" w:rsidR="00D01CD2" w:rsidRPr="00444D35" w:rsidRDefault="00D01CD2" w:rsidP="00D01CD2">
      <w:pPr>
        <w:spacing w:line="480" w:lineRule="auto"/>
        <w:jc w:val="both"/>
        <w:outlineLvl w:val="0"/>
        <w:rPr>
          <w:rFonts w:ascii="Arial" w:hAnsi="Arial" w:cs="Arial"/>
          <w:sz w:val="20"/>
          <w:szCs w:val="20"/>
        </w:rPr>
      </w:pPr>
      <w:proofErr w:type="spellStart"/>
      <w:r w:rsidRPr="00444D35">
        <w:rPr>
          <w:rFonts w:ascii="Arial" w:hAnsi="Arial" w:cs="Arial"/>
          <w:sz w:val="20"/>
          <w:szCs w:val="20"/>
        </w:rPr>
        <w:t>Department</w:t>
      </w:r>
      <w:proofErr w:type="spellEnd"/>
      <w:r w:rsidRPr="00444D35">
        <w:rPr>
          <w:rFonts w:ascii="Arial" w:hAnsi="Arial" w:cs="Arial"/>
          <w:sz w:val="20"/>
          <w:szCs w:val="20"/>
        </w:rPr>
        <w:t xml:space="preserve"> of </w:t>
      </w:r>
      <w:proofErr w:type="spellStart"/>
      <w:r w:rsidRPr="00444D35">
        <w:rPr>
          <w:rFonts w:ascii="Arial" w:hAnsi="Arial" w:cs="Arial"/>
          <w:sz w:val="20"/>
          <w:szCs w:val="20"/>
        </w:rPr>
        <w:t>Adult</w:t>
      </w:r>
      <w:proofErr w:type="spellEnd"/>
      <w:r w:rsidRPr="00444D35">
        <w:rPr>
          <w:rFonts w:ascii="Arial" w:hAnsi="Arial" w:cs="Arial"/>
          <w:sz w:val="20"/>
          <w:szCs w:val="20"/>
        </w:rPr>
        <w:t xml:space="preserve"> Critical Care, </w:t>
      </w:r>
      <w:proofErr w:type="spellStart"/>
      <w:r w:rsidRPr="00444D35">
        <w:rPr>
          <w:rFonts w:ascii="Arial" w:hAnsi="Arial" w:cs="Arial"/>
          <w:sz w:val="20"/>
          <w:szCs w:val="20"/>
        </w:rPr>
        <w:t>Guy’s</w:t>
      </w:r>
      <w:proofErr w:type="spellEnd"/>
      <w:r w:rsidRPr="00444D35">
        <w:rPr>
          <w:rFonts w:ascii="Arial" w:hAnsi="Arial" w:cs="Arial"/>
          <w:sz w:val="20"/>
          <w:szCs w:val="20"/>
        </w:rPr>
        <w:t xml:space="preserve"> and St Thomas’ NHS Foundation Trust, </w:t>
      </w:r>
      <w:proofErr w:type="spellStart"/>
      <w:r w:rsidRPr="00444D35">
        <w:rPr>
          <w:rFonts w:ascii="Arial" w:hAnsi="Arial" w:cs="Arial"/>
          <w:sz w:val="20"/>
          <w:szCs w:val="20"/>
        </w:rPr>
        <w:t>King’s</w:t>
      </w:r>
      <w:proofErr w:type="spellEnd"/>
      <w:r w:rsidRPr="00444D35">
        <w:rPr>
          <w:rFonts w:ascii="Arial" w:hAnsi="Arial" w:cs="Arial"/>
          <w:sz w:val="20"/>
          <w:szCs w:val="20"/>
        </w:rPr>
        <w:t xml:space="preserve"> </w:t>
      </w:r>
      <w:proofErr w:type="spellStart"/>
      <w:r w:rsidRPr="00444D35">
        <w:rPr>
          <w:rFonts w:ascii="Arial" w:hAnsi="Arial" w:cs="Arial"/>
          <w:sz w:val="20"/>
          <w:szCs w:val="20"/>
        </w:rPr>
        <w:t>Health</w:t>
      </w:r>
      <w:proofErr w:type="spellEnd"/>
      <w:r w:rsidRPr="00444D35">
        <w:rPr>
          <w:rFonts w:ascii="Arial" w:hAnsi="Arial" w:cs="Arial"/>
          <w:sz w:val="20"/>
          <w:szCs w:val="20"/>
        </w:rPr>
        <w:t xml:space="preserve"> </w:t>
      </w:r>
      <w:proofErr w:type="spellStart"/>
      <w:r w:rsidRPr="00444D35">
        <w:rPr>
          <w:rFonts w:ascii="Arial" w:hAnsi="Arial" w:cs="Arial"/>
          <w:sz w:val="20"/>
          <w:szCs w:val="20"/>
        </w:rPr>
        <w:t>Partners</w:t>
      </w:r>
      <w:proofErr w:type="spellEnd"/>
      <w:r w:rsidRPr="00444D35">
        <w:rPr>
          <w:rFonts w:ascii="Arial" w:hAnsi="Arial" w:cs="Arial"/>
          <w:sz w:val="20"/>
          <w:szCs w:val="20"/>
        </w:rPr>
        <w:t xml:space="preserve">, </w:t>
      </w:r>
      <w:proofErr w:type="spellStart"/>
      <w:r w:rsidRPr="00444D35">
        <w:rPr>
          <w:rFonts w:ascii="Arial" w:hAnsi="Arial" w:cs="Arial"/>
          <w:sz w:val="20"/>
          <w:szCs w:val="20"/>
        </w:rPr>
        <w:t>London</w:t>
      </w:r>
      <w:proofErr w:type="spellEnd"/>
      <w:r w:rsidRPr="00444D35">
        <w:rPr>
          <w:rFonts w:ascii="Arial" w:hAnsi="Arial" w:cs="Arial"/>
          <w:sz w:val="20"/>
          <w:szCs w:val="20"/>
        </w:rPr>
        <w:t xml:space="preserve">, UK; St Thomas’ Hospital, 1st </w:t>
      </w:r>
      <w:proofErr w:type="spellStart"/>
      <w:r w:rsidRPr="00444D35">
        <w:rPr>
          <w:rFonts w:ascii="Arial" w:hAnsi="Arial" w:cs="Arial"/>
          <w:sz w:val="20"/>
          <w:szCs w:val="20"/>
        </w:rPr>
        <w:t>Floor</w:t>
      </w:r>
      <w:proofErr w:type="spellEnd"/>
      <w:r w:rsidRPr="00444D35">
        <w:rPr>
          <w:rFonts w:ascii="Arial" w:hAnsi="Arial" w:cs="Arial"/>
          <w:sz w:val="20"/>
          <w:szCs w:val="20"/>
        </w:rPr>
        <w:t xml:space="preserve"> East </w:t>
      </w:r>
      <w:proofErr w:type="spellStart"/>
      <w:r w:rsidRPr="00444D35">
        <w:rPr>
          <w:rFonts w:ascii="Arial" w:hAnsi="Arial" w:cs="Arial"/>
          <w:sz w:val="20"/>
          <w:szCs w:val="20"/>
        </w:rPr>
        <w:t>Wing</w:t>
      </w:r>
      <w:proofErr w:type="spellEnd"/>
      <w:r w:rsidRPr="00444D35">
        <w:rPr>
          <w:rFonts w:ascii="Arial" w:hAnsi="Arial" w:cs="Arial"/>
          <w:sz w:val="20"/>
          <w:szCs w:val="20"/>
        </w:rPr>
        <w:t xml:space="preserve">, Westminster Bridge Road, </w:t>
      </w:r>
      <w:proofErr w:type="spellStart"/>
      <w:r w:rsidRPr="00444D35">
        <w:rPr>
          <w:rFonts w:ascii="Arial" w:hAnsi="Arial" w:cs="Arial"/>
          <w:sz w:val="20"/>
          <w:szCs w:val="20"/>
        </w:rPr>
        <w:t>London</w:t>
      </w:r>
      <w:proofErr w:type="spellEnd"/>
      <w:r w:rsidRPr="00444D35">
        <w:rPr>
          <w:rFonts w:ascii="Arial" w:hAnsi="Arial" w:cs="Arial"/>
          <w:sz w:val="20"/>
          <w:szCs w:val="20"/>
        </w:rPr>
        <w:t xml:space="preserve"> SE1 7EH, </w:t>
      </w:r>
      <w:proofErr w:type="spellStart"/>
      <w:r w:rsidRPr="00444D35">
        <w:rPr>
          <w:rFonts w:ascii="Arial" w:hAnsi="Arial" w:cs="Arial"/>
          <w:sz w:val="20"/>
          <w:szCs w:val="20"/>
        </w:rPr>
        <w:t>United</w:t>
      </w:r>
      <w:proofErr w:type="spellEnd"/>
      <w:r w:rsidRPr="00444D35">
        <w:rPr>
          <w:rFonts w:ascii="Arial" w:hAnsi="Arial" w:cs="Arial"/>
          <w:sz w:val="20"/>
          <w:szCs w:val="20"/>
        </w:rPr>
        <w:t xml:space="preserve"> Kingdom</w:t>
      </w:r>
    </w:p>
    <w:p w14:paraId="6FE28833" w14:textId="77777777" w:rsidR="00D01CD2" w:rsidRPr="00444D35" w:rsidRDefault="00D01CD2" w:rsidP="00D01CD2">
      <w:pPr>
        <w:spacing w:line="480" w:lineRule="auto"/>
        <w:jc w:val="both"/>
        <w:outlineLvl w:val="0"/>
        <w:rPr>
          <w:rFonts w:ascii="Arial" w:hAnsi="Arial" w:cs="Arial"/>
          <w:b/>
          <w:color w:val="000000"/>
          <w:sz w:val="20"/>
          <w:szCs w:val="20"/>
          <w:u w:val="single"/>
        </w:rPr>
      </w:pPr>
      <w:proofErr w:type="spellStart"/>
      <w:r w:rsidRPr="00444D35">
        <w:rPr>
          <w:rFonts w:ascii="Arial" w:hAnsi="Arial" w:cs="Arial"/>
          <w:b/>
          <w:sz w:val="20"/>
          <w:szCs w:val="20"/>
        </w:rPr>
        <w:t>Declaration</w:t>
      </w:r>
      <w:proofErr w:type="spellEnd"/>
      <w:r w:rsidRPr="00444D35">
        <w:rPr>
          <w:rFonts w:ascii="Arial" w:hAnsi="Arial" w:cs="Arial"/>
          <w:b/>
          <w:sz w:val="20"/>
          <w:szCs w:val="20"/>
        </w:rPr>
        <w:t xml:space="preserve"> of </w:t>
      </w:r>
      <w:proofErr w:type="spellStart"/>
      <w:r w:rsidRPr="00444D35">
        <w:rPr>
          <w:rFonts w:ascii="Arial" w:hAnsi="Arial" w:cs="Arial"/>
          <w:b/>
          <w:sz w:val="20"/>
          <w:szCs w:val="20"/>
        </w:rPr>
        <w:t>interests</w:t>
      </w:r>
      <w:proofErr w:type="spellEnd"/>
      <w:r w:rsidRPr="00444D35">
        <w:rPr>
          <w:rFonts w:ascii="Arial" w:hAnsi="Arial" w:cs="Arial"/>
          <w:b/>
          <w:sz w:val="20"/>
          <w:szCs w:val="20"/>
        </w:rPr>
        <w:t xml:space="preserve">: </w:t>
      </w:r>
      <w:r w:rsidRPr="00444D35">
        <w:rPr>
          <w:rFonts w:ascii="Arial" w:hAnsi="Arial" w:cs="Arial"/>
          <w:sz w:val="20"/>
          <w:szCs w:val="20"/>
        </w:rPr>
        <w:t xml:space="preserve">The </w:t>
      </w:r>
      <w:proofErr w:type="spellStart"/>
      <w:r w:rsidRPr="00444D35">
        <w:rPr>
          <w:rFonts w:ascii="Arial" w:hAnsi="Arial" w:cs="Arial"/>
          <w:sz w:val="20"/>
          <w:szCs w:val="20"/>
        </w:rPr>
        <w:t>authors</w:t>
      </w:r>
      <w:proofErr w:type="spellEnd"/>
      <w:r w:rsidRPr="00444D35">
        <w:rPr>
          <w:rFonts w:ascii="Arial" w:hAnsi="Arial" w:cs="Arial"/>
          <w:sz w:val="20"/>
          <w:szCs w:val="20"/>
        </w:rPr>
        <w:t xml:space="preserve"> </w:t>
      </w:r>
      <w:proofErr w:type="spellStart"/>
      <w:r w:rsidRPr="00444D35">
        <w:rPr>
          <w:rFonts w:ascii="Arial" w:hAnsi="Arial" w:cs="Arial"/>
          <w:sz w:val="20"/>
          <w:szCs w:val="20"/>
        </w:rPr>
        <w:t>declare</w:t>
      </w:r>
      <w:proofErr w:type="spellEnd"/>
      <w:r w:rsidRPr="00444D35">
        <w:rPr>
          <w:rFonts w:ascii="Arial" w:hAnsi="Arial" w:cs="Arial"/>
          <w:sz w:val="20"/>
          <w:szCs w:val="20"/>
        </w:rPr>
        <w:t xml:space="preserve"> </w:t>
      </w:r>
      <w:proofErr w:type="spellStart"/>
      <w:r w:rsidRPr="00444D35">
        <w:rPr>
          <w:rFonts w:ascii="Arial" w:hAnsi="Arial" w:cs="Arial"/>
          <w:sz w:val="20"/>
          <w:szCs w:val="20"/>
        </w:rPr>
        <w:t>that</w:t>
      </w:r>
      <w:proofErr w:type="spellEnd"/>
      <w:r w:rsidRPr="00444D35">
        <w:rPr>
          <w:rFonts w:ascii="Arial" w:hAnsi="Arial" w:cs="Arial"/>
          <w:sz w:val="20"/>
          <w:szCs w:val="20"/>
        </w:rPr>
        <w:t xml:space="preserve"> </w:t>
      </w:r>
      <w:proofErr w:type="spellStart"/>
      <w:r w:rsidRPr="00444D35">
        <w:rPr>
          <w:rFonts w:ascii="Arial" w:hAnsi="Arial" w:cs="Arial"/>
          <w:sz w:val="20"/>
          <w:szCs w:val="20"/>
        </w:rPr>
        <w:t>they</w:t>
      </w:r>
      <w:proofErr w:type="spellEnd"/>
      <w:r w:rsidRPr="00444D35">
        <w:rPr>
          <w:rFonts w:ascii="Arial" w:hAnsi="Arial" w:cs="Arial"/>
          <w:sz w:val="20"/>
          <w:szCs w:val="20"/>
        </w:rPr>
        <w:t xml:space="preserve"> </w:t>
      </w:r>
      <w:proofErr w:type="spellStart"/>
      <w:r w:rsidRPr="00444D35">
        <w:rPr>
          <w:rFonts w:ascii="Arial" w:hAnsi="Arial" w:cs="Arial"/>
          <w:sz w:val="20"/>
          <w:szCs w:val="20"/>
        </w:rPr>
        <w:t>have</w:t>
      </w:r>
      <w:proofErr w:type="spellEnd"/>
      <w:r w:rsidRPr="00444D35">
        <w:rPr>
          <w:rFonts w:ascii="Arial" w:hAnsi="Arial" w:cs="Arial"/>
          <w:sz w:val="20"/>
          <w:szCs w:val="20"/>
        </w:rPr>
        <w:t xml:space="preserve"> no </w:t>
      </w:r>
      <w:proofErr w:type="spellStart"/>
      <w:r w:rsidRPr="00444D35">
        <w:rPr>
          <w:rFonts w:ascii="Arial" w:hAnsi="Arial" w:cs="Arial"/>
          <w:sz w:val="20"/>
          <w:szCs w:val="20"/>
        </w:rPr>
        <w:t>conflict</w:t>
      </w:r>
      <w:proofErr w:type="spellEnd"/>
      <w:r w:rsidRPr="00444D35">
        <w:rPr>
          <w:rFonts w:ascii="Arial" w:hAnsi="Arial" w:cs="Arial"/>
          <w:sz w:val="20"/>
          <w:szCs w:val="20"/>
        </w:rPr>
        <w:t xml:space="preserve"> of </w:t>
      </w:r>
      <w:proofErr w:type="spellStart"/>
      <w:r w:rsidRPr="00444D35">
        <w:rPr>
          <w:rFonts w:ascii="Arial" w:hAnsi="Arial" w:cs="Arial"/>
          <w:sz w:val="20"/>
          <w:szCs w:val="20"/>
        </w:rPr>
        <w:t>interests</w:t>
      </w:r>
      <w:proofErr w:type="spellEnd"/>
      <w:r w:rsidRPr="00444D35">
        <w:rPr>
          <w:rFonts w:ascii="Arial" w:hAnsi="Arial" w:cs="Arial"/>
          <w:sz w:val="20"/>
          <w:szCs w:val="20"/>
        </w:rPr>
        <w:t xml:space="preserve">. </w:t>
      </w:r>
    </w:p>
    <w:p w14:paraId="28C9C29D" w14:textId="77777777" w:rsidR="00A04E6A" w:rsidRPr="00812D70" w:rsidRDefault="00A04E6A" w:rsidP="0047398E">
      <w:pPr>
        <w:spacing w:line="360" w:lineRule="auto"/>
        <w:rPr>
          <w:b/>
          <w:bCs/>
          <w:color w:val="000000"/>
          <w:sz w:val="28"/>
          <w:szCs w:val="28"/>
          <w:u w:val="single"/>
          <w:lang w:val="en-GB"/>
        </w:rPr>
      </w:pPr>
    </w:p>
    <w:p w14:paraId="641922B3" w14:textId="77777777" w:rsidR="00D01CD2" w:rsidRDefault="00D01CD2">
      <w:pPr>
        <w:rPr>
          <w:rFonts w:eastAsia="Times New Roman"/>
          <w:b/>
          <w:i/>
          <w:color w:val="000000"/>
          <w:sz w:val="28"/>
          <w:szCs w:val="28"/>
          <w:lang w:val="en-GB"/>
        </w:rPr>
      </w:pPr>
      <w:r>
        <w:rPr>
          <w:rFonts w:eastAsia="Times New Roman"/>
          <w:b/>
          <w:i/>
          <w:color w:val="000000"/>
          <w:sz w:val="28"/>
          <w:szCs w:val="28"/>
          <w:lang w:val="en-GB"/>
        </w:rPr>
        <w:br w:type="page"/>
      </w:r>
    </w:p>
    <w:p w14:paraId="46BAA186" w14:textId="1A69B388" w:rsidR="003F545B" w:rsidRPr="00812D70" w:rsidRDefault="00FF70B1" w:rsidP="003F545B">
      <w:pPr>
        <w:pStyle w:val="Heading2"/>
        <w:spacing w:after="80" w:line="36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b/>
          <w:i/>
          <w:color w:val="000000"/>
          <w:sz w:val="28"/>
          <w:szCs w:val="28"/>
          <w:lang w:val="en-GB"/>
        </w:rPr>
        <w:lastRenderedPageBreak/>
        <w:t xml:space="preserve">Online supplement 1: </w:t>
      </w:r>
      <w:r w:rsidR="003F545B" w:rsidRPr="00812D70">
        <w:rPr>
          <w:rFonts w:ascii="Times New Roman" w:eastAsia="Times New Roman" w:hAnsi="Times New Roman" w:cs="Times New Roman"/>
          <w:b/>
          <w:i/>
          <w:color w:val="000000"/>
          <w:sz w:val="28"/>
          <w:szCs w:val="28"/>
          <w:lang w:val="en-GB"/>
        </w:rPr>
        <w:t xml:space="preserve">Pre- </w:t>
      </w:r>
      <w:proofErr w:type="spellStart"/>
      <w:r w:rsidR="003F545B" w:rsidRPr="00812D70">
        <w:rPr>
          <w:rFonts w:ascii="Times New Roman" w:eastAsia="Times New Roman" w:hAnsi="Times New Roman" w:cs="Times New Roman"/>
          <w:b/>
          <w:i/>
          <w:color w:val="000000"/>
          <w:sz w:val="28"/>
          <w:szCs w:val="28"/>
          <w:lang w:val="en-GB"/>
        </w:rPr>
        <w:t>extubation</w:t>
      </w:r>
      <w:proofErr w:type="spellEnd"/>
      <w:r w:rsidR="003F545B" w:rsidRPr="00812D70">
        <w:rPr>
          <w:rFonts w:ascii="Times New Roman" w:eastAsia="Times New Roman" w:hAnsi="Times New Roman" w:cs="Times New Roman"/>
          <w:b/>
          <w:i/>
          <w:color w:val="000000"/>
          <w:sz w:val="28"/>
          <w:szCs w:val="28"/>
          <w:lang w:val="en-GB"/>
        </w:rPr>
        <w:t xml:space="preserve"> assessments </w:t>
      </w:r>
    </w:p>
    <w:p w14:paraId="00D35C63" w14:textId="77777777" w:rsidR="003F545B" w:rsidRPr="00812D70" w:rsidRDefault="003F545B" w:rsidP="00033567">
      <w:pPr>
        <w:widowControl w:val="0"/>
        <w:autoSpaceDE w:val="0"/>
        <w:autoSpaceDN w:val="0"/>
        <w:adjustRightInd w:val="0"/>
        <w:spacing w:line="360" w:lineRule="auto"/>
        <w:jc w:val="both"/>
        <w:rPr>
          <w:lang w:val="en-GB"/>
        </w:rPr>
      </w:pPr>
      <w:r w:rsidRPr="00812D70">
        <w:rPr>
          <w:lang w:val="en-GB"/>
        </w:rPr>
        <w:t xml:space="preserve">Readiness testing has the double purpose of identifying patients who are ready to be liberated from mechanical ventilation – avoiding </w:t>
      </w:r>
      <w:proofErr w:type="spellStart"/>
      <w:r w:rsidRPr="00812D70">
        <w:rPr>
          <w:lang w:val="en-GB"/>
        </w:rPr>
        <w:t>extubation</w:t>
      </w:r>
      <w:proofErr w:type="spellEnd"/>
      <w:r w:rsidRPr="00812D70">
        <w:rPr>
          <w:lang w:val="en-GB"/>
        </w:rPr>
        <w:t xml:space="preserve"> delays – but also to identify patients who are unable to be liberated, thereby avoiding the risks of premature </w:t>
      </w:r>
      <w:proofErr w:type="spellStart"/>
      <w:r w:rsidRPr="00812D70">
        <w:rPr>
          <w:lang w:val="en-GB"/>
        </w:rPr>
        <w:t>extubation</w:t>
      </w:r>
      <w:proofErr w:type="spellEnd"/>
      <w:r w:rsidRPr="00812D70">
        <w:rPr>
          <w:lang w:val="en-GB"/>
        </w:rPr>
        <w:t>.</w:t>
      </w:r>
    </w:p>
    <w:p w14:paraId="478BF91D" w14:textId="77777777" w:rsidR="003F545B" w:rsidRPr="00812D70" w:rsidRDefault="003F545B" w:rsidP="00033567">
      <w:pPr>
        <w:widowControl w:val="0"/>
        <w:autoSpaceDE w:val="0"/>
        <w:autoSpaceDN w:val="0"/>
        <w:adjustRightInd w:val="0"/>
        <w:spacing w:line="360" w:lineRule="auto"/>
        <w:jc w:val="both"/>
        <w:rPr>
          <w:lang w:val="en-GB"/>
        </w:rPr>
      </w:pPr>
    </w:p>
    <w:p w14:paraId="5FE09B63" w14:textId="77777777" w:rsidR="003F545B" w:rsidRPr="00812D70" w:rsidRDefault="003F545B" w:rsidP="00033567">
      <w:pPr>
        <w:widowControl w:val="0"/>
        <w:autoSpaceDE w:val="0"/>
        <w:autoSpaceDN w:val="0"/>
        <w:adjustRightInd w:val="0"/>
        <w:spacing w:line="360" w:lineRule="auto"/>
        <w:jc w:val="both"/>
        <w:rPr>
          <w:lang w:val="en-GB"/>
        </w:rPr>
      </w:pPr>
      <w:r w:rsidRPr="00812D70">
        <w:rPr>
          <w:lang w:val="en-GB"/>
        </w:rPr>
        <w:t xml:space="preserve">Before initiating the ‘liberation process’ the patient must satisfy the </w:t>
      </w:r>
      <w:r w:rsidRPr="009620EF">
        <w:rPr>
          <w:lang w:val="en-GB"/>
        </w:rPr>
        <w:t>following conditions</w:t>
      </w:r>
      <w:r w:rsidRPr="00812D70">
        <w:rPr>
          <w:lang w:val="en-GB"/>
        </w:rPr>
        <w:t xml:space="preserve"> </w:t>
      </w:r>
    </w:p>
    <w:p w14:paraId="46B5FFB4"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Improvement or resolution of the underlying cause of acute respiratory failure</w:t>
      </w:r>
    </w:p>
    <w:p w14:paraId="4F1F74F5"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Patient cooperative and pain free</w:t>
      </w:r>
    </w:p>
    <w:p w14:paraId="04D6A94F"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Able to sustain spontaneous breathing</w:t>
      </w:r>
    </w:p>
    <w:p w14:paraId="3A29E80F"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Able to cough, minimal secretions (defined as the need for suctioning &gt;2 h)</w:t>
      </w:r>
    </w:p>
    <w:p w14:paraId="74B84F4D"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 xml:space="preserve">PEEP ≤ 8 cmH2 O, pressure support ≤ 8-10 cmH2 </w:t>
      </w:r>
      <w:proofErr w:type="gramStart"/>
      <w:r w:rsidRPr="00812D70">
        <w:rPr>
          <w:rFonts w:ascii="Times New Roman" w:hAnsi="Times New Roman" w:cs="Times New Roman"/>
          <w:lang w:val="en-GB"/>
        </w:rPr>
        <w:t>O ;</w:t>
      </w:r>
      <w:proofErr w:type="gramEnd"/>
      <w:r w:rsidRPr="00812D70">
        <w:rPr>
          <w:rFonts w:ascii="Times New Roman" w:hAnsi="Times New Roman" w:cs="Times New Roman"/>
          <w:lang w:val="en-GB"/>
        </w:rPr>
        <w:t xml:space="preserve"> FiO</w:t>
      </w:r>
      <w:r w:rsidRPr="00812D70">
        <w:rPr>
          <w:rFonts w:ascii="Times New Roman" w:hAnsi="Times New Roman" w:cs="Times New Roman"/>
          <w:vertAlign w:val="subscript"/>
          <w:lang w:val="en-GB"/>
        </w:rPr>
        <w:t>2</w:t>
      </w:r>
      <w:r w:rsidRPr="00812D70">
        <w:rPr>
          <w:rFonts w:ascii="Times New Roman" w:hAnsi="Times New Roman" w:cs="Times New Roman"/>
          <w:lang w:val="en-GB"/>
        </w:rPr>
        <w:t xml:space="preserve"> ≤ 0.4 with SaO</w:t>
      </w:r>
      <w:r w:rsidRPr="00812D70">
        <w:rPr>
          <w:rFonts w:ascii="Times New Roman" w:hAnsi="Times New Roman" w:cs="Times New Roman"/>
          <w:vertAlign w:val="subscript"/>
          <w:lang w:val="en-GB"/>
        </w:rPr>
        <w:t>2</w:t>
      </w:r>
      <w:r w:rsidRPr="00812D70">
        <w:rPr>
          <w:rFonts w:ascii="Times New Roman" w:hAnsi="Times New Roman" w:cs="Times New Roman"/>
          <w:lang w:val="en-GB"/>
        </w:rPr>
        <w:t xml:space="preserve">  &gt;90% and a PaO</w:t>
      </w:r>
      <w:r w:rsidRPr="00812D70">
        <w:rPr>
          <w:rFonts w:ascii="Times New Roman" w:hAnsi="Times New Roman" w:cs="Times New Roman"/>
          <w:vertAlign w:val="subscript"/>
          <w:lang w:val="en-GB"/>
        </w:rPr>
        <w:t>2</w:t>
      </w:r>
      <w:r w:rsidRPr="00812D70">
        <w:rPr>
          <w:rFonts w:ascii="Times New Roman" w:hAnsi="Times New Roman" w:cs="Times New Roman"/>
          <w:lang w:val="en-GB"/>
        </w:rPr>
        <w:t xml:space="preserve">  &gt;8-9 kPa; PaO</w:t>
      </w:r>
      <w:r w:rsidRPr="00812D70">
        <w:rPr>
          <w:rFonts w:ascii="Times New Roman" w:hAnsi="Times New Roman" w:cs="Times New Roman"/>
          <w:vertAlign w:val="subscript"/>
          <w:lang w:val="en-GB"/>
        </w:rPr>
        <w:t>2</w:t>
      </w:r>
      <w:r w:rsidRPr="00812D70">
        <w:rPr>
          <w:rFonts w:ascii="Times New Roman" w:hAnsi="Times New Roman" w:cs="Times New Roman"/>
          <w:lang w:val="en-GB"/>
        </w:rPr>
        <w:t xml:space="preserve"> /FiO</w:t>
      </w:r>
      <w:r w:rsidRPr="00812D70">
        <w:rPr>
          <w:rFonts w:ascii="Times New Roman" w:hAnsi="Times New Roman" w:cs="Times New Roman"/>
          <w:vertAlign w:val="subscript"/>
          <w:lang w:val="en-GB"/>
        </w:rPr>
        <w:t>2</w:t>
      </w:r>
      <w:r w:rsidRPr="00812D70">
        <w:rPr>
          <w:rFonts w:ascii="Times New Roman" w:hAnsi="Times New Roman" w:cs="Times New Roman"/>
          <w:lang w:val="en-GB"/>
        </w:rPr>
        <w:t xml:space="preserve">  &gt;20-26.6 kPa</w:t>
      </w:r>
    </w:p>
    <w:p w14:paraId="5DC74497"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 xml:space="preserve">Stable </w:t>
      </w:r>
      <w:proofErr w:type="spellStart"/>
      <w:r w:rsidRPr="00812D70">
        <w:rPr>
          <w:rFonts w:ascii="Times New Roman" w:hAnsi="Times New Roman" w:cs="Times New Roman"/>
          <w:lang w:val="en-GB"/>
        </w:rPr>
        <w:t>haemodynamics</w:t>
      </w:r>
      <w:proofErr w:type="spellEnd"/>
      <w:r w:rsidRPr="00812D70">
        <w:rPr>
          <w:rFonts w:ascii="Times New Roman" w:hAnsi="Times New Roman" w:cs="Times New Roman"/>
          <w:lang w:val="en-GB"/>
        </w:rPr>
        <w:t>. No or minimal vasopressor support</w:t>
      </w:r>
    </w:p>
    <w:p w14:paraId="409F4C5E"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No uncorrected metabolic abnormalities</w:t>
      </w:r>
    </w:p>
    <w:p w14:paraId="3A418120"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Fluid balance optimised</w:t>
      </w:r>
    </w:p>
    <w:p w14:paraId="7E036D55"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Consider measuring NT-pro BNP for patients with left ventricular dysfunction – this may guide fluid management</w:t>
      </w:r>
    </w:p>
    <w:p w14:paraId="6486455F"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Tympanic temperature between 36 o and 38 °C,</w:t>
      </w:r>
    </w:p>
    <w:p w14:paraId="0E203225" w14:textId="77777777" w:rsidR="003F545B" w:rsidRPr="00812D70" w:rsidRDefault="003F545B" w:rsidP="00033567">
      <w:pPr>
        <w:pStyle w:val="ListParagraph"/>
        <w:widowControl w:val="0"/>
        <w:numPr>
          <w:ilvl w:val="0"/>
          <w:numId w:val="18"/>
        </w:numPr>
        <w:autoSpaceDE w:val="0"/>
        <w:autoSpaceDN w:val="0"/>
        <w:adjustRightInd w:val="0"/>
        <w:spacing w:line="360" w:lineRule="auto"/>
        <w:jc w:val="both"/>
        <w:rPr>
          <w:rFonts w:ascii="Times New Roman" w:hAnsi="Times New Roman" w:cs="Times New Roman"/>
          <w:lang w:val="en-GB"/>
        </w:rPr>
      </w:pPr>
      <w:r w:rsidRPr="00812D70">
        <w:rPr>
          <w:rFonts w:ascii="Times New Roman" w:hAnsi="Times New Roman" w:cs="Times New Roman"/>
          <w:lang w:val="en-GB"/>
        </w:rPr>
        <w:t>No relevant electrolyte disorder and haemoglobin level 70-80 g/L</w:t>
      </w:r>
    </w:p>
    <w:p w14:paraId="043066C0" w14:textId="77777777" w:rsidR="003F545B" w:rsidRPr="00812D70" w:rsidRDefault="003F545B" w:rsidP="00033567">
      <w:pPr>
        <w:widowControl w:val="0"/>
        <w:autoSpaceDE w:val="0"/>
        <w:autoSpaceDN w:val="0"/>
        <w:adjustRightInd w:val="0"/>
        <w:spacing w:line="360" w:lineRule="auto"/>
        <w:jc w:val="both"/>
        <w:rPr>
          <w:lang w:val="en-GB"/>
        </w:rPr>
      </w:pPr>
    </w:p>
    <w:p w14:paraId="4FE274CB" w14:textId="77777777" w:rsidR="003F545B" w:rsidRPr="00812D70" w:rsidRDefault="003F545B" w:rsidP="00033567">
      <w:pPr>
        <w:widowControl w:val="0"/>
        <w:autoSpaceDE w:val="0"/>
        <w:autoSpaceDN w:val="0"/>
        <w:adjustRightInd w:val="0"/>
        <w:spacing w:line="360" w:lineRule="auto"/>
        <w:jc w:val="both"/>
        <w:rPr>
          <w:lang w:val="en-GB"/>
        </w:rPr>
      </w:pPr>
      <w:r w:rsidRPr="00812D70">
        <w:rPr>
          <w:lang w:val="en-GB"/>
        </w:rPr>
        <w:t>Patients who fulfil the readiness to wean criteria, if not already receiving pressure support (PS) ventilation, can be started on a trial of pressure support ventilation. The level of PS will be titrated to patient comfort to achieve tidal volumes of 6-8ml kg-1 ideal body weight and a respiratory rate &lt; 30 breaths min</w:t>
      </w:r>
      <w:r w:rsidRPr="00033567">
        <w:rPr>
          <w:vertAlign w:val="superscript"/>
          <w:lang w:val="en-GB"/>
        </w:rPr>
        <w:t>-1</w:t>
      </w:r>
      <w:r w:rsidRPr="00812D70">
        <w:rPr>
          <w:lang w:val="en-GB"/>
        </w:rPr>
        <w:t>.</w:t>
      </w:r>
    </w:p>
    <w:p w14:paraId="3DA76D8F" w14:textId="77777777" w:rsidR="003F545B" w:rsidRPr="00812D70" w:rsidRDefault="003F545B" w:rsidP="003F545B">
      <w:pPr>
        <w:widowControl w:val="0"/>
        <w:autoSpaceDE w:val="0"/>
        <w:autoSpaceDN w:val="0"/>
        <w:adjustRightInd w:val="0"/>
        <w:spacing w:line="360" w:lineRule="auto"/>
        <w:rPr>
          <w:lang w:val="en-GB"/>
        </w:rPr>
      </w:pPr>
    </w:p>
    <w:p w14:paraId="5B22CA4F" w14:textId="1FF13591" w:rsidR="003F545B" w:rsidRPr="00812D70" w:rsidRDefault="003F545B" w:rsidP="003F545B">
      <w:pPr>
        <w:widowControl w:val="0"/>
        <w:autoSpaceDE w:val="0"/>
        <w:autoSpaceDN w:val="0"/>
        <w:adjustRightInd w:val="0"/>
        <w:spacing w:line="360" w:lineRule="auto"/>
        <w:rPr>
          <w:lang w:val="en-GB"/>
        </w:rPr>
      </w:pPr>
      <w:r w:rsidRPr="00812D70">
        <w:rPr>
          <w:lang w:val="en-GB"/>
        </w:rPr>
        <w:t>A weaning predictor or index is a criterion that evaluates an aspect of the respiratory function with the objective of identifying patients who might tolerate the weaning trial (generally known as spontaneous breathing trial or SBT).</w:t>
      </w:r>
    </w:p>
    <w:p w14:paraId="60B81DDA" w14:textId="7738C5F0" w:rsidR="003F545B" w:rsidRDefault="003F545B" w:rsidP="003F545B">
      <w:pPr>
        <w:widowControl w:val="0"/>
        <w:autoSpaceDE w:val="0"/>
        <w:autoSpaceDN w:val="0"/>
        <w:adjustRightInd w:val="0"/>
        <w:spacing w:line="360" w:lineRule="auto"/>
        <w:rPr>
          <w:lang w:val="en-GB"/>
        </w:rPr>
      </w:pPr>
      <w:r w:rsidRPr="00812D70">
        <w:rPr>
          <w:lang w:val="en-GB"/>
        </w:rPr>
        <w:t xml:space="preserve">Weaning indices should be evaluated before the SBT, which functions as a diagnostic test to determine the probability of successful </w:t>
      </w:r>
      <w:proofErr w:type="spellStart"/>
      <w:r w:rsidRPr="00812D70">
        <w:rPr>
          <w:lang w:val="en-GB"/>
        </w:rPr>
        <w:t>extubation</w:t>
      </w:r>
      <w:proofErr w:type="spellEnd"/>
      <w:r w:rsidRPr="00812D70">
        <w:rPr>
          <w:lang w:val="en-GB"/>
        </w:rPr>
        <w:t xml:space="preserve">. Integrative weaning indices evaluate more than one aspect of respiratory function. Although few of the weaning indices are predictive per se, the following indices should be routinely measured in clinical practice. Weaning index criteria can be particularly useful in situations in which the decision to liberate from </w:t>
      </w:r>
      <w:r w:rsidRPr="00812D70">
        <w:rPr>
          <w:lang w:val="en-GB"/>
        </w:rPr>
        <w:lastRenderedPageBreak/>
        <w:t>mechanical ventilation is problematic.</w:t>
      </w:r>
    </w:p>
    <w:p w14:paraId="580E86BE" w14:textId="0154F24B" w:rsidR="00406C81" w:rsidRDefault="00406C81" w:rsidP="003F545B">
      <w:pPr>
        <w:widowControl w:val="0"/>
        <w:autoSpaceDE w:val="0"/>
        <w:autoSpaceDN w:val="0"/>
        <w:adjustRightInd w:val="0"/>
        <w:spacing w:line="360" w:lineRule="auto"/>
        <w:rPr>
          <w:lang w:val="en-GB"/>
        </w:rPr>
      </w:pPr>
    </w:p>
    <w:p w14:paraId="5218AE65" w14:textId="75CC1229" w:rsidR="00406C81" w:rsidRPr="00033567" w:rsidRDefault="00406C81" w:rsidP="00406C81">
      <w:pPr>
        <w:spacing w:line="360" w:lineRule="auto"/>
        <w:rPr>
          <w:rFonts w:eastAsia="Times New Roman"/>
          <w:b/>
          <w:iCs/>
          <w:color w:val="000000"/>
          <w:lang w:val="en-GB"/>
        </w:rPr>
      </w:pPr>
      <w:proofErr w:type="spellStart"/>
      <w:r w:rsidRPr="00033567">
        <w:rPr>
          <w:rFonts w:eastAsia="Times New Roman"/>
          <w:b/>
          <w:iCs/>
          <w:color w:val="000000"/>
          <w:lang w:val="en-GB"/>
        </w:rPr>
        <w:t>ETable</w:t>
      </w:r>
      <w:proofErr w:type="spellEnd"/>
      <w:r w:rsidRPr="00033567">
        <w:rPr>
          <w:rFonts w:eastAsia="Times New Roman"/>
          <w:b/>
          <w:iCs/>
          <w:color w:val="000000"/>
          <w:lang w:val="en-GB"/>
        </w:rPr>
        <w:t xml:space="preserve"> 1</w:t>
      </w:r>
      <w:r w:rsidR="006F3E13" w:rsidRPr="00033567">
        <w:rPr>
          <w:rFonts w:eastAsia="Times New Roman"/>
          <w:b/>
          <w:iCs/>
          <w:color w:val="000000"/>
          <w:lang w:val="en-GB"/>
        </w:rPr>
        <w:t>: SBT indices</w:t>
      </w:r>
    </w:p>
    <w:tbl>
      <w:tblPr>
        <w:tblStyle w:val="TableGrid"/>
        <w:tblW w:w="0" w:type="auto"/>
        <w:jc w:val="center"/>
        <w:tblLook w:val="04A0" w:firstRow="1" w:lastRow="0" w:firstColumn="1" w:lastColumn="0" w:noHBand="0" w:noVBand="1"/>
      </w:tblPr>
      <w:tblGrid>
        <w:gridCol w:w="1696"/>
        <w:gridCol w:w="4678"/>
        <w:gridCol w:w="2636"/>
      </w:tblGrid>
      <w:tr w:rsidR="003F545B" w:rsidRPr="00812D70" w14:paraId="6D7FEDA2" w14:textId="77777777" w:rsidTr="00033567">
        <w:trPr>
          <w:trHeight w:val="306"/>
          <w:jc w:val="center"/>
        </w:trPr>
        <w:tc>
          <w:tcPr>
            <w:tcW w:w="1696" w:type="dxa"/>
          </w:tcPr>
          <w:p w14:paraId="3E8972B7" w14:textId="77777777" w:rsidR="003F545B" w:rsidRPr="00812D70" w:rsidRDefault="003F545B" w:rsidP="00D9435B">
            <w:pPr>
              <w:widowControl w:val="0"/>
              <w:autoSpaceDE w:val="0"/>
              <w:autoSpaceDN w:val="0"/>
              <w:adjustRightInd w:val="0"/>
              <w:spacing w:line="360" w:lineRule="auto"/>
              <w:jc w:val="center"/>
              <w:rPr>
                <w:b/>
                <w:sz w:val="28"/>
                <w:szCs w:val="28"/>
                <w:lang w:val="en-GB"/>
              </w:rPr>
            </w:pPr>
            <w:r w:rsidRPr="00812D70">
              <w:rPr>
                <w:b/>
                <w:sz w:val="28"/>
                <w:szCs w:val="28"/>
                <w:lang w:val="en-GB"/>
              </w:rPr>
              <w:t>Indices</w:t>
            </w:r>
          </w:p>
        </w:tc>
        <w:tc>
          <w:tcPr>
            <w:tcW w:w="4678" w:type="dxa"/>
          </w:tcPr>
          <w:p w14:paraId="3A02B6EA" w14:textId="77777777" w:rsidR="003F545B" w:rsidRPr="00812D70" w:rsidRDefault="003F545B" w:rsidP="00D9435B">
            <w:pPr>
              <w:widowControl w:val="0"/>
              <w:autoSpaceDE w:val="0"/>
              <w:autoSpaceDN w:val="0"/>
              <w:adjustRightInd w:val="0"/>
              <w:spacing w:line="360" w:lineRule="auto"/>
              <w:jc w:val="center"/>
              <w:rPr>
                <w:b/>
                <w:sz w:val="28"/>
                <w:szCs w:val="28"/>
                <w:lang w:val="en-GB"/>
              </w:rPr>
            </w:pPr>
            <w:r w:rsidRPr="00812D70">
              <w:rPr>
                <w:b/>
                <w:sz w:val="28"/>
                <w:szCs w:val="28"/>
                <w:lang w:val="en-GB"/>
              </w:rPr>
              <w:t>Significance</w:t>
            </w:r>
          </w:p>
        </w:tc>
        <w:tc>
          <w:tcPr>
            <w:tcW w:w="2636" w:type="dxa"/>
          </w:tcPr>
          <w:p w14:paraId="15300015" w14:textId="77777777" w:rsidR="003F545B" w:rsidRPr="00812D70" w:rsidRDefault="003F545B" w:rsidP="00D9435B">
            <w:pPr>
              <w:widowControl w:val="0"/>
              <w:autoSpaceDE w:val="0"/>
              <w:autoSpaceDN w:val="0"/>
              <w:adjustRightInd w:val="0"/>
              <w:spacing w:line="360" w:lineRule="auto"/>
              <w:jc w:val="center"/>
              <w:rPr>
                <w:b/>
                <w:sz w:val="28"/>
                <w:szCs w:val="28"/>
                <w:lang w:val="en-GB"/>
              </w:rPr>
            </w:pPr>
            <w:r w:rsidRPr="00812D70">
              <w:rPr>
                <w:b/>
                <w:sz w:val="28"/>
                <w:szCs w:val="28"/>
                <w:lang w:val="en-GB"/>
              </w:rPr>
              <w:t>Cut-off value</w:t>
            </w:r>
          </w:p>
        </w:tc>
      </w:tr>
      <w:tr w:rsidR="003F545B" w:rsidRPr="00812D70" w14:paraId="4714EDD8" w14:textId="77777777" w:rsidTr="00033567">
        <w:trPr>
          <w:jc w:val="center"/>
        </w:trPr>
        <w:tc>
          <w:tcPr>
            <w:tcW w:w="1696" w:type="dxa"/>
          </w:tcPr>
          <w:p w14:paraId="5FCC4F0B" w14:textId="77777777" w:rsidR="003F545B" w:rsidRPr="00812D70" w:rsidRDefault="003F545B" w:rsidP="00D9435B">
            <w:pPr>
              <w:widowControl w:val="0"/>
              <w:autoSpaceDE w:val="0"/>
              <w:autoSpaceDN w:val="0"/>
              <w:adjustRightInd w:val="0"/>
              <w:spacing w:line="360" w:lineRule="auto"/>
              <w:rPr>
                <w:lang w:val="en-GB"/>
              </w:rPr>
            </w:pPr>
            <w:r w:rsidRPr="00812D70">
              <w:rPr>
                <w:lang w:val="en-GB"/>
              </w:rPr>
              <w:t>P 0.1</w:t>
            </w:r>
          </w:p>
        </w:tc>
        <w:tc>
          <w:tcPr>
            <w:tcW w:w="4678" w:type="dxa"/>
          </w:tcPr>
          <w:p w14:paraId="3C01481E" w14:textId="77777777" w:rsidR="003F545B" w:rsidRPr="00812D70" w:rsidRDefault="003F545B" w:rsidP="00033567">
            <w:pPr>
              <w:widowControl w:val="0"/>
              <w:autoSpaceDE w:val="0"/>
              <w:autoSpaceDN w:val="0"/>
              <w:adjustRightInd w:val="0"/>
              <w:spacing w:line="360" w:lineRule="auto"/>
              <w:jc w:val="both"/>
              <w:rPr>
                <w:lang w:val="en-GB"/>
              </w:rPr>
            </w:pPr>
            <w:r w:rsidRPr="00812D70">
              <w:rPr>
                <w:lang w:val="en-GB"/>
              </w:rPr>
              <w:t xml:space="preserve">The negative pressure that occurs 100 </w:t>
            </w:r>
            <w:proofErr w:type="spellStart"/>
            <w:r w:rsidRPr="00812D70">
              <w:rPr>
                <w:lang w:val="en-GB"/>
              </w:rPr>
              <w:t>ms</w:t>
            </w:r>
            <w:proofErr w:type="spellEnd"/>
            <w:r w:rsidRPr="00812D70">
              <w:rPr>
                <w:lang w:val="en-GB"/>
              </w:rPr>
              <w:t xml:space="preserve"> (or 0.1s) after a spontaneous inspiratory effort has been detected. Test of respiratory drive, not volitional. &lt; -5 (i.e., more negative) indicates increased WOB.</w:t>
            </w:r>
          </w:p>
        </w:tc>
        <w:tc>
          <w:tcPr>
            <w:tcW w:w="2636" w:type="dxa"/>
          </w:tcPr>
          <w:p w14:paraId="183868B0" w14:textId="77777777" w:rsidR="003F545B" w:rsidRPr="00812D70" w:rsidRDefault="003F545B" w:rsidP="00D9435B">
            <w:pPr>
              <w:widowControl w:val="0"/>
              <w:autoSpaceDE w:val="0"/>
              <w:autoSpaceDN w:val="0"/>
              <w:adjustRightInd w:val="0"/>
              <w:spacing w:line="360" w:lineRule="auto"/>
              <w:rPr>
                <w:lang w:val="en-GB"/>
              </w:rPr>
            </w:pPr>
            <w:r w:rsidRPr="00812D70">
              <w:rPr>
                <w:lang w:val="en-GB"/>
              </w:rPr>
              <w:t xml:space="preserve">&lt; -5.0 cmH2 O(*) </w:t>
            </w:r>
            <w:r w:rsidRPr="00812D70">
              <w:rPr>
                <w:lang w:val="en-GB"/>
              </w:rPr>
              <w:fldChar w:fldCharType="begin" w:fldLock="1"/>
            </w:r>
            <w:r w:rsidRPr="00812D70">
              <w:rPr>
                <w:lang w:val="en-GB"/>
              </w:rPr>
              <w:instrText>ADDIN CSL_CITATION { "citationItems" : [ { "id" : "ITEM-1", "itemData" : { "ISSN" : "0012-3692 (Print)", "PMID" : "7634888", "abstract" : "STUDY OBJECTIVE: In most weaning studies, failure group patients are reventilated prior to extubation, thus compromising the evaluation of the applied weaning indices' predictive values. This study determines the usefulness of both standard and recent indices in predicting successful extubation following prolonged mechanical ventilation. DESIGN AND METHODS: Following a successful 20-min T-piece trial, ten traditional weaning criteria, as well as airway occlusion pressure (PO.1), maximal inspiratory pressure (MIP), PO.1/MIP ratio, and shallow breathing (F/VT) were determined in unselected patients undergoing prolonged mechanical ventilation. Having satisfied 8 of 10 classic weaning criteria, 67 patients were extubated after an additional 40 min of successful spontaneous T-piece breathing, and included in the study. After extubation, the tracheal tube resistive pressure (RP) values were measured. RESULTS: Twelve (18%) patients failed extubation. The failure group's average age was significantly greater (69.43 vs 48.43 years). The PO.1, PO.1/MIP, and F/VT values of the success (3.62 +/- 1.35 cm H2O, 0.05 +/- 0.04, and 50 +/- 23 b.min-1.L-1) and failure (7.38 +/- 2.67 cm H2O, 0.14 +/- 0.04, and 69 +/- 25 b.min-1.L-1) groups were significantly different (p &lt; 0.005). The diagnostic accuracies of these indices were, respectively, 88%, 98%, and 73%. The spirometric, gas exchange, and tracheal tube RP values of the two groups showed no significant differences. CONCLUSION: PO.1 and PO.1/MIP ratio provide the best means of predicting extubation success, and they are not influenced by tracheal tube resistance.", "author" : [ { "dropping-particle" : "", "family" : "Capdevila", "given" : "X J", "non-dropping-particle" : "", "parse-names" : false, "suffix" : "" }, { "dropping-particle" : "", "family" : "Perrigault", "given" : "P F", "non-dropping-particle" : "", "parse-names" : false, "suffix" : "" }, { "dropping-particle" : "", "family" : "Perey", "given" : "P J", "non-dropping-particle" : "", "parse-names" : false, "suffix" : "" }, { "dropping-particle" : "", "family" : "Roustan", "given" : "J P", "non-dropping-particle" : "", "parse-names" : false, "suffix" : "" }, { "dropping-particle" : "", "family" : "d'Athis", "given" : "F", "non-dropping-particle" : "", "parse-names" : false, "suffix" : "" } ], "container-title" : "Chest", "id" : "ITEM-1", "issue" : "2", "issued" : { "date-parts" : [ [ "1995", "8" ] ] }, "language" : "eng", "page" : "482-489", "publisher-place" : "United States", "title" : "Occlusion pressure and its ratio to maximum inspiratory pressure are useful predictors for successful extubation following T-piece weaning trial.", "type" : "article-journal", "volume" : "108" }, "uris" : [ "http://www.mendeley.com/documents/?uuid=fc298b79-fa72-4879-82cf-c06f1b527250" ] } ], "mendeley" : { "formattedCitation" : "&lt;sup&gt;88&lt;/sup&gt;", "plainTextFormattedCitation" : "88", "previouslyFormattedCitation" : "&lt;sup&gt;88&lt;/sup&gt;" }, "properties" : { "noteIndex" : 0 }, "schema" : "https://github.com/citation-style-language/schema/raw/master/csl-citation.json" }</w:instrText>
            </w:r>
            <w:r w:rsidRPr="00812D70">
              <w:rPr>
                <w:lang w:val="en-GB"/>
              </w:rPr>
              <w:fldChar w:fldCharType="separate"/>
            </w:r>
            <w:r w:rsidRPr="00812D70">
              <w:rPr>
                <w:noProof/>
                <w:vertAlign w:val="superscript"/>
                <w:lang w:val="en-GB"/>
              </w:rPr>
              <w:t>88</w:t>
            </w:r>
            <w:r w:rsidRPr="00812D70">
              <w:rPr>
                <w:lang w:val="en-GB"/>
              </w:rPr>
              <w:fldChar w:fldCharType="end"/>
            </w:r>
          </w:p>
        </w:tc>
      </w:tr>
      <w:tr w:rsidR="003F545B" w:rsidRPr="00A04E6A" w14:paraId="08791535" w14:textId="77777777" w:rsidTr="00033567">
        <w:trPr>
          <w:jc w:val="center"/>
        </w:trPr>
        <w:tc>
          <w:tcPr>
            <w:tcW w:w="1696" w:type="dxa"/>
          </w:tcPr>
          <w:p w14:paraId="5C0CF696" w14:textId="7F1F41CF" w:rsidR="00AF2A8F" w:rsidRPr="00812D70" w:rsidRDefault="00AF2A8F" w:rsidP="00AF2A8F">
            <w:pPr>
              <w:widowControl w:val="0"/>
              <w:autoSpaceDE w:val="0"/>
              <w:autoSpaceDN w:val="0"/>
              <w:adjustRightInd w:val="0"/>
              <w:spacing w:line="360" w:lineRule="auto"/>
              <w:rPr>
                <w:lang w:val="en-GB"/>
              </w:rPr>
            </w:pPr>
            <w:r>
              <w:rPr>
                <w:lang w:val="en-GB"/>
              </w:rPr>
              <w:t>MIP</w:t>
            </w:r>
          </w:p>
          <w:p w14:paraId="08F5635F" w14:textId="56ED8F29" w:rsidR="003F545B" w:rsidRPr="00812D70" w:rsidRDefault="00AF2A8F" w:rsidP="00D9435B">
            <w:pPr>
              <w:widowControl w:val="0"/>
              <w:autoSpaceDE w:val="0"/>
              <w:autoSpaceDN w:val="0"/>
              <w:adjustRightInd w:val="0"/>
              <w:spacing w:line="360" w:lineRule="auto"/>
              <w:rPr>
                <w:lang w:val="en-GB"/>
              </w:rPr>
            </w:pPr>
            <w:r>
              <w:rPr>
                <w:lang w:val="en-GB"/>
              </w:rPr>
              <w:t>(</w:t>
            </w:r>
            <w:r w:rsidR="003F545B" w:rsidRPr="00812D70">
              <w:rPr>
                <w:lang w:val="en-GB"/>
              </w:rPr>
              <w:t>Maximum</w:t>
            </w:r>
          </w:p>
          <w:p w14:paraId="48F1D634" w14:textId="77777777" w:rsidR="003F545B" w:rsidRPr="00812D70" w:rsidRDefault="003F545B" w:rsidP="00D9435B">
            <w:pPr>
              <w:widowControl w:val="0"/>
              <w:autoSpaceDE w:val="0"/>
              <w:autoSpaceDN w:val="0"/>
              <w:adjustRightInd w:val="0"/>
              <w:spacing w:line="360" w:lineRule="auto"/>
              <w:rPr>
                <w:lang w:val="en-GB"/>
              </w:rPr>
            </w:pPr>
            <w:r w:rsidRPr="00812D70">
              <w:rPr>
                <w:lang w:val="en-GB"/>
              </w:rPr>
              <w:t>inspiratory</w:t>
            </w:r>
          </w:p>
          <w:p w14:paraId="00B3668E" w14:textId="6CB303BD" w:rsidR="003F545B" w:rsidRPr="00812D70" w:rsidRDefault="003F545B" w:rsidP="00D9435B">
            <w:pPr>
              <w:widowControl w:val="0"/>
              <w:autoSpaceDE w:val="0"/>
              <w:autoSpaceDN w:val="0"/>
              <w:adjustRightInd w:val="0"/>
              <w:spacing w:line="360" w:lineRule="auto"/>
              <w:rPr>
                <w:lang w:val="en-GB"/>
              </w:rPr>
            </w:pPr>
            <w:r w:rsidRPr="00812D70">
              <w:rPr>
                <w:lang w:val="en-GB"/>
              </w:rPr>
              <w:t>pressure</w:t>
            </w:r>
            <w:r w:rsidR="00AF2A8F">
              <w:rPr>
                <w:lang w:val="en-GB"/>
              </w:rPr>
              <w:t>)</w:t>
            </w:r>
          </w:p>
          <w:p w14:paraId="17F86674" w14:textId="77777777" w:rsidR="00AF2A8F" w:rsidRDefault="00AF2A8F" w:rsidP="00D9435B">
            <w:pPr>
              <w:widowControl w:val="0"/>
              <w:autoSpaceDE w:val="0"/>
              <w:autoSpaceDN w:val="0"/>
              <w:adjustRightInd w:val="0"/>
              <w:spacing w:line="360" w:lineRule="auto"/>
              <w:rPr>
                <w:lang w:val="en-GB"/>
              </w:rPr>
            </w:pPr>
          </w:p>
          <w:p w14:paraId="7A39C988" w14:textId="16B44BE0" w:rsidR="00AF2A8F" w:rsidRPr="00812D70" w:rsidRDefault="00AF2A8F" w:rsidP="00D9435B">
            <w:pPr>
              <w:widowControl w:val="0"/>
              <w:autoSpaceDE w:val="0"/>
              <w:autoSpaceDN w:val="0"/>
              <w:adjustRightInd w:val="0"/>
              <w:spacing w:line="360" w:lineRule="auto"/>
              <w:rPr>
                <w:lang w:val="en-GB"/>
              </w:rPr>
            </w:pPr>
            <w:r>
              <w:rPr>
                <w:lang w:val="en-GB"/>
              </w:rPr>
              <w:t>or</w:t>
            </w:r>
          </w:p>
          <w:p w14:paraId="3CE815AA" w14:textId="77777777" w:rsidR="00AF2A8F" w:rsidRDefault="00AF2A8F" w:rsidP="00D9435B">
            <w:pPr>
              <w:widowControl w:val="0"/>
              <w:autoSpaceDE w:val="0"/>
              <w:autoSpaceDN w:val="0"/>
              <w:adjustRightInd w:val="0"/>
              <w:spacing w:line="360" w:lineRule="auto"/>
              <w:rPr>
                <w:lang w:val="en-GB"/>
              </w:rPr>
            </w:pPr>
          </w:p>
          <w:p w14:paraId="1B1D3920" w14:textId="46695CF8" w:rsidR="003F545B" w:rsidRPr="00812D70" w:rsidRDefault="003F545B" w:rsidP="00D9435B">
            <w:pPr>
              <w:widowControl w:val="0"/>
              <w:autoSpaceDE w:val="0"/>
              <w:autoSpaceDN w:val="0"/>
              <w:adjustRightInd w:val="0"/>
              <w:spacing w:line="360" w:lineRule="auto"/>
              <w:rPr>
                <w:lang w:val="en-GB"/>
              </w:rPr>
            </w:pPr>
            <w:r w:rsidRPr="00812D70">
              <w:rPr>
                <w:lang w:val="en-GB"/>
              </w:rPr>
              <w:t>NIF (Negative</w:t>
            </w:r>
          </w:p>
          <w:p w14:paraId="7026BA44" w14:textId="1EFFCF29" w:rsidR="003F545B" w:rsidRPr="00812D70" w:rsidRDefault="003F545B" w:rsidP="00D9435B">
            <w:pPr>
              <w:widowControl w:val="0"/>
              <w:autoSpaceDE w:val="0"/>
              <w:autoSpaceDN w:val="0"/>
              <w:adjustRightInd w:val="0"/>
              <w:spacing w:line="360" w:lineRule="auto"/>
              <w:rPr>
                <w:lang w:val="en-GB"/>
              </w:rPr>
            </w:pPr>
            <w:r w:rsidRPr="00812D70">
              <w:rPr>
                <w:lang w:val="en-GB"/>
              </w:rPr>
              <w:t>inspiratory force)</w:t>
            </w:r>
          </w:p>
        </w:tc>
        <w:tc>
          <w:tcPr>
            <w:tcW w:w="4678" w:type="dxa"/>
          </w:tcPr>
          <w:p w14:paraId="18C4B785" w14:textId="77777777" w:rsidR="003F545B" w:rsidRPr="00812D70" w:rsidRDefault="003F545B" w:rsidP="00033567">
            <w:pPr>
              <w:widowControl w:val="0"/>
              <w:autoSpaceDE w:val="0"/>
              <w:autoSpaceDN w:val="0"/>
              <w:adjustRightInd w:val="0"/>
              <w:spacing w:line="360" w:lineRule="auto"/>
              <w:jc w:val="both"/>
              <w:rPr>
                <w:lang w:val="en-GB"/>
              </w:rPr>
            </w:pPr>
            <w:r w:rsidRPr="00812D70">
              <w:rPr>
                <w:lang w:val="en-GB"/>
              </w:rPr>
              <w:t>The negative deflection in the pressure tracing during the patient’s active &amp; maximal effort to breathe during an expiratory hold manoeuvre at the end of a relaxed or forced expiration. It is a global assessment of the strength of the inspiratory muscles.  The MIP tends to be underestimated because of insufficient patient effort. This can be improved keeping the valve occluded up to 20 seconds - this will move the patient to a maximal effort.</w:t>
            </w:r>
          </w:p>
        </w:tc>
        <w:tc>
          <w:tcPr>
            <w:tcW w:w="2636" w:type="dxa"/>
          </w:tcPr>
          <w:p w14:paraId="4DC123AF" w14:textId="77777777" w:rsidR="003F545B" w:rsidRPr="00812D70" w:rsidRDefault="003F545B" w:rsidP="00D9435B">
            <w:pPr>
              <w:widowControl w:val="0"/>
              <w:autoSpaceDE w:val="0"/>
              <w:autoSpaceDN w:val="0"/>
              <w:adjustRightInd w:val="0"/>
              <w:spacing w:line="360" w:lineRule="auto"/>
              <w:rPr>
                <w:lang w:val="en-GB"/>
              </w:rPr>
            </w:pPr>
            <w:r w:rsidRPr="00812D70">
              <w:rPr>
                <w:lang w:val="en-GB"/>
              </w:rPr>
              <w:t xml:space="preserve">&lt;-30 cmH2 O (i.e.,  the more negative the better) &gt; − 15 cmH2 O (**) </w:t>
            </w:r>
            <w:r w:rsidRPr="00812D70">
              <w:rPr>
                <w:lang w:val="en-GB"/>
              </w:rPr>
              <w:fldChar w:fldCharType="begin" w:fldLock="1"/>
            </w:r>
            <w:r w:rsidRPr="00812D70">
              <w:rPr>
                <w:lang w:val="en-GB"/>
              </w:rPr>
              <w:instrText>ADDIN CSL_CITATION { "citationItems" : [ { "id" : "ITEM-1", "itemData" : { "DOI" : "10.1056/NEJM199105233242101", "ISSN" : "0028-4793", "author" : [ { "dropping-particle" : "", "family" : "Yang", "given" : "Karl L", "non-dropping-particle" : "", "parse-names" : false, "suffix" : "" }, { "dropping-particle" : "", "family" : "Tobin", "given" : "Martin J", "non-dropping-particle" : "", "parse-names" : false, "suffix" : "" } ], "container-title" : "New England Journal of Medicine", "id" : "ITEM-1", "issue" : "21", "issued" : { "date-parts" : [ [ "1991", "5", "23" ] ] }, "note" : "doi: 10.1056/NEJM199105233242101", "page" : "1445-1450", "publisher" : "Massachusetts Medical Society", "title" : "A Prospective Study of Indexes Predicting the Outcome of Trials of Weaning from Mechanical Ventilation", "type" : "article-journal", "volume" : "324" }, "uris" : [ "http://www.mendeley.com/documents/?uuid=4b5506fe-8abe-4f67-a2aa-610283a1d58f" ] } ], "mendeley" : { "formattedCitation" : "&lt;sup&gt;89&lt;/sup&gt;", "plainTextFormattedCitation" : "89", "previouslyFormattedCitation" : "&lt;sup&gt;89&lt;/sup&gt;" }, "properties" : { "noteIndex" : 0 }, "schema" : "https://github.com/citation-style-language/schema/raw/master/csl-citation.json" }</w:instrText>
            </w:r>
            <w:r w:rsidRPr="00812D70">
              <w:rPr>
                <w:lang w:val="en-GB"/>
              </w:rPr>
              <w:fldChar w:fldCharType="separate"/>
            </w:r>
            <w:r w:rsidRPr="00812D70">
              <w:rPr>
                <w:noProof/>
                <w:vertAlign w:val="superscript"/>
                <w:lang w:val="en-GB"/>
              </w:rPr>
              <w:t>89</w:t>
            </w:r>
            <w:r w:rsidRPr="00812D70">
              <w:rPr>
                <w:lang w:val="en-GB"/>
              </w:rPr>
              <w:fldChar w:fldCharType="end"/>
            </w:r>
          </w:p>
          <w:p w14:paraId="0582DD86" w14:textId="77777777" w:rsidR="003F545B" w:rsidRPr="00812D70" w:rsidRDefault="003F545B" w:rsidP="00D9435B">
            <w:pPr>
              <w:widowControl w:val="0"/>
              <w:autoSpaceDE w:val="0"/>
              <w:autoSpaceDN w:val="0"/>
              <w:adjustRightInd w:val="0"/>
              <w:spacing w:line="360" w:lineRule="auto"/>
              <w:rPr>
                <w:lang w:val="en-GB"/>
              </w:rPr>
            </w:pPr>
          </w:p>
        </w:tc>
      </w:tr>
      <w:tr w:rsidR="003F545B" w:rsidRPr="00A04E6A" w14:paraId="34CC53FC" w14:textId="77777777" w:rsidTr="00033567">
        <w:trPr>
          <w:jc w:val="center"/>
        </w:trPr>
        <w:tc>
          <w:tcPr>
            <w:tcW w:w="1696" w:type="dxa"/>
          </w:tcPr>
          <w:p w14:paraId="282F3639" w14:textId="77777777" w:rsidR="003F545B" w:rsidRPr="00812D70" w:rsidRDefault="003F545B" w:rsidP="00D9435B">
            <w:pPr>
              <w:widowControl w:val="0"/>
              <w:autoSpaceDE w:val="0"/>
              <w:autoSpaceDN w:val="0"/>
              <w:adjustRightInd w:val="0"/>
              <w:spacing w:line="360" w:lineRule="auto"/>
              <w:rPr>
                <w:lang w:val="en-GB"/>
              </w:rPr>
            </w:pPr>
            <w:r w:rsidRPr="00812D70">
              <w:rPr>
                <w:lang w:val="en-GB"/>
              </w:rPr>
              <w:t>P0.1/NIF Ratio</w:t>
            </w:r>
          </w:p>
        </w:tc>
        <w:tc>
          <w:tcPr>
            <w:tcW w:w="4678" w:type="dxa"/>
          </w:tcPr>
          <w:p w14:paraId="363FE360" w14:textId="77777777" w:rsidR="003F545B" w:rsidRPr="00812D70" w:rsidRDefault="003F545B" w:rsidP="00033567">
            <w:pPr>
              <w:widowControl w:val="0"/>
              <w:autoSpaceDE w:val="0"/>
              <w:autoSpaceDN w:val="0"/>
              <w:adjustRightInd w:val="0"/>
              <w:spacing w:line="360" w:lineRule="auto"/>
              <w:jc w:val="both"/>
              <w:rPr>
                <w:lang w:val="en-GB"/>
              </w:rPr>
            </w:pPr>
            <w:r w:rsidRPr="00812D70">
              <w:rPr>
                <w:lang w:val="en-GB"/>
              </w:rPr>
              <w:t xml:space="preserve">The relationship between P0.1 and MIP. Relates the work of breathing to the inspiratory muscle power. A higher P0.1 with a lower MIP would imply </w:t>
            </w:r>
            <w:proofErr w:type="spellStart"/>
            <w:r w:rsidRPr="00812D70">
              <w:rPr>
                <w:lang w:val="en-GB"/>
              </w:rPr>
              <w:t>raised</w:t>
            </w:r>
            <w:proofErr w:type="spellEnd"/>
            <w:r w:rsidRPr="00812D70">
              <w:rPr>
                <w:lang w:val="en-GB"/>
              </w:rPr>
              <w:t xml:space="preserve"> WOB with poor inspiratory muscle power and likelihood of pump failure if extubated.</w:t>
            </w:r>
          </w:p>
        </w:tc>
        <w:tc>
          <w:tcPr>
            <w:tcW w:w="2636" w:type="dxa"/>
          </w:tcPr>
          <w:p w14:paraId="4C02BC55" w14:textId="77777777" w:rsidR="003F545B" w:rsidRPr="00812D70" w:rsidRDefault="003F545B" w:rsidP="00D9435B">
            <w:pPr>
              <w:widowControl w:val="0"/>
              <w:autoSpaceDE w:val="0"/>
              <w:autoSpaceDN w:val="0"/>
              <w:adjustRightInd w:val="0"/>
              <w:spacing w:line="360" w:lineRule="auto"/>
              <w:rPr>
                <w:lang w:val="en-GB"/>
              </w:rPr>
            </w:pPr>
            <w:r w:rsidRPr="00812D70">
              <w:rPr>
                <w:lang w:val="en-GB"/>
              </w:rPr>
              <w:t xml:space="preserve">&lt;0.09-0.14 cmH2O  </w:t>
            </w:r>
            <w:r w:rsidRPr="00812D70">
              <w:rPr>
                <w:lang w:val="en-GB"/>
              </w:rPr>
              <w:fldChar w:fldCharType="begin" w:fldLock="1"/>
            </w:r>
            <w:r w:rsidRPr="00812D70">
              <w:rPr>
                <w:lang w:val="en-GB"/>
              </w:rPr>
              <w:instrText>ADDIN CSL_CITATION { "citationItems" : [ { "id" : "ITEM-1", "itemData" : { "ISSN" : "0012-3692 (Print)", "PMID" : "7634888", "abstract" : "STUDY OBJECTIVE: In most weaning studies, failure group patients are reventilated prior to extubation, thus compromising the evaluation of the applied weaning indices' predictive values. This study determines the usefulness of both standard and recent indices in predicting successful extubation following prolonged mechanical ventilation. DESIGN AND METHODS: Following a successful 20-min T-piece trial, ten traditional weaning criteria, as well as airway occlusion pressure (PO.1), maximal inspiratory pressure (MIP), PO.1/MIP ratio, and shallow breathing (F/VT) were determined in unselected patients undergoing prolonged mechanical ventilation. Having satisfied 8 of 10 classic weaning criteria, 67 patients were extubated after an additional 40 min of successful spontaneous T-piece breathing, and included in the study. After extubation, the tracheal tube resistive pressure (RP) values were measured. RESULTS: Twelve (18%) patients failed extubation. The failure group's average age was significantly greater (69.43 vs 48.43 years). The PO.1, PO.1/MIP, and F/VT values of the success (3.62 +/- 1.35 cm H2O, 0.05 +/- 0.04, and 50 +/- 23 b.min-1.L-1) and failure (7.38 +/- 2.67 cm H2O, 0.14 +/- 0.04, and 69 +/- 25 b.min-1.L-1) groups were significantly different (p &lt; 0.005). The diagnostic accuracies of these indices were, respectively, 88%, 98%, and 73%. The spirometric, gas exchange, and tracheal tube RP values of the two groups showed no significant differences. CONCLUSION: PO.1 and PO.1/MIP ratio provide the best means of predicting extubation success, and they are not influenced by tracheal tube resistance.", "author" : [ { "dropping-particle" : "", "family" : "Capdevila", "given" : "X J", "non-dropping-particle" : "", "parse-names" : false, "suffix" : "" }, { "dropping-particle" : "", "family" : "Perrigault", "given" : "P F", "non-dropping-particle" : "", "parse-names" : false, "suffix" : "" }, { "dropping-particle" : "", "family" : "Perey", "given" : "P J", "non-dropping-particle" : "", "parse-names" : false, "suffix" : "" }, { "dropping-particle" : "", "family" : "Roustan", "given" : "J P", "non-dropping-particle" : "", "parse-names" : false, "suffix" : "" }, { "dropping-particle" : "", "family" : "d'Athis", "given" : "F", "non-dropping-particle" : "", "parse-names" : false, "suffix" : "" } ], "container-title" : "Chest", "id" : "ITEM-1", "issue" : "2", "issued" : { "date-parts" : [ [ "1995", "8" ] ] }, "language" : "eng", "page" : "482-489", "publisher-place" : "United States", "title" : "Occlusion pressure and its ratio to maximum inspiratory pressure are useful predictors for successful extubation following T-piece weaning trial.", "type" : "article-journal", "volume" : "108" }, "uris" : [ "http://www.mendeley.com/documents/?uuid=fc298b79-fa72-4879-82cf-c06f1b527250" ] }, { "id" : "ITEM-2", "itemData" : { "DOI" : "10.1016/j.jcrc.2009.01.007", "ISSN" : "1557-8615 (Electronic)", "PMID" : "19327955", "abstract" : "PURPOSE: The objective of this study is to evaluate the predictive performance of maximal inspiratory pressure (Pimax), airway occlusion pressure (P 0.1), and its ratio (P 0.1/Pimax) in the weaning outcome. MATERIALS AND METHODS: Seventy patients on mechanical ventilation for more than 24 hours, who fulfilled weaning criteria, were prospectively evaluated. Pimax less than -25 cm H(2)O, P 0.1 less than 4.2 cm H(2)O, and P 0.1/Pimax less than 0.14 were evaluated in all patients before spontaneous breathing trials. The receiver operating characteristic (ROC) curve was calculated to evaluate the predictive performance of each index. RESULTS: Pimax presented the area under the ROC curves smaller than those for P 0.1 and P 0.1/Pimax (0.52 x 0.76 and 0.52 x 0.78; P = .004 and P = .0006, respectively), being the criteria of worst performance. P 0.1/Pimax presented excellent predictive performance in weaned patients, with sensitivity of 98.08, but with the area under the ROC curves only slightly larger than those for P 0.1 (0.78 x 0.76, respectively; P = .69). CONCLUSION: In our study, P 0.1 and P 0.1/Pimax ratio were moderately accurate, whereas Pimax was less accurate in predicting the weaning outcome.", "author" : [ { "dropping-particle" : "", "family" : "Nemer", "given" : "Sergio N", "non-dropping-particle" : "", "parse-names" : false, "suffix" : "" }, { "dropping-particle" : "V", "family" : "Barbas", "given" : "Carmen S", "non-dropping-particle" : "", "parse-names" : false, "suffix" : "" }, { "dropping-particle" : "", "family" : "Caldeira", "given" : "Jefferson B", "non-dropping-particle" : "", "parse-names" : false, "suffix" : "" }, { "dropping-particle" : "", "family" : "Guimaraes", "given" : "Bruno", "non-dropping-particle" : "", "parse-names" : false, "suffix" : "" }, { "dropping-particle" : "", "family" : "Azeredo", "given" : "Leandro M", "non-dropping-particle" : "", "parse-names" : false, "suffix" : "" }, { "dropping-particle" : "", "family" : "Gago", "given" : "Ricardo", "non-dropping-particle" : "", "parse-names" : false, "suffix" : "" }, { "dropping-particle" : "", "family" : "Souza", "given" : "Paulo Cesar P", "non-dropping-particle" : "", "parse-names" : false, "suffix" : "" } ], "container-title" : "Journal of critical care", "id" : "ITEM-2", "issue" : "3", "issued" : { "date-parts" : [ [ "2009", "9" ] ] }, "language" : "eng", "page" : "441-446", "publisher-place" : "United States", "title" : "Evaluation of maximal inspiratory pressure, tracheal airway occlusion pressure, and its ratio in the weaning outcome.", "type" : "article-journal", "volume" : "24" }, "uris" : [ "http://www.mendeley.com/documents/?uuid=bbbbae13-edec-4d37-8391-3cd9529c686e" ] } ], "mendeley" : { "formattedCitation" : "&lt;sup&gt;88,90&lt;/sup&gt;", "plainTextFormattedCitation" : "88,90", "previouslyFormattedCitation" : "&lt;sup&gt;88,90&lt;/sup&gt;" }, "properties" : { "noteIndex" : 0 }, "schema" : "https://github.com/citation-style-language/schema/raw/master/csl-citation.json" }</w:instrText>
            </w:r>
            <w:r w:rsidRPr="00812D70">
              <w:rPr>
                <w:lang w:val="en-GB"/>
              </w:rPr>
              <w:fldChar w:fldCharType="separate"/>
            </w:r>
            <w:r w:rsidRPr="00812D70">
              <w:rPr>
                <w:noProof/>
                <w:vertAlign w:val="superscript"/>
                <w:lang w:val="en-GB"/>
              </w:rPr>
              <w:t>88,90</w:t>
            </w:r>
            <w:r w:rsidRPr="00812D70">
              <w:rPr>
                <w:lang w:val="en-GB"/>
              </w:rPr>
              <w:fldChar w:fldCharType="end"/>
            </w:r>
          </w:p>
          <w:p w14:paraId="1FFFD648" w14:textId="77777777" w:rsidR="003F545B" w:rsidRPr="00812D70" w:rsidRDefault="003F545B" w:rsidP="00D9435B">
            <w:pPr>
              <w:widowControl w:val="0"/>
              <w:autoSpaceDE w:val="0"/>
              <w:autoSpaceDN w:val="0"/>
              <w:adjustRightInd w:val="0"/>
              <w:spacing w:line="360" w:lineRule="auto"/>
              <w:rPr>
                <w:lang w:val="en-GB"/>
              </w:rPr>
            </w:pPr>
          </w:p>
        </w:tc>
      </w:tr>
      <w:tr w:rsidR="003F545B" w:rsidRPr="00812D70" w14:paraId="3C0EB19A" w14:textId="77777777" w:rsidTr="00033567">
        <w:trPr>
          <w:jc w:val="center"/>
        </w:trPr>
        <w:tc>
          <w:tcPr>
            <w:tcW w:w="1696" w:type="dxa"/>
          </w:tcPr>
          <w:p w14:paraId="1DBEBD7F" w14:textId="77777777" w:rsidR="003F545B" w:rsidRPr="00812D70" w:rsidRDefault="003F545B" w:rsidP="00D9435B">
            <w:pPr>
              <w:widowControl w:val="0"/>
              <w:autoSpaceDE w:val="0"/>
              <w:autoSpaceDN w:val="0"/>
              <w:adjustRightInd w:val="0"/>
              <w:spacing w:line="360" w:lineRule="auto"/>
              <w:rPr>
                <w:lang w:val="en-GB"/>
              </w:rPr>
            </w:pPr>
            <w:r w:rsidRPr="00812D70">
              <w:rPr>
                <w:lang w:val="en-GB"/>
              </w:rPr>
              <w:t>Rapid shallow</w:t>
            </w:r>
          </w:p>
          <w:p w14:paraId="39786789" w14:textId="77777777" w:rsidR="003F545B" w:rsidRPr="00812D70" w:rsidRDefault="003F545B" w:rsidP="00D9435B">
            <w:pPr>
              <w:widowControl w:val="0"/>
              <w:autoSpaceDE w:val="0"/>
              <w:autoSpaceDN w:val="0"/>
              <w:adjustRightInd w:val="0"/>
              <w:spacing w:line="360" w:lineRule="auto"/>
              <w:rPr>
                <w:lang w:val="en-GB"/>
              </w:rPr>
            </w:pPr>
            <w:r w:rsidRPr="00812D70">
              <w:rPr>
                <w:lang w:val="en-GB"/>
              </w:rPr>
              <w:t>breathing index</w:t>
            </w:r>
          </w:p>
          <w:p w14:paraId="5B28C7A9" w14:textId="77777777" w:rsidR="003F545B" w:rsidRPr="00812D70" w:rsidRDefault="003F545B" w:rsidP="00D9435B">
            <w:pPr>
              <w:widowControl w:val="0"/>
              <w:autoSpaceDE w:val="0"/>
              <w:autoSpaceDN w:val="0"/>
              <w:adjustRightInd w:val="0"/>
              <w:spacing w:line="360" w:lineRule="auto"/>
              <w:rPr>
                <w:lang w:val="en-GB"/>
              </w:rPr>
            </w:pPr>
            <w:r w:rsidRPr="00812D70">
              <w:rPr>
                <w:lang w:val="en-GB"/>
              </w:rPr>
              <w:t>(RSBI) = f/VT</w:t>
            </w:r>
          </w:p>
        </w:tc>
        <w:tc>
          <w:tcPr>
            <w:tcW w:w="4678" w:type="dxa"/>
          </w:tcPr>
          <w:p w14:paraId="468096E1" w14:textId="77777777" w:rsidR="003F545B" w:rsidRPr="00812D70" w:rsidRDefault="003F545B" w:rsidP="00033567">
            <w:pPr>
              <w:widowControl w:val="0"/>
              <w:autoSpaceDE w:val="0"/>
              <w:autoSpaceDN w:val="0"/>
              <w:adjustRightInd w:val="0"/>
              <w:spacing w:line="360" w:lineRule="auto"/>
              <w:jc w:val="both"/>
              <w:rPr>
                <w:lang w:val="en-GB"/>
              </w:rPr>
            </w:pPr>
            <w:r w:rsidRPr="00812D70">
              <w:rPr>
                <w:lang w:val="en-GB"/>
              </w:rPr>
              <w:t xml:space="preserve">According to the Otis et al </w:t>
            </w:r>
            <w:r w:rsidRPr="00812D70">
              <w:rPr>
                <w:lang w:val="en-GB"/>
              </w:rPr>
              <w:fldChar w:fldCharType="begin" w:fldLock="1"/>
            </w:r>
            <w:r w:rsidRPr="00812D70">
              <w:rPr>
                <w:lang w:val="en-GB"/>
              </w:rPr>
              <w:instrText>ADDIN CSL_CITATION { "citationItems" : [ { "id" : "ITEM-1", "itemData" : { "ISSN" : "0021-8987 (Print)", "PMID" : "15436363", "author" : [ { "dropping-particle" : "", "family" : "OTIS", "given" : "A B", "non-dropping-particle" : "", "parse-names" : false, "suffix" : "" }, { "dropping-particle" : "", "family" : "FENN", "given" : "W O", "non-dropping-particle" : "", "parse-names" : false, "suffix" : "" }, { "dropping-particle" : "", "family" : "RAHN", "given" : "H", "non-dropping-particle" : "", "parse-names" : false, "suffix" : "" } ], "container-title" : "Journal of applied physiology", "id" : "ITEM-1", "issue" : "11", "issued" : { "date-parts" : [ [ "1950", "5" ] ] }, "language" : "eng", "page" : "592-607", "publisher-place" : "United States", "title" : "Mechanics of breathing in man.", "type" : "article-journal", "volume" : "2" }, "uris" : [ "http://www.mendeley.com/documents/?uuid=38e546b0-ff32-41ca-b271-709d91aac92d" ] } ], "mendeley" : { "formattedCitation" : "&lt;sup&gt;91&lt;/sup&gt;", "plainTextFormattedCitation" : "91", "previouslyFormattedCitation" : "&lt;sup&gt;91&lt;/sup&gt;" }, "properties" : { "noteIndex" : 0 }, "schema" : "https://github.com/citation-style-language/schema/raw/master/csl-citation.json" }</w:instrText>
            </w:r>
            <w:r w:rsidRPr="00812D70">
              <w:rPr>
                <w:lang w:val="en-GB"/>
              </w:rPr>
              <w:fldChar w:fldCharType="separate"/>
            </w:r>
            <w:r w:rsidRPr="00812D70">
              <w:rPr>
                <w:noProof/>
                <w:vertAlign w:val="superscript"/>
                <w:lang w:val="en-GB"/>
              </w:rPr>
              <w:t>91</w:t>
            </w:r>
            <w:r w:rsidRPr="00812D70">
              <w:rPr>
                <w:lang w:val="en-GB"/>
              </w:rPr>
              <w:fldChar w:fldCharType="end"/>
            </w:r>
            <w:r w:rsidRPr="00812D70">
              <w:rPr>
                <w:lang w:val="en-GB"/>
              </w:rPr>
              <w:t xml:space="preserve"> model, an increase in RSBI is exponentially related to the work of breathing;</w:t>
            </w:r>
          </w:p>
          <w:p w14:paraId="4E291293" w14:textId="77777777" w:rsidR="003F545B" w:rsidRPr="00812D70" w:rsidRDefault="003F545B" w:rsidP="00033567">
            <w:pPr>
              <w:widowControl w:val="0"/>
              <w:autoSpaceDE w:val="0"/>
              <w:autoSpaceDN w:val="0"/>
              <w:adjustRightInd w:val="0"/>
              <w:spacing w:line="360" w:lineRule="auto"/>
              <w:jc w:val="both"/>
              <w:rPr>
                <w:lang w:val="en-GB"/>
              </w:rPr>
            </w:pPr>
            <w:r w:rsidRPr="00812D70">
              <w:rPr>
                <w:lang w:val="en-GB"/>
              </w:rPr>
              <w:t xml:space="preserve">[WOB= 4035 e ((0.0017 • (f/VT))). </w:t>
            </w:r>
          </w:p>
          <w:p w14:paraId="18BA6D44" w14:textId="77777777" w:rsidR="003F545B" w:rsidRPr="00812D70" w:rsidRDefault="003F545B" w:rsidP="00033567">
            <w:pPr>
              <w:widowControl w:val="0"/>
              <w:autoSpaceDE w:val="0"/>
              <w:autoSpaceDN w:val="0"/>
              <w:adjustRightInd w:val="0"/>
              <w:spacing w:line="360" w:lineRule="auto"/>
              <w:jc w:val="both"/>
              <w:rPr>
                <w:lang w:val="en-GB"/>
              </w:rPr>
            </w:pPr>
            <w:r w:rsidRPr="00812D70">
              <w:rPr>
                <w:lang w:val="en-GB"/>
              </w:rPr>
              <w:t>This means that high RSBI values can signify substantial work of breathing</w:t>
            </w:r>
          </w:p>
        </w:tc>
        <w:tc>
          <w:tcPr>
            <w:tcW w:w="2636" w:type="dxa"/>
          </w:tcPr>
          <w:p w14:paraId="42FE97B4" w14:textId="2D0212E7" w:rsidR="003F545B" w:rsidRPr="00812D70" w:rsidRDefault="003F545B" w:rsidP="00D9435B">
            <w:pPr>
              <w:widowControl w:val="0"/>
              <w:autoSpaceDE w:val="0"/>
              <w:autoSpaceDN w:val="0"/>
              <w:adjustRightInd w:val="0"/>
              <w:spacing w:line="360" w:lineRule="auto"/>
              <w:rPr>
                <w:lang w:val="en-GB"/>
              </w:rPr>
            </w:pPr>
            <w:r w:rsidRPr="00812D70">
              <w:rPr>
                <w:lang w:val="en-GB"/>
              </w:rPr>
              <w:t>&lt;105 breaths • min</w:t>
            </w:r>
            <w:r w:rsidRPr="00033567">
              <w:rPr>
                <w:vertAlign w:val="superscript"/>
                <w:lang w:val="en-GB"/>
              </w:rPr>
              <w:t>−1</w:t>
            </w:r>
            <w:r w:rsidRPr="00812D70">
              <w:rPr>
                <w:lang w:val="en-GB"/>
              </w:rPr>
              <w:t xml:space="preserve"> • L</w:t>
            </w:r>
            <w:r w:rsidR="00A04E6A" w:rsidRPr="00033567">
              <w:rPr>
                <w:vertAlign w:val="superscript"/>
                <w:lang w:val="en-GB"/>
              </w:rPr>
              <w:t>-1</w:t>
            </w:r>
            <w:r w:rsidRPr="00812D70">
              <w:rPr>
                <w:lang w:val="en-GB"/>
              </w:rPr>
              <w:t xml:space="preserve"> </w:t>
            </w:r>
            <w:r w:rsidRPr="00812D70">
              <w:rPr>
                <w:lang w:val="en-GB"/>
              </w:rPr>
              <w:fldChar w:fldCharType="begin" w:fldLock="1"/>
            </w:r>
            <w:r w:rsidRPr="00812D70">
              <w:rPr>
                <w:lang w:val="en-GB"/>
              </w:rPr>
              <w:instrText>ADDIN CSL_CITATION { "citationItems" : [ { "id" : "ITEM-1", "itemData" : { "DOI" : "10.1056/NEJM199105233242101", "ISSN" : "0028-4793", "author" : [ { "dropping-particle" : "", "family" : "Yang", "given" : "Karl L", "non-dropping-particle" : "", "parse-names" : false, "suffix" : "" }, { "dropping-particle" : "", "family" : "Tobin", "given" : "Martin J", "non-dropping-particle" : "", "parse-names" : false, "suffix" : "" } ], "container-title" : "New England Journal of Medicine", "id" : "ITEM-1", "issue" : "21", "issued" : { "date-parts" : [ [ "1991", "5", "23" ] ] }, "note" : "doi: 10.1056/NEJM199105233242101", "page" : "1445-1450", "publisher" : "Massachusetts Medical Society", "title" : "A Prospective Study of Indexes Predicting the Outcome of Trials of Weaning from Mechanical Ventilation", "type" : "article-journal", "volume" : "324" }, "uris" : [ "http://www.mendeley.com/documents/?uuid=4b5506fe-8abe-4f67-a2aa-610283a1d58f" ] } ], "mendeley" : { "formattedCitation" : "&lt;sup&gt;89&lt;/sup&gt;", "plainTextFormattedCitation" : "89", "previouslyFormattedCitation" : "&lt;sup&gt;89&lt;/sup&gt;" }, "properties" : { "noteIndex" : 0 }, "schema" : "https://github.com/citation-style-language/schema/raw/master/csl-citation.json" }</w:instrText>
            </w:r>
            <w:r w:rsidRPr="00812D70">
              <w:rPr>
                <w:lang w:val="en-GB"/>
              </w:rPr>
              <w:fldChar w:fldCharType="separate"/>
            </w:r>
            <w:r w:rsidRPr="00812D70">
              <w:rPr>
                <w:noProof/>
                <w:vertAlign w:val="superscript"/>
                <w:lang w:val="en-GB"/>
              </w:rPr>
              <w:t>89</w:t>
            </w:r>
            <w:r w:rsidRPr="00812D70">
              <w:rPr>
                <w:lang w:val="en-GB"/>
              </w:rPr>
              <w:fldChar w:fldCharType="end"/>
            </w:r>
          </w:p>
        </w:tc>
      </w:tr>
    </w:tbl>
    <w:p w14:paraId="40C75AF3" w14:textId="77777777" w:rsidR="003F545B" w:rsidRPr="0011535F" w:rsidRDefault="003F545B" w:rsidP="00F11ABB">
      <w:pPr>
        <w:pStyle w:val="NormalWeb"/>
        <w:spacing w:before="0" w:beforeAutospacing="0" w:after="0" w:afterAutospacing="0" w:line="360" w:lineRule="auto"/>
        <w:jc w:val="both"/>
        <w:rPr>
          <w:rFonts w:eastAsia="Times New Roman"/>
          <w:b/>
          <w:iCs/>
          <w:color w:val="000000"/>
          <w:lang w:val="en-GB"/>
        </w:rPr>
      </w:pPr>
    </w:p>
    <w:p w14:paraId="21B84E56" w14:textId="45B522BD" w:rsidR="00F11ABB" w:rsidRPr="00033567" w:rsidRDefault="00FF70B1" w:rsidP="00FF70B1">
      <w:pPr>
        <w:spacing w:line="360" w:lineRule="auto"/>
        <w:jc w:val="both"/>
        <w:rPr>
          <w:b/>
          <w:bCs/>
          <w:color w:val="000000"/>
          <w:lang w:val="en-GB"/>
        </w:rPr>
      </w:pPr>
      <w:proofErr w:type="spellStart"/>
      <w:r w:rsidRPr="00033567">
        <w:rPr>
          <w:b/>
          <w:bCs/>
          <w:lang w:val="en-GB"/>
        </w:rPr>
        <w:t>ETable</w:t>
      </w:r>
      <w:proofErr w:type="spellEnd"/>
      <w:r w:rsidRPr="00033567">
        <w:rPr>
          <w:b/>
          <w:bCs/>
          <w:lang w:val="en-GB"/>
        </w:rPr>
        <w:t xml:space="preserve"> 2:</w:t>
      </w:r>
      <w:r w:rsidRPr="00033567">
        <w:rPr>
          <w:rFonts w:eastAsia="Times New Roman"/>
          <w:b/>
          <w:bCs/>
          <w:color w:val="000000"/>
          <w:lang w:val="en-GB"/>
        </w:rPr>
        <w:t xml:space="preserve"> Variables collected</w:t>
      </w:r>
    </w:p>
    <w:tbl>
      <w:tblPr>
        <w:tblW w:w="0" w:type="auto"/>
        <w:tblCellMar>
          <w:top w:w="15" w:type="dxa"/>
          <w:left w:w="15" w:type="dxa"/>
          <w:bottom w:w="15" w:type="dxa"/>
          <w:right w:w="15" w:type="dxa"/>
        </w:tblCellMar>
        <w:tblLook w:val="04A0" w:firstRow="1" w:lastRow="0" w:firstColumn="1" w:lastColumn="0" w:noHBand="0" w:noVBand="1"/>
      </w:tblPr>
      <w:tblGrid>
        <w:gridCol w:w="1917"/>
        <w:gridCol w:w="7087"/>
      </w:tblGrid>
      <w:tr w:rsidR="00F11ABB" w:rsidRPr="00812D70" w14:paraId="1A37A88C" w14:textId="77777777" w:rsidTr="00BF780F">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36A1F02A" w14:textId="0278E222" w:rsidR="00F11ABB" w:rsidRPr="00812D70" w:rsidRDefault="00F11ABB" w:rsidP="00BF780F">
            <w:pPr>
              <w:pStyle w:val="NormalWeb"/>
              <w:spacing w:before="0" w:beforeAutospacing="0" w:after="0" w:afterAutospacing="0" w:line="360" w:lineRule="auto"/>
              <w:ind w:left="200"/>
              <w:jc w:val="both"/>
              <w:rPr>
                <w:lang w:val="en-GB"/>
              </w:rPr>
            </w:pPr>
            <w:r w:rsidRPr="00812D70">
              <w:rPr>
                <w:b/>
                <w:bCs/>
                <w:color w:val="000000"/>
                <w:lang w:val="en-GB"/>
              </w:rPr>
              <w:lastRenderedPageBreak/>
              <w:t>Background assessment</w:t>
            </w:r>
          </w:p>
        </w:tc>
        <w:tc>
          <w:tcPr>
            <w:tcW w:w="722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44AE2BC3" w14:textId="3CBCF825" w:rsidR="00F11ABB" w:rsidRPr="00812D70" w:rsidRDefault="00F11ABB" w:rsidP="00F11ABB">
            <w:pPr>
              <w:pStyle w:val="NormalWeb"/>
              <w:numPr>
                <w:ilvl w:val="0"/>
                <w:numId w:val="14"/>
              </w:numPr>
              <w:spacing w:before="0" w:beforeAutospacing="0" w:after="0" w:afterAutospacing="0" w:line="360" w:lineRule="auto"/>
              <w:jc w:val="both"/>
              <w:rPr>
                <w:lang w:val="en-GB"/>
              </w:rPr>
            </w:pPr>
            <w:r w:rsidRPr="00812D70">
              <w:rPr>
                <w:color w:val="000000"/>
                <w:lang w:val="en-GB"/>
              </w:rPr>
              <w:t>Time on Ventilator.</w:t>
            </w:r>
          </w:p>
          <w:p w14:paraId="68D1AAEF" w14:textId="77777777" w:rsidR="00F11ABB" w:rsidRPr="00812D70" w:rsidRDefault="00F11ABB" w:rsidP="00F11ABB">
            <w:pPr>
              <w:pStyle w:val="NormalWeb"/>
              <w:numPr>
                <w:ilvl w:val="0"/>
                <w:numId w:val="15"/>
              </w:numPr>
              <w:spacing w:before="0" w:beforeAutospacing="0" w:after="0" w:afterAutospacing="0" w:line="360" w:lineRule="auto"/>
              <w:jc w:val="both"/>
              <w:rPr>
                <w:lang w:val="en-GB"/>
              </w:rPr>
            </w:pPr>
            <w:r w:rsidRPr="00812D70">
              <w:rPr>
                <w:color w:val="000000"/>
                <w:lang w:val="en-GB"/>
              </w:rPr>
              <w:t>Type of Admission</w:t>
            </w:r>
          </w:p>
          <w:p w14:paraId="4E977D86" w14:textId="77777777" w:rsidR="00F11ABB" w:rsidRPr="00812D70" w:rsidRDefault="00F11ABB" w:rsidP="00F11ABB">
            <w:pPr>
              <w:pStyle w:val="NormalWeb"/>
              <w:numPr>
                <w:ilvl w:val="1"/>
                <w:numId w:val="15"/>
              </w:numPr>
              <w:spacing w:before="0" w:beforeAutospacing="0" w:after="0" w:afterAutospacing="0" w:line="360" w:lineRule="auto"/>
              <w:jc w:val="both"/>
              <w:rPr>
                <w:lang w:val="en-GB"/>
              </w:rPr>
            </w:pPr>
            <w:r w:rsidRPr="00812D70">
              <w:rPr>
                <w:color w:val="000000"/>
                <w:lang w:val="en-GB"/>
              </w:rPr>
              <w:t>Scheduled surgical</w:t>
            </w:r>
          </w:p>
          <w:p w14:paraId="24B74A55" w14:textId="77777777" w:rsidR="00F11ABB" w:rsidRPr="00812D70" w:rsidRDefault="00F11ABB" w:rsidP="00F11ABB">
            <w:pPr>
              <w:pStyle w:val="NormalWeb"/>
              <w:numPr>
                <w:ilvl w:val="1"/>
                <w:numId w:val="15"/>
              </w:numPr>
              <w:spacing w:before="0" w:beforeAutospacing="0" w:after="0" w:afterAutospacing="0" w:line="360" w:lineRule="auto"/>
              <w:jc w:val="both"/>
              <w:rPr>
                <w:lang w:val="en-GB"/>
              </w:rPr>
            </w:pPr>
            <w:r w:rsidRPr="00812D70">
              <w:rPr>
                <w:color w:val="000000"/>
                <w:lang w:val="en-GB"/>
              </w:rPr>
              <w:t>Medical</w:t>
            </w:r>
          </w:p>
          <w:p w14:paraId="26AB71C0" w14:textId="77777777" w:rsidR="00F11ABB" w:rsidRPr="00812D70" w:rsidRDefault="00F11ABB" w:rsidP="00F11ABB">
            <w:pPr>
              <w:pStyle w:val="NormalWeb"/>
              <w:numPr>
                <w:ilvl w:val="1"/>
                <w:numId w:val="15"/>
              </w:numPr>
              <w:spacing w:before="0" w:beforeAutospacing="0" w:after="0" w:afterAutospacing="0" w:line="360" w:lineRule="auto"/>
              <w:jc w:val="both"/>
              <w:rPr>
                <w:lang w:val="en-GB"/>
              </w:rPr>
            </w:pPr>
            <w:r w:rsidRPr="00812D70">
              <w:rPr>
                <w:color w:val="000000"/>
                <w:lang w:val="en-GB"/>
              </w:rPr>
              <w:t>Unscheduled surgical</w:t>
            </w:r>
          </w:p>
        </w:tc>
      </w:tr>
      <w:tr w:rsidR="00F11ABB" w:rsidRPr="00812D70" w14:paraId="1B223D40" w14:textId="77777777" w:rsidTr="00BF780F">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6449B582" w14:textId="77777777" w:rsidR="00F11ABB" w:rsidRPr="00812D70" w:rsidRDefault="00F11ABB" w:rsidP="00BF780F">
            <w:pPr>
              <w:pStyle w:val="NormalWeb"/>
              <w:spacing w:before="0" w:beforeAutospacing="0" w:after="0" w:afterAutospacing="0" w:line="360" w:lineRule="auto"/>
              <w:ind w:left="200"/>
              <w:jc w:val="both"/>
              <w:rPr>
                <w:lang w:val="en-GB"/>
              </w:rPr>
            </w:pPr>
            <w:r w:rsidRPr="00812D70">
              <w:rPr>
                <w:b/>
                <w:bCs/>
                <w:color w:val="000000"/>
                <w:lang w:val="en-GB"/>
              </w:rPr>
              <w:t>Baseline assessments</w:t>
            </w:r>
          </w:p>
        </w:tc>
        <w:tc>
          <w:tcPr>
            <w:tcW w:w="722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7AC53455" w14:textId="1477FAA1" w:rsidR="00F11ABB" w:rsidRPr="00812D70" w:rsidRDefault="00F11ABB" w:rsidP="00F11ABB">
            <w:pPr>
              <w:pStyle w:val="NormalWeb"/>
              <w:numPr>
                <w:ilvl w:val="0"/>
                <w:numId w:val="16"/>
              </w:numPr>
              <w:spacing w:before="0" w:beforeAutospacing="0" w:after="0" w:afterAutospacing="0" w:line="360" w:lineRule="auto"/>
              <w:jc w:val="both"/>
              <w:rPr>
                <w:lang w:val="en-GB"/>
              </w:rPr>
            </w:pPr>
            <w:r w:rsidRPr="00812D70">
              <w:rPr>
                <w:color w:val="000000"/>
                <w:lang w:val="en-GB"/>
              </w:rPr>
              <w:t xml:space="preserve">Vital Signs: heart rate (b/min), systolic and diastolic </w:t>
            </w:r>
            <w:r w:rsidR="00AF2A8F">
              <w:rPr>
                <w:color w:val="000000"/>
                <w:lang w:val="en-GB"/>
              </w:rPr>
              <w:t>blood pressure</w:t>
            </w:r>
            <w:r w:rsidR="00AF2A8F" w:rsidRPr="00812D70">
              <w:rPr>
                <w:color w:val="000000"/>
                <w:lang w:val="en-GB"/>
              </w:rPr>
              <w:t xml:space="preserve"> </w:t>
            </w:r>
            <w:r w:rsidRPr="00812D70">
              <w:rPr>
                <w:color w:val="000000"/>
                <w:lang w:val="en-GB"/>
              </w:rPr>
              <w:t>(mmHg), body temperature (C°), total respiratory rate.</w:t>
            </w:r>
          </w:p>
          <w:p w14:paraId="7A75A799" w14:textId="7563D2DA" w:rsidR="00F11ABB" w:rsidRPr="00812D70" w:rsidRDefault="00F11ABB" w:rsidP="00F11ABB">
            <w:pPr>
              <w:pStyle w:val="NormalWeb"/>
              <w:numPr>
                <w:ilvl w:val="0"/>
                <w:numId w:val="16"/>
              </w:numPr>
              <w:spacing w:before="0" w:beforeAutospacing="0" w:after="0" w:afterAutospacing="0" w:line="360" w:lineRule="auto"/>
              <w:jc w:val="both"/>
              <w:textAlignment w:val="baseline"/>
              <w:rPr>
                <w:color w:val="000000"/>
                <w:lang w:val="en-GB"/>
              </w:rPr>
            </w:pPr>
            <w:r w:rsidRPr="00812D70">
              <w:rPr>
                <w:color w:val="000000"/>
                <w:lang w:val="en-GB"/>
              </w:rPr>
              <w:t>Ventilator Parameters: peak inspiratory flow</w:t>
            </w:r>
            <w:r w:rsidR="00423085" w:rsidRPr="00812D70">
              <w:rPr>
                <w:color w:val="000000"/>
                <w:lang w:val="en-GB"/>
              </w:rPr>
              <w:t xml:space="preserve"> (PIF)</w:t>
            </w:r>
            <w:r w:rsidRPr="00812D70">
              <w:rPr>
                <w:color w:val="000000"/>
                <w:lang w:val="en-GB"/>
              </w:rPr>
              <w:t>, mean inspiratory flow</w:t>
            </w:r>
            <w:r w:rsidR="00423085" w:rsidRPr="00812D70">
              <w:rPr>
                <w:color w:val="000000"/>
                <w:lang w:val="en-GB"/>
              </w:rPr>
              <w:t xml:space="preserve"> (MIF)</w:t>
            </w:r>
            <w:r w:rsidRPr="00812D70">
              <w:rPr>
                <w:color w:val="000000"/>
                <w:lang w:val="en-GB"/>
              </w:rPr>
              <w:t>, respiratory rate, tidal volume, FiO</w:t>
            </w:r>
            <w:r w:rsidRPr="00812D70">
              <w:rPr>
                <w:color w:val="000000"/>
                <w:vertAlign w:val="subscript"/>
                <w:lang w:val="en-GB"/>
              </w:rPr>
              <w:t>2</w:t>
            </w:r>
            <w:r w:rsidRPr="00812D70">
              <w:rPr>
                <w:color w:val="000000"/>
                <w:lang w:val="en-GB"/>
              </w:rPr>
              <w:t>, PEEP, Respiratory drive (P0.1), negative inspiratory force (NIF), rapid shallow breathing index (RSBI), P0.1/NIF, ventilator manufacturer and model.</w:t>
            </w:r>
          </w:p>
          <w:p w14:paraId="0EAB8934" w14:textId="77777777" w:rsidR="00F11ABB" w:rsidRPr="00812D70" w:rsidRDefault="00F11ABB" w:rsidP="00F11ABB">
            <w:pPr>
              <w:pStyle w:val="NormalWeb"/>
              <w:numPr>
                <w:ilvl w:val="0"/>
                <w:numId w:val="16"/>
              </w:numPr>
              <w:spacing w:before="0" w:beforeAutospacing="0" w:after="0" w:afterAutospacing="0" w:line="360" w:lineRule="auto"/>
              <w:jc w:val="both"/>
              <w:rPr>
                <w:lang w:val="en-GB"/>
              </w:rPr>
            </w:pPr>
            <w:r w:rsidRPr="00812D70">
              <w:rPr>
                <w:color w:val="000000"/>
                <w:lang w:val="en-GB"/>
              </w:rPr>
              <w:t>HFNC parameters: FiO</w:t>
            </w:r>
            <w:r w:rsidRPr="00812D70">
              <w:rPr>
                <w:color w:val="000000"/>
                <w:vertAlign w:val="subscript"/>
                <w:lang w:val="en-GB"/>
              </w:rPr>
              <w:t>2</w:t>
            </w:r>
            <w:r w:rsidRPr="00812D70">
              <w:rPr>
                <w:color w:val="000000"/>
                <w:lang w:val="en-GB"/>
              </w:rPr>
              <w:t>, flow, temperature.</w:t>
            </w:r>
          </w:p>
          <w:p w14:paraId="5C1FBE4D" w14:textId="77777777" w:rsidR="00F11ABB" w:rsidRPr="00033567" w:rsidRDefault="00F11ABB" w:rsidP="00F11ABB">
            <w:pPr>
              <w:pStyle w:val="NormalWeb"/>
              <w:numPr>
                <w:ilvl w:val="0"/>
                <w:numId w:val="16"/>
              </w:numPr>
              <w:spacing w:before="0" w:beforeAutospacing="0" w:after="0" w:afterAutospacing="0" w:line="360" w:lineRule="auto"/>
              <w:jc w:val="both"/>
              <w:rPr>
                <w:color w:val="000000"/>
              </w:rPr>
            </w:pPr>
            <w:proofErr w:type="spellStart"/>
            <w:r w:rsidRPr="00033567">
              <w:rPr>
                <w:color w:val="000000"/>
              </w:rPr>
              <w:t>Arterial</w:t>
            </w:r>
            <w:proofErr w:type="spellEnd"/>
            <w:r w:rsidRPr="00033567">
              <w:rPr>
                <w:color w:val="000000"/>
              </w:rPr>
              <w:t xml:space="preserve"> PO</w:t>
            </w:r>
            <w:r w:rsidRPr="00033567">
              <w:rPr>
                <w:color w:val="000000"/>
                <w:vertAlign w:val="subscript"/>
              </w:rPr>
              <w:t>2</w:t>
            </w:r>
            <w:r w:rsidRPr="00033567">
              <w:rPr>
                <w:color w:val="000000"/>
              </w:rPr>
              <w:t>, PCO</w:t>
            </w:r>
            <w:r w:rsidRPr="00033567">
              <w:rPr>
                <w:color w:val="000000"/>
                <w:vertAlign w:val="subscript"/>
              </w:rPr>
              <w:t>2</w:t>
            </w:r>
            <w:r w:rsidRPr="00033567">
              <w:rPr>
                <w:color w:val="000000"/>
              </w:rPr>
              <w:t xml:space="preserve">, </w:t>
            </w:r>
            <w:proofErr w:type="spellStart"/>
            <w:r w:rsidRPr="00033567">
              <w:rPr>
                <w:color w:val="000000"/>
              </w:rPr>
              <w:t>pH</w:t>
            </w:r>
            <w:proofErr w:type="spellEnd"/>
            <w:r w:rsidRPr="00033567">
              <w:rPr>
                <w:color w:val="000000"/>
              </w:rPr>
              <w:t>, SaO</w:t>
            </w:r>
            <w:r w:rsidRPr="00033567">
              <w:rPr>
                <w:color w:val="000000"/>
                <w:vertAlign w:val="subscript"/>
              </w:rPr>
              <w:t>2</w:t>
            </w:r>
            <w:r w:rsidRPr="00033567">
              <w:rPr>
                <w:color w:val="000000"/>
              </w:rPr>
              <w:t>, SpO</w:t>
            </w:r>
            <w:r w:rsidRPr="00033567">
              <w:rPr>
                <w:color w:val="000000"/>
                <w:vertAlign w:val="subscript"/>
              </w:rPr>
              <w:t>2</w:t>
            </w:r>
            <w:r w:rsidRPr="00033567">
              <w:rPr>
                <w:color w:val="000000"/>
              </w:rPr>
              <w:t>.</w:t>
            </w:r>
          </w:p>
          <w:p w14:paraId="48D47F3E" w14:textId="7EAD6990" w:rsidR="00F11ABB" w:rsidRPr="00812D70" w:rsidRDefault="00F11ABB" w:rsidP="00F11ABB">
            <w:pPr>
              <w:pStyle w:val="NormalWeb"/>
              <w:numPr>
                <w:ilvl w:val="0"/>
                <w:numId w:val="16"/>
              </w:numPr>
              <w:spacing w:before="0" w:beforeAutospacing="0" w:after="0" w:afterAutospacing="0" w:line="360" w:lineRule="auto"/>
              <w:jc w:val="both"/>
              <w:rPr>
                <w:lang w:val="en-GB"/>
              </w:rPr>
            </w:pPr>
            <w:r w:rsidRPr="00812D70">
              <w:rPr>
                <w:color w:val="000000"/>
                <w:lang w:val="en-GB"/>
              </w:rPr>
              <w:t>Glasgow coma score</w:t>
            </w:r>
            <w:r w:rsidR="00FF70B1">
              <w:rPr>
                <w:color w:val="000000"/>
                <w:lang w:val="en-GB"/>
              </w:rPr>
              <w:t xml:space="preserve"> </w:t>
            </w:r>
            <w:r w:rsidRPr="00812D70">
              <w:rPr>
                <w:color w:val="000000"/>
                <w:lang w:val="en-GB"/>
              </w:rPr>
              <w:t>(GCS)/RASS score</w:t>
            </w:r>
          </w:p>
        </w:tc>
      </w:tr>
      <w:tr w:rsidR="00F11ABB" w:rsidRPr="00A04E6A" w14:paraId="1601FD0C" w14:textId="77777777" w:rsidTr="00BF780F">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0B947DEB" w14:textId="77777777" w:rsidR="00F11ABB" w:rsidRPr="00812D70" w:rsidRDefault="00F11ABB" w:rsidP="00BF780F">
            <w:pPr>
              <w:pStyle w:val="NormalWeb"/>
              <w:spacing w:before="0" w:beforeAutospacing="0" w:after="0" w:afterAutospacing="0" w:line="360" w:lineRule="auto"/>
              <w:ind w:left="200"/>
              <w:jc w:val="both"/>
              <w:rPr>
                <w:lang w:val="en-GB"/>
              </w:rPr>
            </w:pPr>
            <w:r w:rsidRPr="00812D70">
              <w:rPr>
                <w:b/>
                <w:bCs/>
                <w:color w:val="000000"/>
                <w:lang w:val="en-GB"/>
              </w:rPr>
              <w:t>Reference Measurements</w:t>
            </w:r>
          </w:p>
        </w:tc>
        <w:tc>
          <w:tcPr>
            <w:tcW w:w="722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14:paraId="5AAF66A7" w14:textId="11BEC76D" w:rsidR="00F11ABB" w:rsidRPr="00812D70" w:rsidRDefault="00F11ABB" w:rsidP="00BF780F">
            <w:pPr>
              <w:pStyle w:val="NormalWeb"/>
              <w:spacing w:before="0" w:beforeAutospacing="0" w:after="0" w:afterAutospacing="0" w:line="360" w:lineRule="auto"/>
              <w:ind w:left="15"/>
              <w:jc w:val="both"/>
              <w:rPr>
                <w:lang w:val="en-GB"/>
              </w:rPr>
            </w:pPr>
            <w:r w:rsidRPr="00812D70">
              <w:rPr>
                <w:color w:val="000000"/>
                <w:lang w:val="en-GB"/>
              </w:rPr>
              <w:t>The following conditions were ensured prior to measurements: semi-recumbent position for ≥ 15 minutes; SpO</w:t>
            </w:r>
            <w:r w:rsidRPr="00812D70">
              <w:rPr>
                <w:color w:val="000000"/>
                <w:vertAlign w:val="subscript"/>
                <w:lang w:val="en-GB"/>
              </w:rPr>
              <w:t>2</w:t>
            </w:r>
            <w:r w:rsidRPr="00812D70">
              <w:rPr>
                <w:color w:val="000000"/>
                <w:lang w:val="en-GB"/>
              </w:rPr>
              <w:t xml:space="preserve"> sensors checked for optimal position, cleanliness, and consistent readings with satisfactory waveforms, if displayed. SpO</w:t>
            </w:r>
            <w:r w:rsidRPr="00812D70">
              <w:rPr>
                <w:color w:val="000000"/>
                <w:vertAlign w:val="subscript"/>
                <w:lang w:val="en-GB"/>
              </w:rPr>
              <w:t>2</w:t>
            </w:r>
            <w:r w:rsidRPr="00812D70">
              <w:rPr>
                <w:color w:val="000000"/>
                <w:lang w:val="en-GB"/>
              </w:rPr>
              <w:t xml:space="preserve"> values observed for 1 minute and a representative value recorded. All vascular pressures zero-referenced to the mid-axillary line.</w:t>
            </w:r>
          </w:p>
        </w:tc>
      </w:tr>
    </w:tbl>
    <w:p w14:paraId="3AE41E40" w14:textId="77777777" w:rsidR="00406C81" w:rsidRDefault="00406C81" w:rsidP="003F545B">
      <w:pPr>
        <w:pStyle w:val="NormalWeb"/>
        <w:tabs>
          <w:tab w:val="left" w:pos="993"/>
        </w:tabs>
        <w:spacing w:before="0" w:beforeAutospacing="0" w:after="0" w:afterAutospacing="0" w:line="360" w:lineRule="auto"/>
        <w:outlineLvl w:val="1"/>
        <w:rPr>
          <w:noProof/>
          <w:color w:val="000000"/>
          <w:lang w:val="en-GB" w:eastAsia="en-GB"/>
        </w:rPr>
      </w:pPr>
      <w:bookmarkStart w:id="0" w:name="_Toc471898831"/>
    </w:p>
    <w:p w14:paraId="520ACA56" w14:textId="77777777" w:rsidR="00406C81" w:rsidRDefault="00406C81" w:rsidP="003F545B">
      <w:pPr>
        <w:pStyle w:val="NormalWeb"/>
        <w:tabs>
          <w:tab w:val="left" w:pos="993"/>
        </w:tabs>
        <w:spacing w:before="0" w:beforeAutospacing="0" w:after="0" w:afterAutospacing="0" w:line="360" w:lineRule="auto"/>
        <w:outlineLvl w:val="1"/>
        <w:rPr>
          <w:noProof/>
          <w:color w:val="000000"/>
          <w:lang w:val="en-GB" w:eastAsia="en-GB"/>
        </w:rPr>
      </w:pPr>
    </w:p>
    <w:p w14:paraId="3E9261AF" w14:textId="64AAE05E" w:rsidR="00406C81" w:rsidRPr="00033567" w:rsidRDefault="00FF70B1" w:rsidP="00406C81">
      <w:pPr>
        <w:widowControl w:val="0"/>
        <w:autoSpaceDE w:val="0"/>
        <w:autoSpaceDN w:val="0"/>
        <w:adjustRightInd w:val="0"/>
        <w:spacing w:line="360" w:lineRule="auto"/>
        <w:jc w:val="both"/>
        <w:rPr>
          <w:rFonts w:eastAsia="Times New Roman"/>
          <w:b/>
          <w:bCs/>
          <w:color w:val="000000"/>
          <w:lang w:val="en-GB"/>
        </w:rPr>
      </w:pPr>
      <w:proofErr w:type="spellStart"/>
      <w:r w:rsidRPr="00033567">
        <w:rPr>
          <w:b/>
          <w:bCs/>
          <w:lang w:val="en-GB"/>
        </w:rPr>
        <w:t>E</w:t>
      </w:r>
      <w:r w:rsidR="00406C81" w:rsidRPr="00033567">
        <w:rPr>
          <w:b/>
          <w:bCs/>
          <w:lang w:val="en-GB"/>
        </w:rPr>
        <w:t>T</w:t>
      </w:r>
      <w:r w:rsidRPr="00033567">
        <w:rPr>
          <w:b/>
          <w:bCs/>
          <w:lang w:val="en-GB"/>
        </w:rPr>
        <w:t>able</w:t>
      </w:r>
      <w:proofErr w:type="spellEnd"/>
      <w:r w:rsidR="00406C81" w:rsidRPr="00033567">
        <w:rPr>
          <w:b/>
          <w:bCs/>
          <w:lang w:val="en-GB"/>
        </w:rPr>
        <w:t xml:space="preserve"> 3</w:t>
      </w:r>
      <w:r w:rsidR="006F3E13" w:rsidRPr="00033567">
        <w:rPr>
          <w:b/>
          <w:bCs/>
          <w:lang w:val="en-GB"/>
        </w:rPr>
        <w:t>:</w:t>
      </w:r>
      <w:r w:rsidR="00406C81" w:rsidRPr="00033567">
        <w:rPr>
          <w:rFonts w:eastAsia="Times New Roman"/>
          <w:b/>
          <w:bCs/>
          <w:color w:val="000000"/>
          <w:lang w:val="en-GB"/>
        </w:rPr>
        <w:t xml:space="preserve"> Previous studies HFNC setting post-</w:t>
      </w:r>
      <w:proofErr w:type="spellStart"/>
      <w:r w:rsidR="00406C81" w:rsidRPr="00033567">
        <w:rPr>
          <w:rFonts w:eastAsia="Times New Roman"/>
          <w:b/>
          <w:bCs/>
          <w:color w:val="000000"/>
          <w:lang w:val="en-GB"/>
        </w:rPr>
        <w:t>extubation</w:t>
      </w:r>
      <w:proofErr w:type="spellEnd"/>
      <w:r w:rsidR="00406C81" w:rsidRPr="00033567">
        <w:rPr>
          <w:rFonts w:eastAsia="Times New Roman"/>
          <w:b/>
          <w:bCs/>
          <w:color w:val="000000"/>
          <w:lang w:val="en-GB"/>
        </w:rPr>
        <w:t xml:space="preserve"> and discontinuation data</w:t>
      </w:r>
    </w:p>
    <w:tbl>
      <w:tblPr>
        <w:tblW w:w="8642" w:type="dxa"/>
        <w:tblCellMar>
          <w:left w:w="70" w:type="dxa"/>
          <w:right w:w="70" w:type="dxa"/>
        </w:tblCellMar>
        <w:tblLook w:val="04A0" w:firstRow="1" w:lastRow="0" w:firstColumn="1" w:lastColumn="0" w:noHBand="0" w:noVBand="1"/>
      </w:tblPr>
      <w:tblGrid>
        <w:gridCol w:w="2083"/>
        <w:gridCol w:w="2171"/>
        <w:gridCol w:w="2120"/>
        <w:gridCol w:w="2268"/>
      </w:tblGrid>
      <w:tr w:rsidR="00406C81" w:rsidRPr="001A7492" w14:paraId="58974E10" w14:textId="77777777" w:rsidTr="00D9435B">
        <w:trPr>
          <w:trHeight w:val="677"/>
        </w:trPr>
        <w:tc>
          <w:tcPr>
            <w:tcW w:w="8642"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BA5D3B" w14:textId="77777777" w:rsidR="00406C81" w:rsidRPr="001A7492" w:rsidRDefault="00406C81" w:rsidP="00D9435B">
            <w:pPr>
              <w:spacing w:line="276" w:lineRule="auto"/>
              <w:jc w:val="center"/>
              <w:rPr>
                <w:rFonts w:eastAsia="Times New Roman"/>
                <w:b/>
                <w:bCs/>
                <w:color w:val="000000"/>
                <w:lang w:val="en-GB"/>
              </w:rPr>
            </w:pPr>
            <w:r w:rsidRPr="001A7492">
              <w:rPr>
                <w:rFonts w:eastAsia="Times New Roman"/>
                <w:b/>
                <w:bCs/>
                <w:color w:val="000000"/>
                <w:lang w:val="en-GB"/>
              </w:rPr>
              <w:t>HFNC SETTINGS POST-EXTUBATION</w:t>
            </w:r>
          </w:p>
        </w:tc>
      </w:tr>
      <w:tr w:rsidR="00406C81" w:rsidRPr="001A7492" w14:paraId="25495D03" w14:textId="77777777" w:rsidTr="00D9435B">
        <w:trPr>
          <w:trHeight w:val="377"/>
        </w:trPr>
        <w:tc>
          <w:tcPr>
            <w:tcW w:w="2083" w:type="dxa"/>
            <w:tcBorders>
              <w:top w:val="nil"/>
              <w:left w:val="single" w:sz="4" w:space="0" w:color="auto"/>
              <w:bottom w:val="single" w:sz="4" w:space="0" w:color="auto"/>
              <w:right w:val="single" w:sz="4" w:space="0" w:color="auto"/>
            </w:tcBorders>
            <w:shd w:val="clear" w:color="auto" w:fill="auto"/>
            <w:vAlign w:val="center"/>
            <w:hideMark/>
          </w:tcPr>
          <w:p w14:paraId="3F9AAD67"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w:t>
            </w:r>
          </w:p>
        </w:tc>
        <w:tc>
          <w:tcPr>
            <w:tcW w:w="2171" w:type="dxa"/>
            <w:tcBorders>
              <w:top w:val="nil"/>
              <w:left w:val="nil"/>
              <w:bottom w:val="single" w:sz="4" w:space="0" w:color="auto"/>
              <w:right w:val="single" w:sz="4" w:space="0" w:color="auto"/>
            </w:tcBorders>
            <w:shd w:val="clear" w:color="auto" w:fill="auto"/>
            <w:vAlign w:val="center"/>
            <w:hideMark/>
          </w:tcPr>
          <w:p w14:paraId="2BFB3058" w14:textId="77777777" w:rsidR="00406C81" w:rsidRPr="001A7492" w:rsidRDefault="00406C81" w:rsidP="00D9435B">
            <w:pPr>
              <w:spacing w:line="276" w:lineRule="auto"/>
              <w:jc w:val="both"/>
              <w:rPr>
                <w:rFonts w:eastAsia="Times New Roman"/>
                <w:b/>
                <w:bCs/>
                <w:color w:val="000000"/>
                <w:lang w:val="en-GB"/>
              </w:rPr>
            </w:pPr>
            <w:r w:rsidRPr="001A7492">
              <w:rPr>
                <w:rFonts w:eastAsia="Times New Roman"/>
                <w:b/>
                <w:bCs/>
                <w:color w:val="000000"/>
                <w:lang w:val="en-GB"/>
              </w:rPr>
              <w:t>Reference</w:t>
            </w:r>
          </w:p>
        </w:tc>
        <w:tc>
          <w:tcPr>
            <w:tcW w:w="2120" w:type="dxa"/>
            <w:tcBorders>
              <w:top w:val="nil"/>
              <w:left w:val="nil"/>
              <w:bottom w:val="single" w:sz="4" w:space="0" w:color="auto"/>
              <w:right w:val="single" w:sz="4" w:space="0" w:color="auto"/>
            </w:tcBorders>
            <w:shd w:val="clear" w:color="auto" w:fill="auto"/>
            <w:vAlign w:val="center"/>
            <w:hideMark/>
          </w:tcPr>
          <w:p w14:paraId="5E7A7755" w14:textId="77777777" w:rsidR="00406C81" w:rsidRPr="001A7492" w:rsidRDefault="00406C81" w:rsidP="00D9435B">
            <w:pPr>
              <w:spacing w:line="276" w:lineRule="auto"/>
              <w:jc w:val="both"/>
              <w:rPr>
                <w:rFonts w:eastAsia="Times New Roman"/>
                <w:b/>
                <w:bCs/>
                <w:color w:val="000000"/>
                <w:lang w:val="en-GB"/>
              </w:rPr>
            </w:pPr>
            <w:r w:rsidRPr="001A7492">
              <w:rPr>
                <w:rFonts w:eastAsia="Times New Roman"/>
                <w:b/>
                <w:bCs/>
                <w:color w:val="000000"/>
                <w:lang w:val="en-GB"/>
              </w:rPr>
              <w:t xml:space="preserve">Flow setting </w:t>
            </w:r>
          </w:p>
        </w:tc>
        <w:tc>
          <w:tcPr>
            <w:tcW w:w="2268" w:type="dxa"/>
            <w:tcBorders>
              <w:top w:val="nil"/>
              <w:left w:val="nil"/>
              <w:bottom w:val="single" w:sz="4" w:space="0" w:color="auto"/>
              <w:right w:val="single" w:sz="4" w:space="0" w:color="auto"/>
            </w:tcBorders>
            <w:shd w:val="clear" w:color="auto" w:fill="auto"/>
            <w:noWrap/>
            <w:vAlign w:val="bottom"/>
            <w:hideMark/>
          </w:tcPr>
          <w:p w14:paraId="1B40F024" w14:textId="77777777" w:rsidR="00406C81" w:rsidRPr="001A7492" w:rsidRDefault="00406C81" w:rsidP="00D9435B">
            <w:pPr>
              <w:spacing w:line="276" w:lineRule="auto"/>
              <w:jc w:val="both"/>
              <w:rPr>
                <w:rFonts w:eastAsia="Times New Roman"/>
                <w:b/>
                <w:bCs/>
                <w:color w:val="000000"/>
                <w:lang w:val="en-GB"/>
              </w:rPr>
            </w:pPr>
            <w:r w:rsidRPr="001A7492">
              <w:rPr>
                <w:rFonts w:eastAsia="Times New Roman"/>
                <w:b/>
                <w:bCs/>
                <w:color w:val="000000"/>
                <w:lang w:val="en-GB"/>
              </w:rPr>
              <w:t>Discontinuation</w:t>
            </w:r>
          </w:p>
        </w:tc>
      </w:tr>
      <w:tr w:rsidR="00406C81" w:rsidRPr="001A7492" w14:paraId="470DC1EC" w14:textId="77777777" w:rsidTr="00D9435B">
        <w:trPr>
          <w:trHeight w:val="955"/>
        </w:trPr>
        <w:tc>
          <w:tcPr>
            <w:tcW w:w="2083" w:type="dxa"/>
            <w:vMerge w:val="restart"/>
            <w:tcBorders>
              <w:top w:val="nil"/>
              <w:left w:val="single" w:sz="4" w:space="0" w:color="auto"/>
              <w:bottom w:val="single" w:sz="4" w:space="0" w:color="auto"/>
              <w:right w:val="single" w:sz="4" w:space="0" w:color="auto"/>
            </w:tcBorders>
            <w:shd w:val="clear" w:color="auto" w:fill="auto"/>
            <w:hideMark/>
          </w:tcPr>
          <w:p w14:paraId="0A81FDF5" w14:textId="77777777" w:rsidR="00406C81" w:rsidRPr="001A7492" w:rsidRDefault="00406C81" w:rsidP="00D9435B">
            <w:pPr>
              <w:spacing w:line="276" w:lineRule="auto"/>
              <w:jc w:val="both"/>
              <w:rPr>
                <w:rFonts w:eastAsia="Times New Roman"/>
                <w:b/>
                <w:bCs/>
                <w:color w:val="000000"/>
                <w:lang w:val="en-GB"/>
              </w:rPr>
            </w:pPr>
            <w:r w:rsidRPr="001A7492">
              <w:rPr>
                <w:rFonts w:eastAsia="Times New Roman"/>
                <w:b/>
                <w:bCs/>
                <w:color w:val="000000"/>
                <w:lang w:val="en-GB"/>
              </w:rPr>
              <w:t>CARDIAC SURGERY</w:t>
            </w:r>
          </w:p>
        </w:tc>
        <w:tc>
          <w:tcPr>
            <w:tcW w:w="2171" w:type="dxa"/>
            <w:tcBorders>
              <w:top w:val="nil"/>
              <w:left w:val="nil"/>
              <w:bottom w:val="single" w:sz="4" w:space="0" w:color="auto"/>
              <w:right w:val="single" w:sz="4" w:space="0" w:color="auto"/>
            </w:tcBorders>
            <w:shd w:val="clear" w:color="auto" w:fill="auto"/>
            <w:vAlign w:val="center"/>
            <w:hideMark/>
          </w:tcPr>
          <w:p w14:paraId="37F84685"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CORLEY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"10.1093/bja/aer265", "ISBN" : "1471-6771 (Electronic)\\r0007-0912 (Linking)", "ISSN" : "00070912", "PMID" : "21908497", "abstract" : "BACKGROUND: High-flow nasal cannulae (HFNCs) create positive oropharyngeal airway pressure, but it is unclear how their use affects lung volume. Electrical impedance tomography allows the assessment of changes in lung volume by measuring changes in lung impedance. Primary objectives were to investigate the effects of HFNC on airway pressure (P(aw)) and end-expiratory lung volume (EELV) and to identify any correlation between the two. Secondary objectives were to investigate the effects of HFNC on respiratory rate, dyspnoea, tidal volume, and oxygenation; and the interaction between BMI and EELV.\\n\\nMETHODS: Twenty patients prescribed HFNC post-cardiac surgery were investigated. Impedance measures, P(aw), ratio, respiratory rate, and modified Borg scores were recorded first on low-flow oxygen and then on HFNC.\\n\\nRESULTS: A strong and significant correlation existed between P(aw) and end-expiratory lung impedance (EELI) (r=0.7, P&lt;0.001). Compared with low-flow oxygen, HFNC significantly increased EELI by 25.6% [95% confidence interval (CI) 24.3, 26.9] and P(aw) by 3.0 cm H(2)O (95% CI 2.4, 3.7). Respiratory rate reduced by 3.4 bpm (95% CI 1.7, 5.2) with HFNC use, tidal impedance variation increased by 10.5% (95% CI 6.1, 18.3), and ratio improved by 30.6 mm Hg (95% CI 17.9, 43.3). A trend towards HFNC improving subjective dyspnoea scoring (P=0.023) was found. Increases in EELI were significantly influenced by BMI, with larger increases associated with higher BMIs (P&lt;0.001).\\n\\nCONCLUSIONS: This study suggests that HFNCs reduce respiratory rate and improve oxygenation by increasing both EELV and tidal volume and are most beneficial in patients with higher BMIs.", "author" : [ { "dropping-particle" : "", "family" : "Corley", "given" : "A.", "non-dropping-particle" : "", "parse-names" : false, "suffix" : "" }, { "dropping-particle" : "", "family" : "Caruana", "given" : "L. R.", "non-dropping-particle" : "", "parse-names" : false, "suffix" : "" }, { "dropping-particle" : "", "family" : "Barnett", "given" : "A. G.", "non-dropping-particle" : "", "parse-names" : false, "suffix" : "" }, { "dropping-particle" : "", "family" : "Tronstad", "given" : "O.", "non-dropping-particle" : "", "parse-names" : false, "suffix" : "" }, { "dropping-particle" : "", "family" : "Fraser", "given" : "J. F.", "non-dropping-particle" : "", "parse-names" : false, "suffix" : "" } ], "container-title" : "British Journal of Anaesthesia", "id" : "ITEM-1", "issue" : "6", "issued" : { "date-parts" : [ [ "2011" ] ] }, "page" : "998-1004", "title" : "Oxygen delivery through high-flow nasal cannulae increase end-expiratory lung volume and reduce respiratory rate in post-cardiac surgical patients", "type" : "article-journal", "volume" : "107" }, "uris" : [ "http://www.mendeley.com/documents/?uuid=c0a4ad01-5e43-4162-8f0a-58d61ce8d5ad" ] } ], "mendeley" : { "formattedCitation" : "&lt;sup&gt;68&lt;/sup&gt;", "plainTextFormattedCitation" : "68", "previouslyFormattedCitation" : "&lt;sup&gt;68&lt;/sup&gt;"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68</w:t>
            </w:r>
            <w:r w:rsidRPr="001A7492">
              <w:rPr>
                <w:rFonts w:eastAsia="Times New Roman"/>
                <w:color w:val="000000"/>
                <w:lang w:val="en-GB"/>
              </w:rPr>
              <w:fldChar w:fldCharType="end"/>
            </w:r>
          </w:p>
        </w:tc>
        <w:tc>
          <w:tcPr>
            <w:tcW w:w="2120" w:type="dxa"/>
            <w:tcBorders>
              <w:top w:val="nil"/>
              <w:left w:val="nil"/>
              <w:bottom w:val="single" w:sz="4" w:space="0" w:color="auto"/>
              <w:right w:val="single" w:sz="4" w:space="0" w:color="auto"/>
            </w:tcBorders>
            <w:shd w:val="clear" w:color="auto" w:fill="auto"/>
            <w:vAlign w:val="center"/>
            <w:hideMark/>
          </w:tcPr>
          <w:p w14:paraId="4AB61DBA"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from 35 L/min up then </w:t>
            </w:r>
            <w:proofErr w:type="spellStart"/>
            <w:r w:rsidRPr="001A7492">
              <w:rPr>
                <w:rFonts w:eastAsia="Times New Roman"/>
                <w:color w:val="000000"/>
                <w:lang w:val="en-GB"/>
              </w:rPr>
              <w:t>tritate</w:t>
            </w:r>
            <w:proofErr w:type="spellEnd"/>
            <w:r w:rsidRPr="001A7492">
              <w:rPr>
                <w:rFonts w:eastAsia="Times New Roman"/>
                <w:color w:val="000000"/>
                <w:lang w:val="en-GB"/>
              </w:rPr>
              <w:t xml:space="preserve"> to comfort</w:t>
            </w:r>
          </w:p>
        </w:tc>
        <w:tc>
          <w:tcPr>
            <w:tcW w:w="2268" w:type="dxa"/>
            <w:tcBorders>
              <w:top w:val="nil"/>
              <w:left w:val="nil"/>
              <w:bottom w:val="single" w:sz="4" w:space="0" w:color="auto"/>
              <w:right w:val="single" w:sz="4" w:space="0" w:color="auto"/>
            </w:tcBorders>
            <w:shd w:val="clear" w:color="auto" w:fill="auto"/>
            <w:noWrap/>
            <w:vAlign w:val="center"/>
            <w:hideMark/>
          </w:tcPr>
          <w:p w14:paraId="479F585D"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no data</w:t>
            </w:r>
          </w:p>
        </w:tc>
      </w:tr>
      <w:tr w:rsidR="00406C81" w:rsidRPr="001A7492" w14:paraId="09E92BA6" w14:textId="77777777" w:rsidTr="00D9435B">
        <w:trPr>
          <w:trHeight w:val="955"/>
        </w:trPr>
        <w:tc>
          <w:tcPr>
            <w:tcW w:w="2083" w:type="dxa"/>
            <w:vMerge/>
            <w:tcBorders>
              <w:top w:val="nil"/>
              <w:left w:val="single" w:sz="4" w:space="0" w:color="auto"/>
              <w:bottom w:val="single" w:sz="4" w:space="0" w:color="auto"/>
              <w:right w:val="single" w:sz="4" w:space="0" w:color="auto"/>
            </w:tcBorders>
            <w:vAlign w:val="center"/>
            <w:hideMark/>
          </w:tcPr>
          <w:p w14:paraId="75D56847" w14:textId="77777777" w:rsidR="00406C81" w:rsidRPr="001A7492" w:rsidRDefault="00406C81" w:rsidP="00D9435B">
            <w:pPr>
              <w:spacing w:line="276" w:lineRule="auto"/>
              <w:jc w:val="both"/>
              <w:rPr>
                <w:rFonts w:eastAsia="Times New Roman"/>
                <w:b/>
                <w:bCs/>
                <w:color w:val="000000"/>
                <w:lang w:val="en-GB"/>
              </w:rPr>
            </w:pPr>
          </w:p>
        </w:tc>
        <w:tc>
          <w:tcPr>
            <w:tcW w:w="2171" w:type="dxa"/>
            <w:tcBorders>
              <w:top w:val="nil"/>
              <w:left w:val="nil"/>
              <w:bottom w:val="single" w:sz="4" w:space="0" w:color="auto"/>
              <w:right w:val="single" w:sz="4" w:space="0" w:color="auto"/>
            </w:tcBorders>
            <w:shd w:val="clear" w:color="auto" w:fill="auto"/>
            <w:vAlign w:val="center"/>
            <w:hideMark/>
          </w:tcPr>
          <w:p w14:paraId="170E5B10"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PARKE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"10.4187/respcare.00801", "ISBN" : "0020-1324 (Print)\\r0020-1324 (Linking)", "ISSN" : "0020-1324", "PMID" : "21255498", "abstract" : "OBJECTIVE: In a cardiothoracic and vascular intensive care unit, to compare nasal high-flow (NHF) oxygen therapy and standard high-flow face mask (HFFM) oxygen therapy in patients with mild to moderate hypoxemic respiratory failure.\\n\\nMETHODS: In a prospective randomized comparative study, 60 patients with mild to moderate hypoxemic respiratory failure were randomized to receive NHF or HFFM. We analyzed the success of allocated therapy, noninvasive ventilation rate, and oxygenation.\\n\\nRESULTS: Significantly more NHF patients succeeded with their allocated therapy (P = .006). The rate of noninvasive ventilation in the NHF group was 3/29 (10%), compared with 8/27 (30%) in the HFFM group (P = .10). The NHF patients also had significantly fewer desaturations (P = .009).\\n\\nCONCLUSIONS: NHF oxygen therapy may be more effective than HFFM in treating mild to moderate hypoxemic respiratory failure.", "author" : [ { "dropping-particle" : "", "family" : "Parke", "given" : "Rachael L.", "non-dropping-particle" : "", "parse-names" : false, "suffix" : "" }, { "dropping-particle" : "", "family" : "McGuinness", "given" : "Shay P.", "non-dropping-particle" : "", "parse-names" : false, "suffix" : "" }, { "dropping-particle" : "", "family" : "Eccleston", "given" : "Michelle L.", "non-dropping-particle" : "", "parse-names" : false, "suffix" : "" } ], "container-title" : "Respiratory Care", "id" : "ITEM-1", "issue" : "3", "issued" : { "date-parts" : [ [ "2011" ] ] }, "page" : "265-270", "title" : "A Preliminary Randomized Controlled Trial to Assess Effectiveness of Nasal High-Flow Oxygen in Intensive Care Patients", "type" : "article-journal", "volume" : "56" }, "uris" : [ "http://www.mendeley.com/documents/?uuid=553cc4aa-f627-4660-a2b1-e406931029c7" ] } ], "mendeley" : { "formattedCitation" : "&lt;sup&gt;51&lt;/sup&gt;", "plainTextFormattedCitation" : "51", "previouslyFormattedCitation" : "&lt;sup&gt;51&lt;/sup&gt;"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51</w:t>
            </w:r>
            <w:r w:rsidRPr="001A7492">
              <w:rPr>
                <w:rFonts w:eastAsia="Times New Roman"/>
                <w:color w:val="000000"/>
                <w:lang w:val="en-GB"/>
              </w:rPr>
              <w:fldChar w:fldCharType="end"/>
            </w:r>
          </w:p>
        </w:tc>
        <w:tc>
          <w:tcPr>
            <w:tcW w:w="2120" w:type="dxa"/>
            <w:tcBorders>
              <w:top w:val="nil"/>
              <w:left w:val="nil"/>
              <w:bottom w:val="single" w:sz="4" w:space="0" w:color="auto"/>
              <w:right w:val="single" w:sz="4" w:space="0" w:color="auto"/>
            </w:tcBorders>
            <w:shd w:val="clear" w:color="auto" w:fill="auto"/>
            <w:vAlign w:val="center"/>
            <w:hideMark/>
          </w:tcPr>
          <w:p w14:paraId="1CC8449D"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from 35 L/min up then </w:t>
            </w:r>
            <w:proofErr w:type="spellStart"/>
            <w:r w:rsidRPr="001A7492">
              <w:rPr>
                <w:rFonts w:eastAsia="Times New Roman"/>
                <w:color w:val="000000"/>
                <w:lang w:val="en-GB"/>
              </w:rPr>
              <w:t>tritate</w:t>
            </w:r>
            <w:proofErr w:type="spellEnd"/>
            <w:r w:rsidRPr="001A7492">
              <w:rPr>
                <w:rFonts w:eastAsia="Times New Roman"/>
                <w:color w:val="000000"/>
                <w:lang w:val="en-GB"/>
              </w:rPr>
              <w:t xml:space="preserve"> to comfort</w:t>
            </w:r>
          </w:p>
        </w:tc>
        <w:tc>
          <w:tcPr>
            <w:tcW w:w="2268" w:type="dxa"/>
            <w:tcBorders>
              <w:top w:val="nil"/>
              <w:left w:val="nil"/>
              <w:bottom w:val="single" w:sz="4" w:space="0" w:color="auto"/>
              <w:right w:val="single" w:sz="4" w:space="0" w:color="auto"/>
            </w:tcBorders>
            <w:shd w:val="clear" w:color="auto" w:fill="auto"/>
            <w:noWrap/>
            <w:vAlign w:val="center"/>
            <w:hideMark/>
          </w:tcPr>
          <w:p w14:paraId="49FCFFAB"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no data</w:t>
            </w:r>
          </w:p>
        </w:tc>
      </w:tr>
      <w:tr w:rsidR="00406C81" w:rsidRPr="001A7492" w14:paraId="4EEFA669" w14:textId="77777777" w:rsidTr="00D9435B">
        <w:trPr>
          <w:trHeight w:val="317"/>
        </w:trPr>
        <w:tc>
          <w:tcPr>
            <w:tcW w:w="2083" w:type="dxa"/>
            <w:vMerge/>
            <w:tcBorders>
              <w:top w:val="nil"/>
              <w:left w:val="single" w:sz="4" w:space="0" w:color="auto"/>
              <w:bottom w:val="single" w:sz="4" w:space="0" w:color="auto"/>
              <w:right w:val="single" w:sz="4" w:space="0" w:color="auto"/>
            </w:tcBorders>
            <w:vAlign w:val="center"/>
            <w:hideMark/>
          </w:tcPr>
          <w:p w14:paraId="513C41B1" w14:textId="77777777" w:rsidR="00406C81" w:rsidRPr="001A7492" w:rsidRDefault="00406C81" w:rsidP="00D9435B">
            <w:pPr>
              <w:spacing w:line="276" w:lineRule="auto"/>
              <w:jc w:val="both"/>
              <w:rPr>
                <w:rFonts w:eastAsia="Times New Roman"/>
                <w:b/>
                <w:bCs/>
                <w:color w:val="000000"/>
                <w:lang w:val="en-GB"/>
              </w:rPr>
            </w:pPr>
          </w:p>
        </w:tc>
        <w:tc>
          <w:tcPr>
            <w:tcW w:w="2171" w:type="dxa"/>
            <w:tcBorders>
              <w:top w:val="nil"/>
              <w:left w:val="nil"/>
              <w:bottom w:val="single" w:sz="4" w:space="0" w:color="auto"/>
              <w:right w:val="single" w:sz="4" w:space="0" w:color="auto"/>
            </w:tcBorders>
            <w:shd w:val="clear" w:color="auto" w:fill="auto"/>
            <w:vAlign w:val="center"/>
            <w:hideMark/>
          </w:tcPr>
          <w:p w14:paraId="0FB0FA98"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PARKE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"10.1093/bja/aet262", "ISBN" : "1261000097301", "ISSN" : "00070912", "PMID" : "23921199", "abstract" : "BACKGROUND: Respiratory complications after cardiac surgery increase morbidity, mortality, and length of stay. Studies suggest that routine delivery of positive airway pressure after extubation may be beneficial. We sought to determine whether the routine administration of nasal high-flow oxygen therapy (NHF) improves pulmonary function after cardiac surgery.\\n\\nMETHODS: A pragmatic randomized controlled trial; participants received either NHF (45 litre min(-1)) or usual care from extubation to Day 2 after surgery. The primary outcome was number of patients with / ratio \u2265445 on Day 3 after surgery. The secondary outcomes included atelectasis score on chest X-ray; spirometry; intensive care and hospital length of stay; mortality on Day 28; oxygenation indices; escalation of respiratory support; and patient comfort.\\n\\nRESULTS: We randomized 340 patients over 14 months. The number of patients with a / ratio of \u2265445 on Day 3 was 78 (46.4%) in the NHF group vs 72 (42.4%) standard care [odds ratio (OR) 1.18, 95% confidence interval (CI) 0.77-1.81, P=0.45]. was reduced at both 4 h post-extubation and at 9 a.m. on Day 1 in the NHF group (5.3 vs 5.4 kPa, P=0.03 and 5.1 vs 5.3 kPa, P=0.03, respectively). Escalation in respiratory support at any time in the study occurred in 47 patients (27.8%) allocated to NHF compared with 77 (45%) standard care (OR 0.47, 95% CI 0.29-0.7, P=0.001).\\n\\nCONCLUSIONS: Routine use of NHF did not increase / ratio on Day 3 but did reduce the requirement for escalation of respiratory support.\\n\\nTRIAL REGISTRATION: Australia New Zealand Clinical Trials Registry www.anzctr.org.au (ACTRN12610000973011).", "author" : [ { "dropping-particle" : "", "family" : "Parke", "given" : "R.", "non-dropping-particle" : "", "parse-names" : false, "suffix" : "" }, { "dropping-particle" : "", "family" : "McGuinness", "given" : "S.", "non-dropping-particle" : "", "parse-names" : false, "suffix" : "" }, { "dropping-particle" : "", "family" : "Dixon", "given" : "R.", "non-dropping-particle" : "", "parse-names" : false, "suffix" : "" }, { "dropping-particle" : "", "family" : "Jull", "given" : "A.", "non-dropping-particle" : "", "parse-names" : false, "suffix" : "" } ], "container-title" : "British Journal of Anaesthesia", "id" : "ITEM-1", "issue" : "6", "issued" : { "date-parts" : [ [ "2013" ] ] }, "page" : "925-931", "title" : "Open-label, phase II study of routine high-flow nasal oxygen therapy in cardiac surgical patients", "type" : "article-journal", "volume" : "111" }, "uris" : [ "http://www.mendeley.com/documents/?uuid=e273e2a7-9e7c-49cf-b876-c59b13e28e01" ] } ], "mendeley" : { "formattedCitation" : "&lt;sup&gt;66&lt;/sup&gt;", "plainTextFormattedCitation" : "66", "previouslyFormattedCitation" : "&lt;sup&gt;66&lt;/sup&gt;"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66</w:t>
            </w:r>
            <w:r w:rsidRPr="001A7492">
              <w:rPr>
                <w:rFonts w:eastAsia="Times New Roman"/>
                <w:color w:val="000000"/>
                <w:lang w:val="en-GB"/>
              </w:rPr>
              <w:fldChar w:fldCharType="end"/>
            </w:r>
          </w:p>
        </w:tc>
        <w:tc>
          <w:tcPr>
            <w:tcW w:w="2120" w:type="dxa"/>
            <w:tcBorders>
              <w:top w:val="nil"/>
              <w:left w:val="nil"/>
              <w:bottom w:val="single" w:sz="4" w:space="0" w:color="auto"/>
              <w:right w:val="single" w:sz="4" w:space="0" w:color="auto"/>
            </w:tcBorders>
            <w:shd w:val="clear" w:color="auto" w:fill="auto"/>
            <w:vAlign w:val="center"/>
            <w:hideMark/>
          </w:tcPr>
          <w:p w14:paraId="138A6426"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45 L/min</w:t>
            </w:r>
          </w:p>
        </w:tc>
        <w:tc>
          <w:tcPr>
            <w:tcW w:w="2268" w:type="dxa"/>
            <w:tcBorders>
              <w:top w:val="nil"/>
              <w:left w:val="nil"/>
              <w:bottom w:val="single" w:sz="4" w:space="0" w:color="auto"/>
              <w:right w:val="single" w:sz="4" w:space="0" w:color="auto"/>
            </w:tcBorders>
            <w:shd w:val="clear" w:color="auto" w:fill="auto"/>
            <w:noWrap/>
            <w:vAlign w:val="center"/>
            <w:hideMark/>
          </w:tcPr>
          <w:p w14:paraId="3F30D1DB"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no data</w:t>
            </w:r>
          </w:p>
        </w:tc>
      </w:tr>
      <w:tr w:rsidR="00406C81" w:rsidRPr="00A04E6A" w14:paraId="4320B2CF" w14:textId="77777777" w:rsidTr="00D9435B">
        <w:trPr>
          <w:trHeight w:val="955"/>
        </w:trPr>
        <w:tc>
          <w:tcPr>
            <w:tcW w:w="2083" w:type="dxa"/>
            <w:vMerge/>
            <w:tcBorders>
              <w:top w:val="nil"/>
              <w:left w:val="single" w:sz="4" w:space="0" w:color="auto"/>
              <w:bottom w:val="single" w:sz="4" w:space="0" w:color="auto"/>
              <w:right w:val="single" w:sz="4" w:space="0" w:color="auto"/>
            </w:tcBorders>
            <w:vAlign w:val="center"/>
            <w:hideMark/>
          </w:tcPr>
          <w:p w14:paraId="5ACFDA8B" w14:textId="77777777" w:rsidR="00406C81" w:rsidRPr="001A7492" w:rsidRDefault="00406C81" w:rsidP="00D9435B">
            <w:pPr>
              <w:spacing w:line="276" w:lineRule="auto"/>
              <w:jc w:val="both"/>
              <w:rPr>
                <w:rFonts w:eastAsia="Times New Roman"/>
                <w:b/>
                <w:bCs/>
                <w:color w:val="000000"/>
                <w:lang w:val="en-GB"/>
              </w:rPr>
            </w:pPr>
          </w:p>
        </w:tc>
        <w:tc>
          <w:tcPr>
            <w:tcW w:w="2171" w:type="dxa"/>
            <w:tcBorders>
              <w:top w:val="nil"/>
              <w:left w:val="nil"/>
              <w:bottom w:val="single" w:sz="4" w:space="0" w:color="auto"/>
              <w:right w:val="single" w:sz="4" w:space="0" w:color="auto"/>
            </w:tcBorders>
            <w:shd w:val="clear" w:color="auto" w:fill="auto"/>
            <w:vAlign w:val="center"/>
            <w:hideMark/>
          </w:tcPr>
          <w:p w14:paraId="72FFDC83"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CORLEY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"10.1007/s00134-015-3765-6", "ISSN" : "14321238", "PMID" : "25851385", "abstract" : "PURPOSE: Patients with a body mass index (BMI) \u226530 kg/m(2) experience more severe atelectasis following cardiac surgery than those with normal BMI and its resolution is slower. This study aimed to compare extubation of patients post-cardiac surgery with a BMI \u226530 kg/m(2) onto high-flow nasal cannulae (HFNC) with standard care to determine whether HFNC could assist in minimising post-operative atelectasis and improve respiratory function. METHODS: In this randomised controlled trial, patients received HFNC or standard oxygen therapy post-extubation. The primary outcome was atelectasis on chest X-ray. Secondary outcomes included oxygenation, respiratory rate (RR), subjective dyspnoea, and failure of allocated treatment. RESULTS: One hundred and fifty-five patients were randomised, 74 to control, 81 to HFNC. No difference was seen between groups in atelectasis scores on Days 1 or 5 (median scores = 2, p = 0.70 and p = 0.15, respectively). In the 24-h post-extubation, there was no difference in mean PaO2/FiO2 ratio (HFNC 227.9, control 253.3, p = 0.08), or RR (HFNC 17.2, control 16.7, p = 0.17). However, low dyspnoea levels were observed in each group at 8 h post-extubation, median (IQR) scores were 0 (0-1) for control and 1 (0-3) for HFNC (p = 0.008). Five patients failed allocated treatment in the control group compared with three in the treatment group [Odds ratio 0.53, (95 % CI 0.11, 2.24), p = 0.40]. CONCLUSIONS: In this study, prophylactic extubation onto HFNC post-cardiac surgery in patients with a BMI \u226530 kg/m(2) did not lead to improvements in respiratory function. Larger studies assessing the role of HFNC in preventing worsening of respiratory function and intubation are required.", "author" : [ { "dropping-particle" : "", "family" : "Corley", "given" : "Amanda", "non-dropping-particle" : "", "parse-names" : false, "suffix" : "" }, { "dropping-particle" : "", "family" : "Bull", "given" : "Taressa", "non-dropping-particle" : "", "parse-names" : false, "suffix" : "" }, { "dropping-particle" : "", "family" : "Spooner", "given" : "Amy J.", "non-dropping-particle" : "", "parse-names" : false, "suffix" : "" }, { "dropping-particle" : "", "family" : "Barnett", "given" : "Adrian G.", "non-dropping-particle" : "", "parse-names" : false, "suffix" : "" }, { "dropping-particle" : "", "family" : "Fraser", "given" : "John F.", "non-dropping-particle" : "", "parse-names" : false, "suffix" : "" } ], "container-title" : "Intensive Care Medicine", "id" : "ITEM-1", "issue" : "5", "issued" : { "date-parts" : [ [ "2015" ] ] }, "page" : "887-894", "publisher" : "Springer Berlin Heidelberg", "title" : "Direct extubation onto high-flow nasal cannulae post-cardiac surgery versus standard treatment in patients with a BMI ???30: a randomised controlled trial", "type" : "article-journal", "volume" : "41" }, "uris" : [ "http://www.mendeley.com/documents/?uuid=aa30950b-dd0c-45c4-b67f-a2b3a7755289" ] } ], "mendeley" : { "formattedCitation" : "&lt;sup&gt;67&lt;/sup&gt;", "plainTextFormattedCitation" : "67", "previouslyFormattedCitation" : "&lt;sup&gt;67&lt;/sup&gt;"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67</w:t>
            </w:r>
            <w:r w:rsidRPr="001A7492">
              <w:rPr>
                <w:rFonts w:eastAsia="Times New Roman"/>
                <w:color w:val="000000"/>
                <w:lang w:val="en-GB"/>
              </w:rPr>
              <w:fldChar w:fldCharType="end"/>
            </w:r>
          </w:p>
        </w:tc>
        <w:tc>
          <w:tcPr>
            <w:tcW w:w="2120" w:type="dxa"/>
            <w:tcBorders>
              <w:top w:val="nil"/>
              <w:left w:val="nil"/>
              <w:bottom w:val="single" w:sz="4" w:space="0" w:color="auto"/>
              <w:right w:val="single" w:sz="4" w:space="0" w:color="auto"/>
            </w:tcBorders>
            <w:shd w:val="clear" w:color="auto" w:fill="auto"/>
            <w:vAlign w:val="center"/>
            <w:hideMark/>
          </w:tcPr>
          <w:p w14:paraId="5CBB7B82"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from 35 L/min up then </w:t>
            </w:r>
            <w:proofErr w:type="spellStart"/>
            <w:r w:rsidRPr="001A7492">
              <w:rPr>
                <w:rFonts w:eastAsia="Times New Roman"/>
                <w:color w:val="000000"/>
                <w:lang w:val="en-GB"/>
              </w:rPr>
              <w:t>tritate</w:t>
            </w:r>
            <w:proofErr w:type="spellEnd"/>
            <w:r w:rsidRPr="001A7492">
              <w:rPr>
                <w:rFonts w:eastAsia="Times New Roman"/>
                <w:color w:val="000000"/>
                <w:lang w:val="en-GB"/>
              </w:rPr>
              <w:t xml:space="preserve"> to comfort</w:t>
            </w:r>
          </w:p>
        </w:tc>
        <w:tc>
          <w:tcPr>
            <w:tcW w:w="2268" w:type="dxa"/>
            <w:tcBorders>
              <w:top w:val="nil"/>
              <w:left w:val="nil"/>
              <w:bottom w:val="single" w:sz="4" w:space="0" w:color="auto"/>
              <w:right w:val="single" w:sz="4" w:space="0" w:color="auto"/>
            </w:tcBorders>
            <w:shd w:val="clear" w:color="auto" w:fill="auto"/>
            <w:noWrap/>
            <w:vAlign w:val="center"/>
            <w:hideMark/>
          </w:tcPr>
          <w:p w14:paraId="1F7E160D"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no data</w:t>
            </w:r>
          </w:p>
        </w:tc>
      </w:tr>
      <w:tr w:rsidR="00406C81" w:rsidRPr="001A7492" w14:paraId="2EB862FA" w14:textId="77777777" w:rsidTr="00D9435B">
        <w:trPr>
          <w:trHeight w:val="547"/>
        </w:trPr>
        <w:tc>
          <w:tcPr>
            <w:tcW w:w="2083" w:type="dxa"/>
            <w:vMerge/>
            <w:tcBorders>
              <w:top w:val="nil"/>
              <w:left w:val="single" w:sz="4" w:space="0" w:color="auto"/>
              <w:bottom w:val="single" w:sz="4" w:space="0" w:color="auto"/>
              <w:right w:val="single" w:sz="4" w:space="0" w:color="auto"/>
            </w:tcBorders>
            <w:vAlign w:val="center"/>
            <w:hideMark/>
          </w:tcPr>
          <w:p w14:paraId="587890FB" w14:textId="77777777" w:rsidR="00406C81" w:rsidRPr="001A7492" w:rsidRDefault="00406C81" w:rsidP="00D9435B">
            <w:pPr>
              <w:spacing w:line="276" w:lineRule="auto"/>
              <w:jc w:val="both"/>
              <w:rPr>
                <w:rFonts w:eastAsia="Times New Roman"/>
                <w:b/>
                <w:bCs/>
                <w:color w:val="000000"/>
                <w:lang w:val="en-GB"/>
              </w:rPr>
            </w:pPr>
          </w:p>
        </w:tc>
        <w:tc>
          <w:tcPr>
            <w:tcW w:w="2171" w:type="dxa"/>
            <w:tcBorders>
              <w:top w:val="nil"/>
              <w:left w:val="nil"/>
              <w:bottom w:val="single" w:sz="4" w:space="0" w:color="auto"/>
              <w:right w:val="single" w:sz="4" w:space="0" w:color="auto"/>
            </w:tcBorders>
            <w:shd w:val="clear" w:color="auto" w:fill="auto"/>
            <w:vAlign w:val="center"/>
            <w:hideMark/>
          </w:tcPr>
          <w:p w14:paraId="245EC899"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STEPHAN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"10.1001/jama.2015.5213", "ISBN" : "0098-7484", "ISSN" : "1538-3598", "PMID" : "25980660", "abstract" : "IMPORTANCE: Noninvasive ventilation delivered as bilevel positive airway pressure (BiPAP) is often used to avoid reintubation and improve outcomes of patients with hypoxemia after cardiothoracic surgery. High-flow nasal oxygen therapy is increasingly used to improve oxygenation because of its ease of implementation, tolerance, and clinical effectiveness. OBJECTIVE: To determine whether high-flow nasal oxygen therapy was not inferior to BiPAP for preventing or resolving acute respiratory failure after cardiothoracic surgery. DESIGN AND SETTING: Multicenter, randomized, noninferiority trial (BiPOP Study) conducted between June 15, 2011, and January 15, 2014, at 6 French intensive care units. PARTICIPANTS: A total of 830 patients who had undergone cardiothoracic surgery, of which coronary artery bypass, valvular repair, and pulmonary thromboendarterectomy were the most common, were included when they developed acute respiratory failure (failure of a spontaneous breathing trial or successful breathing trial but failed extubation) or were deemed at risk for respiratory failure after extubation due to preexisting risk factors. INTERVENTIONS: Patients were randomly assigned to receive high-flow nasal oxygen therapy delivered continuously through a nasal cannula (flow, 50 L/min; fraction of inspired oxygen [FiO2], 50%) (n = 414) or BiPAP delivered with a full-face mask for at least 4 hours per day (pressure support level, 8 cm H2O; positive end-expiratory pressure, 4 cm H2O; FiO2, 50%) (n = 416). MAIN OUTCOMES AND MEASURES: The primary outcome was treatment failure, defined as reintubation, switch to the other study treatment, or premature treatment discontinuation (patient request or adverse effects, including gastric distention). Noninferiority of high-flow nasal oxygen therapy would be demonstrated if the lower boundary of the 95% CI were less than 9%. Secondary outcomes included mortality during intensive care unit stay, changes in respiratory variables, and respiratory complications. RESULTS: High-flow nasal oxygen therapy was not inferior to BiPAP: the treatment failed in 87 of 414 patients with high-flow nasal oxygen therapy (21.0%) and 91 of 416 patients with BiPAP (21.9%) (absolute difference, 0.9%; 95% CI, -4.9% to 6.6%; P = .003). No significant differences were found for intensive care unit mortality (23 patients with BiPAP [5.5%] and 28 with high-flow nasal oxygen therapy [6.8%]; P = .66) (absolute difference, 1.2% [95% CI, -2.3% to 4.8%]. Skin bre\u2026", "author" : [ { "dropping-particle" : "", "family" : "Stephan", "given" : "Fran\u00e7ois", "non-dropping-particle" : "", "parse-names" : false, "suffix" : "" }, { "dropping-particle" : "", "family" : "Barrucand", "given" : "Benoit", "non-dropping-particle" : "", "parse-names" : false, "suffix" : "" }, { "dropping-particle" : "", "family" : "Petit", "given" : "Pascal", "non-dropping-particle" : "", "parse-names" : false, "suffix" : "" }, { "dropping-particle" : "", "family" : "Rezaiguia-Delclaux", "given" : "Saida", "non-dropping-particle" : "", "parse-names" : false, "suffix" : "" }, { "dropping-particle" : "", "family" : "Medard", "given" : "Anne", "non-dropping-particle" : "", "parse-names" : false, "suffix" : "" }, { "dropping-particle" : "", "family" : "Delannoy", "given" : "Bertrand", "non-dropping-particle" : "", "parse-names" : false, "suffix" : "" }, { "dropping-particle" : "", "family" : "Cosserant", "given" : "Bernard", "non-dropping-particle" : "", "parse-names" : false, "suffix" : "" }, { "dropping-particle" : "", "family" : "Flicoteaux", "given" : "Guillaume", "non-dropping-particle" : "", "parse-names" : false, "suffix" : "" }, { "dropping-particle" : "", "family" : "Imbert", "given" : "Audrey", "non-dropping-particle" : "", "parse-names" : false, "suffix" : "" }, { "dropping-particle" : "", "family" : "Pilorge", "given" : "Catherine", "non-dropping-particle" : "", "parse-names" : false, "suffix" : "" }, { "dropping-particle" : "", "family" : "Berard", "given" : "Laurence", "non-dropping-particle" : "", "parse-names" : false, "suffix" : "" } ], "container-title" : "Jama", "id" : "ITEM-1", "issue" : "23", "issued" : { "date-parts" : [ [ "2015" ] ] }, "page" : "2331-2339", "title" : "High-Flow Nasal Oxygen vs Noninvasive Positive Airway Pressure in Hypoxemic Patients After Cardiothoracic Surgery - A Randomized Clinical Trial", "type" : "article-journal", "volume" : "313" }, "uris" : [ "http://www.mendeley.com/documents/?uuid=7e26b352-1878-4bf1-92d3-7b69807ea3a1" ] } ], "mendeley" : { "formattedCitation" : "&lt;sup&gt;6&lt;/sup&gt;", "plainTextFormattedCitation" : "6", "previouslyFormattedCitation" : "&lt;sup&gt;6&lt;/sup&gt;"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6</w:t>
            </w:r>
            <w:r w:rsidRPr="001A7492">
              <w:rPr>
                <w:rFonts w:eastAsia="Times New Roman"/>
                <w:color w:val="000000"/>
                <w:lang w:val="en-GB"/>
              </w:rPr>
              <w:fldChar w:fldCharType="end"/>
            </w:r>
          </w:p>
        </w:tc>
        <w:tc>
          <w:tcPr>
            <w:tcW w:w="2120" w:type="dxa"/>
            <w:tcBorders>
              <w:top w:val="nil"/>
              <w:left w:val="nil"/>
              <w:bottom w:val="single" w:sz="4" w:space="0" w:color="auto"/>
              <w:right w:val="single" w:sz="4" w:space="0" w:color="auto"/>
            </w:tcBorders>
            <w:shd w:val="clear" w:color="auto" w:fill="auto"/>
            <w:vAlign w:val="center"/>
            <w:hideMark/>
          </w:tcPr>
          <w:p w14:paraId="63426022"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50 L/min</w:t>
            </w:r>
          </w:p>
        </w:tc>
        <w:tc>
          <w:tcPr>
            <w:tcW w:w="2268" w:type="dxa"/>
            <w:tcBorders>
              <w:top w:val="nil"/>
              <w:left w:val="nil"/>
              <w:bottom w:val="single" w:sz="4" w:space="0" w:color="auto"/>
              <w:right w:val="single" w:sz="4" w:space="0" w:color="auto"/>
            </w:tcBorders>
            <w:shd w:val="clear" w:color="auto" w:fill="auto"/>
            <w:noWrap/>
            <w:vAlign w:val="center"/>
            <w:hideMark/>
          </w:tcPr>
          <w:p w14:paraId="046EEE4B" w14:textId="29F7E3C9"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6/414 (1</w:t>
            </w:r>
            <w:r w:rsidR="00EE0BFC">
              <w:rPr>
                <w:rFonts w:eastAsia="Times New Roman"/>
                <w:color w:val="000000"/>
                <w:lang w:val="en-GB"/>
              </w:rPr>
              <w:t>.</w:t>
            </w:r>
            <w:r w:rsidRPr="001A7492">
              <w:rPr>
                <w:rFonts w:eastAsia="Times New Roman"/>
                <w:color w:val="000000"/>
                <w:lang w:val="en-GB"/>
              </w:rPr>
              <w:t>45%)</w:t>
            </w:r>
          </w:p>
        </w:tc>
      </w:tr>
      <w:tr w:rsidR="00406C81" w:rsidRPr="001A7492" w14:paraId="1E8E42D9" w14:textId="77777777" w:rsidTr="00D9435B">
        <w:trPr>
          <w:trHeight w:val="636"/>
        </w:trPr>
        <w:tc>
          <w:tcPr>
            <w:tcW w:w="2083" w:type="dxa"/>
            <w:vMerge w:val="restart"/>
            <w:tcBorders>
              <w:top w:val="nil"/>
              <w:left w:val="single" w:sz="4" w:space="0" w:color="auto"/>
              <w:bottom w:val="single" w:sz="4" w:space="0" w:color="auto"/>
              <w:right w:val="single" w:sz="4" w:space="0" w:color="auto"/>
            </w:tcBorders>
            <w:shd w:val="clear" w:color="auto" w:fill="auto"/>
            <w:hideMark/>
          </w:tcPr>
          <w:p w14:paraId="72B9DF58" w14:textId="77777777" w:rsidR="00406C81" w:rsidRPr="001A7492" w:rsidRDefault="00406C81" w:rsidP="00D9435B">
            <w:pPr>
              <w:spacing w:line="276" w:lineRule="auto"/>
              <w:jc w:val="both"/>
              <w:rPr>
                <w:rFonts w:eastAsia="Times New Roman"/>
                <w:b/>
                <w:bCs/>
                <w:color w:val="000000"/>
                <w:lang w:val="en-GB"/>
              </w:rPr>
            </w:pPr>
            <w:r w:rsidRPr="001A7492">
              <w:rPr>
                <w:rFonts w:eastAsia="Times New Roman"/>
                <w:b/>
                <w:bCs/>
                <w:color w:val="000000"/>
                <w:lang w:val="en-GB"/>
              </w:rPr>
              <w:t>POST - EXTUBATION</w:t>
            </w:r>
          </w:p>
        </w:tc>
        <w:tc>
          <w:tcPr>
            <w:tcW w:w="2171" w:type="dxa"/>
            <w:tcBorders>
              <w:top w:val="nil"/>
              <w:left w:val="nil"/>
              <w:bottom w:val="single" w:sz="4" w:space="0" w:color="auto"/>
              <w:right w:val="single" w:sz="4" w:space="0" w:color="auto"/>
            </w:tcBorders>
            <w:shd w:val="clear" w:color="auto" w:fill="auto"/>
            <w:vAlign w:val="center"/>
            <w:hideMark/>
          </w:tcPr>
          <w:p w14:paraId="5FBA1A98"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Maggiore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"10.1164/rccm.201402-0364OC", "ISBN" : "1073-449X", "ISSN" : "15354970", "PMID" : "25003980", "abstract" : "RATIONALE: Oxygen is commonly administered after extubation. Although several devices are available, data about their clinical efficacy are scarce. OBJECTIVES: To compare the effects of the Venturi mask and the nasal high-flow (NHF) therapy on PaO2/FiO2SET ratio after extubation. Secondary endpoints were to assess effects on patient discomfort, adverse events, and clinical outcomes. METHODS: Randomized, controlled, open-label trial on 105 patients with a PaO2/FiO2 ratio less than or equal to 300 immediately before extubation. The Venturi mask (n = 52) or NHF (n = 53) were applied for 48 hours postextubation. MEASUREMENTS AND MAIN RESULTS: PaO2/FiO2SET, patient discomfort caused by the interface and by symptoms of airways dryness (on a 10-point numerical rating scale), interface displacements, oxygen desaturations, need for ventilator support, and reintubation were assessed up to 48 hours after extubation. From the 24th hour, PaO2/FiO2SET was higher with the NHF (287 \u00b1 74 vs. 247 \u00b1 81 at 24 h; P = 0.03). Discomfort related both to the interface and to airways dryness was better with NHF (respectively, 2.6 \u00b1 2.2 vs. 5.1 \u00b1 3.3 at 24 h, P = 0.006; 2.2 \u00b1 1.8 vs. 3.7 \u00b1 2.4 at 24 h, P = 0.002). Fewer patients had interface displacements (32% vs. 56%; P = 0.01), oxygen desaturations (40% vs. 75%; P &lt; 0.001), required reintubation (4% vs. 21%; P = 0.01), or any form of ventilator support (7% vs. 35%; P &lt; 0.001) in the NHF group. CONCLUSIONS: Compared with the Venturi mask, NHF results in better oxygenation for the same set FiO2 after extubation. Use of NHF is associated with better comfort, fewer desaturations and interface displacements, and a lower reintubation rate. Clinical trial registered with www.clinicaltrials.gov (NCT 01575353).", "author" : [ { "dropping-particle" : "", "family" : "Maggiore", "given" : "Salvatore Maurizio", "non-dropping-particle" : "", "parse-names" : false, "suffix" : "" }, { "dropping-particle" : "", "family" : "Idone", "given" : "Francesco Antonio", "non-dropping-particle" : "", "parse-names" : false, "suffix" : "" }, { "dropping-particle" : "", "family" : "Vaschetto", "given" : "Rosanna", "non-dropping-particle" : "", "parse-names" : false, "suffix" : "" }, { "dropping-particle" : "", "family" : "Festa", "given" : "Rossano", "non-dropping-particle" : "", "parse-names" : false, "suffix" : "" }, { "dropping-particle" : "", "family" : "Cataldo", "given" : "Andrea", "non-dropping-particle" : "", "parse-names" : false, "suffix" : "" }, { "dropping-particle" : "", "family" : "Antonicelli", "given" : "Federica", "non-dropping-particle" : "", "parse-names" : false, "suffix" : "" }, { "dropping-particle" : "", "family" : "Montini", "given" : "Luca", "non-dropping-particle" : "", "parse-names" : false, "suffix" : "" }, { "dropping-particle" : "", "family" : "Gaetano", "given" : "Andrea", "non-dropping-particle" : "De", "parse-names" : false, "suffix" : "" }, { "dropping-particle" : "", "family" : "Navalesi", "given" : "Paolo", "non-dropping-particle" : "", "parse-names" : false, "suffix" : "" }, { "dropping-particle" : "", "family" : "Antonelli", "given" : "Massimo", "non-dropping-particle" : "", "parse-names" : false, "suffix" : "" } ], "container-title" : "American Journal of Respiratory and Critical Care Medicine", "id" : "ITEM-1", "issue" : "3", "issued" : { "date-parts" : [ [ "2014" ] ] }, "page" : "282-288", "title" : "Nasal high-flow versus venturi mask oxygen therapy after extubation: Effects on oxygenation, comfort, and clinical outcome", "type" : "article-journal", "volume" : "190" }, "uris" : [ "http://www.mendeley.com/documents/?uuid=1af9c114-285b-4db0-b930-6cbb88e5f482" ] } ], "mendeley" : { "formattedCitation" : "&lt;sup&gt;5&lt;/sup&gt;", "plainTextFormattedCitation" : "5", "previouslyFormattedCitation" : "&lt;sup&gt;5&lt;/sup&gt;"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5</w:t>
            </w:r>
            <w:r w:rsidRPr="001A7492">
              <w:rPr>
                <w:rFonts w:eastAsia="Times New Roman"/>
                <w:color w:val="000000"/>
                <w:lang w:val="en-GB"/>
              </w:rPr>
              <w:fldChar w:fldCharType="end"/>
            </w:r>
            <w:r w:rsidRPr="001A7492">
              <w:rPr>
                <w:rFonts w:eastAsia="Times New Roman"/>
                <w:color w:val="000000"/>
                <w:lang w:val="en-GB"/>
              </w:rPr>
              <w:t xml:space="preserve"> </w:t>
            </w:r>
          </w:p>
        </w:tc>
        <w:tc>
          <w:tcPr>
            <w:tcW w:w="2120" w:type="dxa"/>
            <w:tcBorders>
              <w:top w:val="nil"/>
              <w:left w:val="nil"/>
              <w:bottom w:val="single" w:sz="4" w:space="0" w:color="auto"/>
              <w:right w:val="single" w:sz="4" w:space="0" w:color="auto"/>
            </w:tcBorders>
            <w:shd w:val="clear" w:color="auto" w:fill="auto"/>
            <w:vAlign w:val="center"/>
            <w:hideMark/>
          </w:tcPr>
          <w:p w14:paraId="019B1B27"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50 L/min</w:t>
            </w:r>
          </w:p>
        </w:tc>
        <w:tc>
          <w:tcPr>
            <w:tcW w:w="2268" w:type="dxa"/>
            <w:tcBorders>
              <w:top w:val="nil"/>
              <w:left w:val="nil"/>
              <w:bottom w:val="single" w:sz="4" w:space="0" w:color="auto"/>
              <w:right w:val="single" w:sz="4" w:space="0" w:color="auto"/>
            </w:tcBorders>
            <w:shd w:val="clear" w:color="auto" w:fill="auto"/>
            <w:vAlign w:val="center"/>
            <w:hideMark/>
          </w:tcPr>
          <w:p w14:paraId="366D6A28"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0.4 displacement per patient</w:t>
            </w:r>
          </w:p>
        </w:tc>
      </w:tr>
      <w:tr w:rsidR="00406C81" w:rsidRPr="001A7492" w14:paraId="65CAE9BB" w14:textId="77777777" w:rsidTr="00D9435B">
        <w:trPr>
          <w:trHeight w:val="636"/>
        </w:trPr>
        <w:tc>
          <w:tcPr>
            <w:tcW w:w="2083" w:type="dxa"/>
            <w:vMerge/>
            <w:tcBorders>
              <w:top w:val="nil"/>
              <w:left w:val="single" w:sz="4" w:space="0" w:color="auto"/>
              <w:bottom w:val="single" w:sz="4" w:space="0" w:color="auto"/>
              <w:right w:val="single" w:sz="4" w:space="0" w:color="auto"/>
            </w:tcBorders>
            <w:vAlign w:val="center"/>
            <w:hideMark/>
          </w:tcPr>
          <w:p w14:paraId="52A73441" w14:textId="77777777" w:rsidR="00406C81" w:rsidRPr="001A7492" w:rsidRDefault="00406C81" w:rsidP="00D9435B">
            <w:pPr>
              <w:spacing w:line="276" w:lineRule="auto"/>
              <w:jc w:val="both"/>
              <w:rPr>
                <w:rFonts w:eastAsia="Times New Roman"/>
                <w:b/>
                <w:bCs/>
                <w:color w:val="000000"/>
                <w:lang w:val="en-GB"/>
              </w:rPr>
            </w:pPr>
          </w:p>
        </w:tc>
        <w:tc>
          <w:tcPr>
            <w:tcW w:w="2171" w:type="dxa"/>
            <w:tcBorders>
              <w:top w:val="nil"/>
              <w:left w:val="nil"/>
              <w:bottom w:val="single" w:sz="4" w:space="0" w:color="auto"/>
              <w:right w:val="single" w:sz="4" w:space="0" w:color="auto"/>
            </w:tcBorders>
            <w:shd w:val="clear" w:color="auto" w:fill="auto"/>
            <w:vAlign w:val="center"/>
            <w:hideMark/>
          </w:tcPr>
          <w:p w14:paraId="738C8F01" w14:textId="77777777" w:rsidR="00406C81" w:rsidRPr="001A7492" w:rsidRDefault="00406C81" w:rsidP="00D9435B">
            <w:pPr>
              <w:spacing w:line="276" w:lineRule="auto"/>
              <w:jc w:val="both"/>
              <w:rPr>
                <w:rFonts w:eastAsia="Times New Roman"/>
                <w:color w:val="000000"/>
                <w:lang w:val="en-GB"/>
              </w:rPr>
            </w:pPr>
            <w:proofErr w:type="spellStart"/>
            <w:r w:rsidRPr="001A7492">
              <w:rPr>
                <w:rFonts w:eastAsia="Times New Roman"/>
                <w:color w:val="000000"/>
                <w:lang w:val="en-GB"/>
              </w:rPr>
              <w:t>Rittayamai</w:t>
            </w:r>
            <w:proofErr w:type="spellEnd"/>
            <w:r w:rsidRPr="001A7492">
              <w:rPr>
                <w:rFonts w:eastAsia="Times New Roman"/>
                <w:color w:val="000000"/>
                <w:lang w:val="en-GB"/>
              </w:rPr>
              <w:t xml:space="preserve">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"10.4187/respcare.02397", "ISBN" : "6624197757", "ISSN" : "0020-1324", "PMID" : "24046462", "abstract" : "OBJECTIVE: Compare the short-term benefit of high-flow nasal cannula (HFNC) with non-rebreathing mask in terms of change in dyspnea, physiologic variables, and patient comfort in subjects after endotracheal extubation.\\n\\nMETHODS: A randomized crossover study was conducted in a 10-bed respiratory care unit in a university hospital. Seventeen mechanically ventilated subjects were randomized after extubation to either Protocol A (applied HFNC for 30 min, followed by non-rebreathing mask for another 30 min) or Protocol B (applied non-rebreathing mask for 30 min, followed by HFNC for another 30 min). The level of dyspnea, breathing frequency, heart rate, blood pressure, oxygen saturation, and patient comfort were recorded. The results were expressed as mean \u00b1 SD, frequency, or percentage. Categorical variables were compared by chi-square test or Fisher exact test, and continuous variables were compared by dependent or paired t test. Statistical significance was defined as P &lt; .05.\\n\\nRESULTS: Seventeen subjects were divided into 2 groups: 9 subjects in Protocol A and 8 subjects in Protocol B. The baseline characteristics and physiologic parameters before extubation were not significantly different in each protocol. At the end of study, HFNC indicated less dyspnea (P = .04) and lower breathing frequency (P = .009) and heart rate (P = .006) compared with non-rebreathing mask. Most of the subjects (88.2%) preferred HFNC to non-rebreathing mask.\\n\\nCONCLUSIONS: HFNC can improve dyspnea and physiologic parameters, including breathing frequency and heart rate, in extubated subjects compared with conventional oxygen therapy. This device may have a potential role for use after endotracheal extubation.", "author" : [ { "dropping-particle" : "", "family" : "Rittayamai", "given" : "Nuttapol", "non-dropping-particle" : "", "parse-names" : false, "suffix" : "" }, { "dropping-particle" : "", "family" : "Tscheikuna", "given" : "Jamsak", "non-dropping-particle" : "", "parse-names" : false, "suffix" : "" }, { "dropping-particle" : "", "family" : "Rujiwit", "given" : "Pitchayapa", "non-dropping-particle" : "", "parse-names" : false, "suffix" : "" } ], "container-title" : "Respiratory care", "id" : "ITEM-1", "issue" : "4", "issued" : { "date-parts" : [ [ "2014" ] ] }, "page" : "485-490", "title" : "High-Flow Nasal Cannula Versus Conventional Oxygen Therapy After Endotracheal Extubation: A Randomized Crossover Physiologic Study", "type" : "article-journal", "volume" : "59" }, "uris" : [ "http://www.mendeley.com/documents/?uuid=1496908b-f2d9-4a6c-a34e-32adf060f587" ] } ], "mendeley" : { "formattedCitation" : "&lt;sup&gt;9&lt;/sup&gt;", "plainTextFormattedCitation" : "9", "previouslyFormattedCitation" : "&lt;sup&gt;9&lt;/sup&gt;"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9</w:t>
            </w:r>
            <w:r w:rsidRPr="001A7492">
              <w:rPr>
                <w:rFonts w:eastAsia="Times New Roman"/>
                <w:color w:val="000000"/>
                <w:lang w:val="en-GB"/>
              </w:rPr>
              <w:fldChar w:fldCharType="end"/>
            </w:r>
            <w:r w:rsidRPr="001A7492">
              <w:rPr>
                <w:rFonts w:eastAsia="Times New Roman"/>
                <w:color w:val="000000"/>
                <w:lang w:val="en-GB"/>
              </w:rPr>
              <w:t xml:space="preserve"> </w:t>
            </w:r>
          </w:p>
        </w:tc>
        <w:tc>
          <w:tcPr>
            <w:tcW w:w="2120" w:type="dxa"/>
            <w:tcBorders>
              <w:top w:val="nil"/>
              <w:left w:val="nil"/>
              <w:bottom w:val="single" w:sz="4" w:space="0" w:color="auto"/>
              <w:right w:val="single" w:sz="4" w:space="0" w:color="auto"/>
            </w:tcBorders>
            <w:shd w:val="clear" w:color="auto" w:fill="auto"/>
            <w:vAlign w:val="center"/>
            <w:hideMark/>
          </w:tcPr>
          <w:p w14:paraId="7257210E" w14:textId="62B5F428"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36</w:t>
            </w:r>
            <w:r w:rsidR="00B91FF3">
              <w:rPr>
                <w:rFonts w:eastAsia="Times New Roman"/>
                <w:color w:val="000000"/>
                <w:lang w:val="en-GB"/>
              </w:rPr>
              <w:t>.</w:t>
            </w:r>
            <w:r w:rsidRPr="001A7492">
              <w:rPr>
                <w:rFonts w:eastAsia="Times New Roman"/>
                <w:color w:val="000000"/>
                <w:lang w:val="en-GB"/>
              </w:rPr>
              <w:t>8 L/min (mean)</w:t>
            </w:r>
          </w:p>
        </w:tc>
        <w:tc>
          <w:tcPr>
            <w:tcW w:w="2268" w:type="dxa"/>
            <w:tcBorders>
              <w:top w:val="nil"/>
              <w:left w:val="nil"/>
              <w:bottom w:val="single" w:sz="4" w:space="0" w:color="auto"/>
              <w:right w:val="single" w:sz="4" w:space="0" w:color="auto"/>
            </w:tcBorders>
            <w:shd w:val="clear" w:color="auto" w:fill="auto"/>
            <w:noWrap/>
            <w:vAlign w:val="center"/>
            <w:hideMark/>
          </w:tcPr>
          <w:p w14:paraId="139C147E" w14:textId="2C95EAD2"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2/17 (11</w:t>
            </w:r>
            <w:r w:rsidR="00EE0BFC">
              <w:rPr>
                <w:rFonts w:eastAsia="Times New Roman"/>
                <w:color w:val="000000"/>
                <w:lang w:val="en-GB"/>
              </w:rPr>
              <w:t>.</w:t>
            </w:r>
            <w:r w:rsidRPr="001A7492">
              <w:rPr>
                <w:rFonts w:eastAsia="Times New Roman"/>
                <w:color w:val="000000"/>
                <w:lang w:val="en-GB"/>
              </w:rPr>
              <w:t>8%)</w:t>
            </w:r>
          </w:p>
        </w:tc>
      </w:tr>
      <w:tr w:rsidR="00406C81" w:rsidRPr="001A7492" w14:paraId="331394AC" w14:textId="77777777" w:rsidTr="00D9435B">
        <w:trPr>
          <w:trHeight w:val="335"/>
        </w:trPr>
        <w:tc>
          <w:tcPr>
            <w:tcW w:w="2083" w:type="dxa"/>
            <w:vMerge/>
            <w:tcBorders>
              <w:top w:val="nil"/>
              <w:left w:val="single" w:sz="4" w:space="0" w:color="auto"/>
              <w:bottom w:val="single" w:sz="4" w:space="0" w:color="auto"/>
              <w:right w:val="single" w:sz="4" w:space="0" w:color="auto"/>
            </w:tcBorders>
            <w:vAlign w:val="center"/>
            <w:hideMark/>
          </w:tcPr>
          <w:p w14:paraId="3475A179" w14:textId="77777777" w:rsidR="00406C81" w:rsidRPr="001A7492" w:rsidRDefault="00406C81" w:rsidP="00D9435B">
            <w:pPr>
              <w:spacing w:line="276" w:lineRule="auto"/>
              <w:jc w:val="both"/>
              <w:rPr>
                <w:rFonts w:eastAsia="Times New Roman"/>
                <w:b/>
                <w:bCs/>
                <w:color w:val="000000"/>
                <w:lang w:val="en-GB"/>
              </w:rPr>
            </w:pPr>
          </w:p>
        </w:tc>
        <w:tc>
          <w:tcPr>
            <w:tcW w:w="2171" w:type="dxa"/>
            <w:tcBorders>
              <w:top w:val="nil"/>
              <w:left w:val="nil"/>
              <w:bottom w:val="single" w:sz="4" w:space="0" w:color="auto"/>
              <w:right w:val="single" w:sz="4" w:space="0" w:color="auto"/>
            </w:tcBorders>
            <w:shd w:val="clear" w:color="auto" w:fill="auto"/>
            <w:vAlign w:val="center"/>
            <w:hideMark/>
          </w:tcPr>
          <w:p w14:paraId="1FC06012" w14:textId="77777777" w:rsidR="00406C81" w:rsidRPr="001A7492" w:rsidRDefault="00406C81" w:rsidP="00D9435B">
            <w:pPr>
              <w:spacing w:line="276" w:lineRule="auto"/>
              <w:jc w:val="both"/>
              <w:rPr>
                <w:rFonts w:eastAsia="Times New Roman"/>
                <w:color w:val="000000"/>
                <w:lang w:val="en-GB"/>
              </w:rPr>
            </w:pPr>
            <w:proofErr w:type="spellStart"/>
            <w:r w:rsidRPr="001A7492">
              <w:rPr>
                <w:rFonts w:eastAsia="Times New Roman"/>
                <w:color w:val="000000"/>
                <w:lang w:val="en-GB"/>
              </w:rPr>
              <w:t>Tiruvoipati</w:t>
            </w:r>
            <w:proofErr w:type="spellEnd"/>
            <w:r w:rsidRPr="001A7492">
              <w:rPr>
                <w:rFonts w:eastAsia="Times New Roman"/>
                <w:color w:val="000000"/>
                <w:lang w:val="en-GB"/>
              </w:rPr>
              <w:t xml:space="preserve">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"10.1016/j.jcrc.2009.06.050", "ISBN" : "1557-8615 (Electronic)\\r0883-9441 (Linking)", "ISSN" : "08839441", "PMID" : "19781896", "abstract" : "Purpose: Oxygen delivery after extubation is critical to maintain adequate oxygenation and to avoid reintubation. The delivery of oxygen in such situations is usually by high-flow face mask (HFFM). Yet, this may be uncomfortable for some patients. A recent advance in oxygen delivery technology is high-flow nasal prongs (HFNP). There are no randomized trials comparing these 2 modes. Methods: Patients were randomized to either protocol A (n = 25; HFFM followed by HFNP) or protocol B (n = 25; HFNP followed by HFFM) after a stabilization period of 30 minutes after extubation. The primary objective was to compare the efficacy of HFNP to HFFM in maintaining gas exchange as measured by arterial blood gas. Secondary objective was to compare the relative effects on heart rate, blood pressure, respiratory rate, comfort, and tolerance. Results: Patients in both protocols were comparable in terms of age, demographic, and physiologic variables including arterial blood gas, blood pressure, heart rate, respiratory rate, Glasgow Coma Score, sedation, and Acute Physiology and Chronic Health Evaluation (APACHE) III scores. There was no significant difference in gas exchange, respiratory rate, or hemodynamics. There was a significant difference (P = .01) in tolerance, with nasal prongs being well tolerated. There was a trend (P = .09) toward better patient comfort with HFNP. Conclusions: High-flow nasal prongs are as effective as HFFM in delivering oxygen to extubated patients who require high-flow oxygen. The tolerance of HFNP was significantly better than in HFFM. ?? 2010.", "author" : [ { "dropping-particle" : "", "family" : "Tiruvoipati", "given" : "Ravindranath", "non-dropping-particle" : "", "parse-names" : false, "suffix" : "" }, { "dropping-particle" : "", "family" : "Lewis", "given" : "David", "non-dropping-particle" : "", "parse-names" : false, "suffix" : "" }, { "dropping-particle" : "", "family" : "Haji", "given" : "Kavi", "non-dropping-particle" : "", "parse-names" : false, "suffix" : "" }, { "dropping-particle" : "", "family" : "Botha", "given" : "John", "non-dropping-particle" : "", "parse-names" : false, "suffix" : "" } ], "container-title" : "Journal of Critical Care", "id" : "ITEM-1", "issue" : "3", "issued" : { "date-parts" : [ [ "2010" ] ] }, "page" : "463-468", "publisher" : "Elsevier B.V.", "title" : "High-flow nasal oxygen vs high-flow face mask: A randomized crossover trial in extubated patients", "type" : "article-journal", "volume" : "25" }, "uris" : [ "http://www.mendeley.com/documents/?uuid=abd4b3f1-013c-4032-9a00-d1690b46b0a4" ] } ], "mendeley" : { "formattedCitation" : "&lt;sup&gt;83&lt;/sup&gt;", "plainTextFormattedCitation" : "83", "previouslyFormattedCitation" : "&lt;sup&gt;83&lt;/sup&gt;"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83</w:t>
            </w:r>
            <w:r w:rsidRPr="001A7492">
              <w:rPr>
                <w:rFonts w:eastAsia="Times New Roman"/>
                <w:color w:val="000000"/>
                <w:lang w:val="en-GB"/>
              </w:rPr>
              <w:fldChar w:fldCharType="end"/>
            </w:r>
            <w:r w:rsidRPr="001A7492">
              <w:rPr>
                <w:rFonts w:eastAsia="Times New Roman"/>
                <w:color w:val="000000"/>
                <w:lang w:val="en-GB"/>
              </w:rPr>
              <w:t xml:space="preserve"> </w:t>
            </w:r>
          </w:p>
        </w:tc>
        <w:tc>
          <w:tcPr>
            <w:tcW w:w="2120" w:type="dxa"/>
            <w:tcBorders>
              <w:top w:val="nil"/>
              <w:left w:val="nil"/>
              <w:bottom w:val="single" w:sz="4" w:space="0" w:color="auto"/>
              <w:right w:val="single" w:sz="4" w:space="0" w:color="auto"/>
            </w:tcBorders>
            <w:shd w:val="clear" w:color="auto" w:fill="auto"/>
            <w:vAlign w:val="center"/>
            <w:hideMark/>
          </w:tcPr>
          <w:p w14:paraId="32326676"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30 L/min</w:t>
            </w:r>
          </w:p>
        </w:tc>
        <w:tc>
          <w:tcPr>
            <w:tcW w:w="2268" w:type="dxa"/>
            <w:tcBorders>
              <w:top w:val="nil"/>
              <w:left w:val="nil"/>
              <w:bottom w:val="single" w:sz="4" w:space="0" w:color="auto"/>
              <w:right w:val="single" w:sz="4" w:space="0" w:color="auto"/>
            </w:tcBorders>
            <w:shd w:val="clear" w:color="auto" w:fill="auto"/>
            <w:noWrap/>
            <w:vAlign w:val="center"/>
            <w:hideMark/>
          </w:tcPr>
          <w:p w14:paraId="52918120"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3/50 (6%)</w:t>
            </w:r>
          </w:p>
        </w:tc>
      </w:tr>
      <w:tr w:rsidR="00406C81" w:rsidRPr="001A7492" w14:paraId="172EA371" w14:textId="77777777" w:rsidTr="00D9435B">
        <w:trPr>
          <w:trHeight w:val="317"/>
        </w:trPr>
        <w:tc>
          <w:tcPr>
            <w:tcW w:w="2083" w:type="dxa"/>
            <w:vMerge/>
            <w:tcBorders>
              <w:top w:val="nil"/>
              <w:left w:val="single" w:sz="4" w:space="0" w:color="auto"/>
              <w:bottom w:val="single" w:sz="4" w:space="0" w:color="auto"/>
              <w:right w:val="single" w:sz="4" w:space="0" w:color="auto"/>
            </w:tcBorders>
            <w:vAlign w:val="center"/>
            <w:hideMark/>
          </w:tcPr>
          <w:p w14:paraId="113B617B" w14:textId="77777777" w:rsidR="00406C81" w:rsidRPr="001A7492" w:rsidRDefault="00406C81" w:rsidP="00D9435B">
            <w:pPr>
              <w:spacing w:line="276" w:lineRule="auto"/>
              <w:jc w:val="both"/>
              <w:rPr>
                <w:rFonts w:eastAsia="Times New Roman"/>
                <w:b/>
                <w:bCs/>
                <w:color w:val="000000"/>
                <w:lang w:val="en-GB"/>
              </w:rPr>
            </w:pPr>
          </w:p>
        </w:tc>
        <w:tc>
          <w:tcPr>
            <w:tcW w:w="2171" w:type="dxa"/>
            <w:tcBorders>
              <w:top w:val="nil"/>
              <w:left w:val="nil"/>
              <w:bottom w:val="single" w:sz="4" w:space="0" w:color="auto"/>
              <w:right w:val="single" w:sz="4" w:space="0" w:color="auto"/>
            </w:tcBorders>
            <w:shd w:val="clear" w:color="auto" w:fill="auto"/>
            <w:vAlign w:val="center"/>
            <w:hideMark/>
          </w:tcPr>
          <w:p w14:paraId="2E175ABD"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OPERA trial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"10.1007/s00134-016-4594-y", "ISBN" : "0013401645", "ISSN" : "14321238", "PMID" : "27771739", "abstract" : "PURPOSE High-flow nasal cannula (HFNC) oxygen therapy is attracting increasing interest in acute medicine as an alternative to standard oxygen therapy; however, its use to prevent hypoxaemia after major abdominal surgery has not been evaluated. Our trial was designed to close this evidence gap. METHODS A multicentre randomised controlled trial was carried out at three university hospitals in France. Adult patients at moderate to high risk of postoperative pulmonary complications who had undergone major abdominal surgery using lung-protective ventilation were randomly assigned using a computer-generated sequence to receive either HFNC oxygen therapy or standard oxygen therapy (low-flow oxygen delivered via nasal prongs or facemask) directly after extubation. The primary endpoint was absolute risk reduction (ARR) for hypoxaemia at 1 h after extubation and after treatment discontinuation. Secondary outcomes included occurrence of postoperative pulmonary complications within 7 days after surgery, the duration of hospital stay, and in-hospital mortality. The analysis was performed on data from the modified intention-to-treat population. This trial was registered with ClinicalTrials.gov (NCT01887015). RESULTS Between 6 November 2013 and 1 March 2015, 220 patients were randomly assigned to receive either HFNC (n = 108) or standard oxygen therapy (n = 112); all of these patients completed follow-up. The median duration of the allocated treatment was 16 h (interquartile range 14-18 h) with standard oxygen therapy and 15 h (interquartile range 12-18) with HFNC therapy. Twenty-three (21 %) of the 108 patients treated with HFNC 1 h after extubation and 29 (27 %) of the 108 patients after treatment discontinuation had postextubation hypoxaemia, compared with 27 (24 %) and 34 (30 %) of the 112 patients treated with standard oxygen (ARR 4, 95 % CI -8 to 15 %; p = 0.57; adjusted relative risk [RR] 0.87, 95 % CI 0.53-1.43; p = 0.58). Over the 7-day postoperative follow-up period, there was no statistically significant difference between the groups in the proportion of patients who remained free of any pulmonary complication (ARR 7, 95 % CI -6 to 20 %; p = 0.40). Other secondary outcomes also did not differ significantly between the two groups. CONCLUSIONS Among patients undergoing major abdominal surgery, early preventive application of high-flow nasal cannula oxygen therapy after extubation did not result in improved pulmonary outcomes compared with standard oxygen the\u2026", "author" : [ { "dropping-particle" : "", "family" : "Futier", "given" : "Emmanuel", "non-dropping-particle" : "", "parse-names" : false, "suffix" : "" }, { "dropping-particle" : "", "family" : "Paugam-Burtz", "given" : "Catherine", "non-dropping-particle" : "", "parse-names" : false, "suffix" : "" }, { "dropping-particle" : "", "family" : "Godet", "given" : "Thomas", "non-dropping-particle" : "", "parse-names" : false, "suffix" : "" }, { "dropping-particle" : "", "family" : "Khoy-Ear", "given" : "Linda", "non-dropping-particle" : "", "parse-names" : false, "suffix" : "" }, { "dropping-particle" : "", "family" : "Rozencwajg", "given" : "Sacha", "non-dropping-particle" : "", "parse-names" : false, "suffix" : "" }, { "dropping-particle" : "", "family" : "Delay", "given" : "Jean Marc", "non-dropping-particle" : "", "parse-names" : false, "suffix" : "" }, { "dropping-particle" : "", "family" : "Verzilli", "given" : "Daniel", "non-dropping-particle" : "", "parse-names" : false, "suffix" : "" }, { "dropping-particle" : "", "family" : "Dupuis", "given" : "Jeremie", "non-dropping-particle" : "", "parse-names" : false, "suffix" : "" }, { "dropping-particle" : "", "family" : "Chanques", "given" : "Gerald", "non-dropping-particle" : "", "parse-names" : false, "suffix" : "" }, { "dropping-particle" : "", "family" : "Bazin", "given" : "Jean Etienne", "non-dropping-particle" : "", "parse-names" : false, "suffix" : "" }, { "dropping-particle" : "", "family" : "Constantin", "given" : "Jean Michel", "non-dropping-particle" : "", "parse-names" : false, "suffix" : "" }, { "dropping-particle" : "", "family" : "Pereira", "given" : "Bruno", "non-dropping-particle" : "", "parse-names" : false, "suffix" : "" }, { "dropping-particle" : "", "family" : "Jaber", "given" : "Samir", "non-dropping-particle" : "", "parse-names" : false, "suffix" : "" }, { "dropping-particle" : "", "family" : "OPERA study investigators", "given" : "", "non-dropping-particle" : "", "parse-names" : false, "suffix" : "" } ], "container-title" : "Intensive Care Medicine", "id" : "ITEM-1", "issue" : "12", "issued" : { "date-parts" : [ [ "2016" ] ] }, "page" : "1888-1898", "publisher" : "Springer Berlin Heidelberg", "title" : "Effect of early postextubation high-flow nasal cannula vs conventional oxygen therapy on hypoxaemia in patients after major abdominal surgery: a French multicentre randomised controlled trial (OPERA)", "type" : "article-journal", "volume" : "42" }, "uris" : [ "http://www.mendeley.com/documents/?uuid=9739c908-7a70-4ee0-b62b-404b21271a76" ] } ], "mendeley" : { "formattedCitation" : "&lt;sup&gt;86&lt;/sup&gt;", "plainTextFormattedCitation" : "86", "previouslyFormattedCitation" : "&lt;sup&gt;86&lt;/sup&gt;"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86</w:t>
            </w:r>
            <w:r w:rsidRPr="001A7492">
              <w:rPr>
                <w:rFonts w:eastAsia="Times New Roman"/>
                <w:color w:val="000000"/>
                <w:lang w:val="en-GB"/>
              </w:rPr>
              <w:fldChar w:fldCharType="end"/>
            </w:r>
          </w:p>
        </w:tc>
        <w:tc>
          <w:tcPr>
            <w:tcW w:w="2120" w:type="dxa"/>
            <w:tcBorders>
              <w:top w:val="nil"/>
              <w:left w:val="nil"/>
              <w:bottom w:val="single" w:sz="4" w:space="0" w:color="auto"/>
              <w:right w:val="single" w:sz="4" w:space="0" w:color="auto"/>
            </w:tcBorders>
            <w:shd w:val="clear" w:color="auto" w:fill="auto"/>
            <w:vAlign w:val="center"/>
            <w:hideMark/>
          </w:tcPr>
          <w:p w14:paraId="5100E132"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50-60 L/min</w:t>
            </w:r>
          </w:p>
        </w:tc>
        <w:tc>
          <w:tcPr>
            <w:tcW w:w="2268" w:type="dxa"/>
            <w:tcBorders>
              <w:top w:val="nil"/>
              <w:left w:val="nil"/>
              <w:bottom w:val="single" w:sz="4" w:space="0" w:color="auto"/>
              <w:right w:val="single" w:sz="4" w:space="0" w:color="auto"/>
            </w:tcBorders>
            <w:shd w:val="clear" w:color="auto" w:fill="auto"/>
            <w:noWrap/>
            <w:vAlign w:val="center"/>
            <w:hideMark/>
          </w:tcPr>
          <w:p w14:paraId="29CC2185" w14:textId="48B9F521"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8/108 (7</w:t>
            </w:r>
            <w:r w:rsidR="00B91FF3">
              <w:rPr>
                <w:rFonts w:eastAsia="Times New Roman"/>
                <w:color w:val="000000"/>
                <w:lang w:val="en-GB"/>
              </w:rPr>
              <w:t>.</w:t>
            </w:r>
            <w:r w:rsidRPr="001A7492">
              <w:rPr>
                <w:rFonts w:eastAsia="Times New Roman"/>
                <w:color w:val="000000"/>
                <w:lang w:val="en-GB"/>
              </w:rPr>
              <w:t>4%)</w:t>
            </w:r>
          </w:p>
        </w:tc>
      </w:tr>
      <w:tr w:rsidR="00406C81" w:rsidRPr="00A04E6A" w14:paraId="0026A908" w14:textId="77777777" w:rsidTr="00D9435B">
        <w:trPr>
          <w:trHeight w:val="955"/>
        </w:trPr>
        <w:tc>
          <w:tcPr>
            <w:tcW w:w="2083" w:type="dxa"/>
            <w:vMerge/>
            <w:tcBorders>
              <w:top w:val="nil"/>
              <w:left w:val="single" w:sz="4" w:space="0" w:color="auto"/>
              <w:bottom w:val="single" w:sz="4" w:space="0" w:color="auto"/>
              <w:right w:val="single" w:sz="4" w:space="0" w:color="auto"/>
            </w:tcBorders>
            <w:vAlign w:val="center"/>
            <w:hideMark/>
          </w:tcPr>
          <w:p w14:paraId="7340DB66" w14:textId="77777777" w:rsidR="00406C81" w:rsidRPr="001A7492" w:rsidRDefault="00406C81" w:rsidP="00D9435B">
            <w:pPr>
              <w:spacing w:line="276" w:lineRule="auto"/>
              <w:jc w:val="both"/>
              <w:rPr>
                <w:rFonts w:eastAsia="Times New Roman"/>
                <w:b/>
                <w:bCs/>
                <w:color w:val="000000"/>
                <w:lang w:val="en-GB"/>
              </w:rPr>
            </w:pPr>
          </w:p>
        </w:tc>
        <w:tc>
          <w:tcPr>
            <w:tcW w:w="2171" w:type="dxa"/>
            <w:tcBorders>
              <w:top w:val="nil"/>
              <w:left w:val="nil"/>
              <w:bottom w:val="single" w:sz="4" w:space="0" w:color="auto"/>
              <w:right w:val="single" w:sz="4" w:space="0" w:color="auto"/>
            </w:tcBorders>
            <w:shd w:val="clear" w:color="auto" w:fill="auto"/>
            <w:vAlign w:val="center"/>
            <w:hideMark/>
          </w:tcPr>
          <w:p w14:paraId="1A2DBE7C"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Hernandez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"10.1001/jama.2016.2711", "ISBN" : "0098-7484", "ISSN" : "1538-3598", "PMID" : "26975498", "abstract" : "IMPORTANCE Studies of mechanically ventilated critically ill patients that combine populations that are at high and low risk for reintubation suggest that conditioned high-flow nasal cannula oxygen therapy after extubation improves oxygenation compared with conventional oxygen therapy. However, conclusive data about reintubation are lacking. OBJECTIVE To determine whether high-flow nasal cannula oxygen therapy is superior to conventional oxygen therapy for preventing reintubation in mechanically ventilated patients at low risk for reintubation. DESIGN, SETTING, AND PARTICIPANTS Multicenter randomized clinical trial conducted between September 2012 and October 2014 in 7 intensive care units (ICUs) in Spain. Participants were 527 adult critical patients at low risk for reintubation who fulfilled criteria for planned extubation. Low risk for reintubation was defined as younger than 65 years; Acute Physiology and Chronic Health Evaluation II score less than 12 on day of extubation; body mass index less than 30; adequate secretions management; simple weaning; 0 or 1 comorbidity; and absence of heart failure, moderate-to-severe chronic obstructive pulmonary disease, airway patency problems, and prolonged mechanical ventilation. INTERVENTIONS Patients were randomized to undergo either high-flow or conventional oxygen therapy for 24 hours after extubation. MAIN OUTCOMES AND MEASURES The primary outcome was reintubation within 72 hours, compared with the Cochran-Mantel-Haenszel \u03c72 test. Secondary outcomes included postextubation respiratory failure, respiratory infection, sepsis and multiorgan failure, ICU and hospital length of stay and mortality, adverse events, and time to reintubation. RESULTS Of 527 patients (mean age, 51 years [range, 18-64]; 62% men), 264 received high-flow therapy and 263 conventional oxygen therapy. Reintubation within 72 hours was less common in the high-flow group (13 patients [4.9%] vs 32 [12.2%] in the conventional group; absolute difference, 7.2% [95% CI, 2.5% to 12.2%]; P = .004). Postextubation respiratory failure was less common in the high-flow group (22/264 patients [8.3%] vs 38/263 [14.4%] in the conventional group; absolute difference, 6.1% [95% CI, 0.7% to 11.6%]; P = .03). Time to reintubation was not significantly different between groups (19 hours [interquartile range, 12-28] in the high-flow group vs 15 hours [interquartile range, 9-31] in the conventional group; absolute difference, -4 [95% CI, -54 to 46]; P = .66]. No\u2026", "author" : [ { "dropping-particle" : "", "family" : "Hern\u00e1ndez", "given" : "Gonzalo", "non-dropping-particle" : "", "parse-names" : false, "suffix" : "" }, { "dropping-particle" : "", "family" : "Vaquero", "given" : "Concepci\u00f3n", "non-dropping-particle" : "", "parse-names" : false, "suffix" : "" }, { "dropping-particle" : "", "family" : "Gonz\u00e1lez", "given" : "Paloma", "non-dropping-particle" : "", "parse-names" : false, "suffix" : "" }, { "dropping-particle" : "", "family" : "Subira", "given" : "Carles", "non-dropping-particle" : "", "parse-names" : false, "suffix" : "" }, { "dropping-particle" : "", "family" : "Frutos-Vivar", "given" : "Fernando", "non-dropping-particle" : "", "parse-names" : false, "suffix" : "" }, { "dropping-particle" : "", "family" : "Rialp", "given" : "Gemma", "non-dropping-particle" : "", "parse-names" : false, "suffix" : "" }, { "dropping-particle" : "", "family" : "Laborda", "given" : "Cesar", "non-dropping-particle" : "", "parse-names" : false, "suffix" : "" }, { "dropping-particle" : "", "family" : "Colinas", "given" : "Laura", "non-dropping-particle" : "", "parse-names" : false, "suffix" : "" }, { "dropping-particle" : "", "family" : "Cuena", "given" : "Rafael", "non-dropping-particle" : "", "parse-names" : false, "suffix" : "" }, { "dropping-particle" : "", "family" : "Fern\u00e1ndez", "given" : "Rafael", "non-dropping-particle" : "", "parse-names" : false, "suffix" : "" } ], "container-title" : "Jama", "id" : "ITEM-1", "issue" : "13", "issued" : { "date-parts" : [ [ "2016" ] ] }, "page" : "1354-61", "title" : "Effect of Postextubation High-Flow Nasal Cannula vs Conventional Oxygen Therapy on Reintubation in Low-Risk Patients: A Randomized Clinical Trial.", "type" : "article-journal", "volume" : "315" }, "uris" : [ "http://www.mendeley.com/documents/?uuid=6faf6279-d5ba-41e9-8d02-c5ce139e382b" ] } ], "mendeley" : { "formattedCitation" : "&lt;sup&gt;7&lt;/sup&gt;", "plainTextFormattedCitation" : "7", "previouslyFormattedCitation" : "&lt;sup&gt;7&lt;/sup&gt;"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7</w:t>
            </w:r>
            <w:r w:rsidRPr="001A7492">
              <w:rPr>
                <w:rFonts w:eastAsia="Times New Roman"/>
                <w:color w:val="000000"/>
                <w:lang w:val="en-GB"/>
              </w:rPr>
              <w:fldChar w:fldCharType="end"/>
            </w:r>
          </w:p>
        </w:tc>
        <w:tc>
          <w:tcPr>
            <w:tcW w:w="2120" w:type="dxa"/>
            <w:tcBorders>
              <w:top w:val="nil"/>
              <w:left w:val="nil"/>
              <w:bottom w:val="single" w:sz="4" w:space="0" w:color="auto"/>
              <w:right w:val="single" w:sz="4" w:space="0" w:color="auto"/>
            </w:tcBorders>
            <w:shd w:val="clear" w:color="auto" w:fill="auto"/>
            <w:vAlign w:val="center"/>
            <w:hideMark/>
          </w:tcPr>
          <w:p w14:paraId="67F15A36"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from 10 L/min up then </w:t>
            </w:r>
            <w:proofErr w:type="spellStart"/>
            <w:r w:rsidRPr="001A7492">
              <w:rPr>
                <w:rFonts w:eastAsia="Times New Roman"/>
                <w:color w:val="000000"/>
                <w:lang w:val="en-GB"/>
              </w:rPr>
              <w:t>tritate</w:t>
            </w:r>
            <w:proofErr w:type="spellEnd"/>
            <w:r w:rsidRPr="001A7492">
              <w:rPr>
                <w:rFonts w:eastAsia="Times New Roman"/>
                <w:color w:val="000000"/>
                <w:lang w:val="en-GB"/>
              </w:rPr>
              <w:t xml:space="preserve"> to comfort</w:t>
            </w:r>
          </w:p>
        </w:tc>
        <w:tc>
          <w:tcPr>
            <w:tcW w:w="2268" w:type="dxa"/>
            <w:tcBorders>
              <w:top w:val="nil"/>
              <w:left w:val="nil"/>
              <w:bottom w:val="single" w:sz="4" w:space="0" w:color="auto"/>
              <w:right w:val="single" w:sz="4" w:space="0" w:color="auto"/>
            </w:tcBorders>
            <w:shd w:val="clear" w:color="auto" w:fill="auto"/>
            <w:noWrap/>
            <w:vAlign w:val="center"/>
            <w:hideMark/>
          </w:tcPr>
          <w:p w14:paraId="311EA82E"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0</w:t>
            </w:r>
          </w:p>
        </w:tc>
      </w:tr>
      <w:tr w:rsidR="00406C81" w:rsidRPr="00A04E6A" w14:paraId="0353C36A" w14:textId="77777777" w:rsidTr="00D9435B">
        <w:trPr>
          <w:trHeight w:val="955"/>
        </w:trPr>
        <w:tc>
          <w:tcPr>
            <w:tcW w:w="2083" w:type="dxa"/>
            <w:vMerge/>
            <w:tcBorders>
              <w:top w:val="nil"/>
              <w:left w:val="single" w:sz="4" w:space="0" w:color="auto"/>
              <w:bottom w:val="single" w:sz="4" w:space="0" w:color="auto"/>
              <w:right w:val="single" w:sz="4" w:space="0" w:color="auto"/>
            </w:tcBorders>
            <w:vAlign w:val="center"/>
            <w:hideMark/>
          </w:tcPr>
          <w:p w14:paraId="662F53D9" w14:textId="77777777" w:rsidR="00406C81" w:rsidRPr="001A7492" w:rsidRDefault="00406C81" w:rsidP="00D9435B">
            <w:pPr>
              <w:spacing w:line="276" w:lineRule="auto"/>
              <w:jc w:val="both"/>
              <w:rPr>
                <w:rFonts w:eastAsia="Times New Roman"/>
                <w:b/>
                <w:bCs/>
                <w:color w:val="000000"/>
                <w:lang w:val="en-GB"/>
              </w:rPr>
            </w:pPr>
          </w:p>
        </w:tc>
        <w:tc>
          <w:tcPr>
            <w:tcW w:w="2171" w:type="dxa"/>
            <w:tcBorders>
              <w:top w:val="nil"/>
              <w:left w:val="nil"/>
              <w:bottom w:val="single" w:sz="4" w:space="0" w:color="auto"/>
              <w:right w:val="single" w:sz="4" w:space="0" w:color="auto"/>
            </w:tcBorders>
            <w:shd w:val="clear" w:color="auto" w:fill="auto"/>
            <w:vAlign w:val="center"/>
            <w:hideMark/>
          </w:tcPr>
          <w:p w14:paraId="40B091A9"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Hernandez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"10.1001/jama.2016.2711", "ISBN" : "0098-7484", "ISSN" : "1538-3598", "PMID" : "26975498", "abstract" : "IMPORTANCE Studies of mechanically ventilated critically ill patients that combine populations that are at high and low risk for reintubation suggest that conditioned high-flow nasal cannula oxygen therapy after extubation improves oxygenation compared with conventional oxygen therapy. However, conclusive data about reintubation are lacking. OBJECTIVE To determine whether high-flow nasal cannula oxygen therapy is superior to conventional oxygen therapy for preventing reintubation in mechanically ventilated patients at low risk for reintubation. DESIGN, SETTING, AND PARTICIPANTS Multicenter randomized clinical trial conducted between September 2012 and October 2014 in 7 intensive care units (ICUs) in Spain. Participants were 527 adult critical patients at low risk for reintubation who fulfilled criteria for planned extubation. Low risk for reintubation was defined as younger than 65 years; Acute Physiology and Chronic Health Evaluation II score less than 12 on day of extubation; body mass index less than 30; adequate secretions management; simple weaning; 0 or 1 comorbidity; and absence of heart failure, moderate-to-severe chronic obstructive pulmonary disease, airway patency problems, and prolonged mechanical ventilation. INTERVENTIONS Patients were randomized to undergo either high-flow or conventional oxygen therapy for 24 hours after extubation. MAIN OUTCOMES AND MEASURES The primary outcome was reintubation within 72 hours, compared with the Cochran-Mantel-Haenszel \u03c72 test. Secondary outcomes included postextubation respiratory failure, respiratory infection, sepsis and multiorgan failure, ICU and hospital length of stay and mortality, adverse events, and time to reintubation. RESULTS Of 527 patients (mean age, 51 years [range, 18-64]; 62% men), 264 received high-flow therapy and 263 conventional oxygen therapy. Reintubation within 72 hours was less common in the high-flow group (13 patients [4.9%] vs 32 [12.2%] in the conventional group; absolute difference, 7.2% [95% CI, 2.5% to 12.2%]; P = .004). Postextubation respiratory failure was less common in the high-flow group (22/264 patients [8.3%] vs 38/263 [14.4%] in the conventional group; absolute difference, 6.1% [95% CI, 0.7% to 11.6%]; P = .03). Time to reintubation was not significantly different between groups (19 hours [interquartile range, 12-28] in the high-flow group vs 15 hours [interquartile range, 9-31] in the conventional group; absolute difference, -4 [95% CI, -54 to 46]; P = .66]. No\u2026", "author" : [ { "dropping-particle" : "", "family" : "Hern\u00e1ndez", "given" : "Gonzalo", "non-dropping-particle" : "", "parse-names" : false, "suffix" : "" }, { "dropping-particle" : "", "family" : "Vaquero", "given" : "Concepci\u00f3n", "non-dropping-particle" : "", "parse-names" : false, "suffix" : "" }, { "dropping-particle" : "", "family" : "Gonz\u00e1lez", "given" : "Paloma", "non-dropping-particle" : "", "parse-names" : false, "suffix" : "" }, { "dropping-particle" : "", "family" : "Subira", "given" : "Carles", "non-dropping-particle" : "", "parse-names" : false, "suffix" : "" }, { "dropping-particle" : "", "family" : "Frutos-Vivar", "given" : "Fernando", "non-dropping-particle" : "", "parse-names" : false, "suffix" : "" }, { "dropping-particle" : "", "family" : "Rialp", "given" : "Gemma", "non-dropping-particle" : "", "parse-names" : false, "suffix" : "" }, { "dropping-particle" : "", "family" : "Laborda", "given" : "Cesar", "non-dropping-particle" : "", "parse-names" : false, "suffix" : "" }, { "dropping-particle" : "", "family" : "Colinas", "given" : "Laura", "non-dropping-particle" : "", "parse-names" : false, "suffix" : "" }, { "dropping-particle" : "", "family" : "Cuena", "given" : "Rafael", "non-dropping-particle" : "", "parse-names" : false, "suffix" : "" }, { "dropping-particle" : "", "family" : "Fern\u00e1ndez", "given" : "Rafael", "non-dropping-particle" : "", "parse-names" : false, "suffix" : "" } ], "container-title" : "Jama", "id" : "ITEM-1", "issue" : "15", "issued" : { "date-parts" : [ [ "2016" ] ] }, "page" : "1565-1574", "title" : "Effect of Postextubation High-FlowNasal Cannula vs NoninvasiveVentilation on Reintubation and Postextubation Respiratory Failure in High-Risk Patients A Randomized Clinical Trial", "type" : "article-journal", "volume" : "316" }, "uris" : [ "http://www.mendeley.com/documents/?uuid=703dc3a5-62a0-43fd-9d97-9db77bc13625" ] } ], "mendeley" : { "formattedCitation" : "&lt;sup&gt;84&lt;/sup&gt;", "plainTextFormattedCitation" : "84", "previouslyFormattedCitation" : "&lt;sup&gt;84&lt;/sup&gt;"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84</w:t>
            </w:r>
            <w:r w:rsidRPr="001A7492">
              <w:rPr>
                <w:rFonts w:eastAsia="Times New Roman"/>
                <w:color w:val="000000"/>
                <w:lang w:val="en-GB"/>
              </w:rPr>
              <w:fldChar w:fldCharType="end"/>
            </w:r>
            <w:r w:rsidRPr="001A7492">
              <w:rPr>
                <w:rFonts w:eastAsia="Times New Roman"/>
                <w:color w:val="000000"/>
                <w:lang w:val="en-GB"/>
              </w:rPr>
              <w:t xml:space="preserve">  </w:t>
            </w:r>
          </w:p>
        </w:tc>
        <w:tc>
          <w:tcPr>
            <w:tcW w:w="2120" w:type="dxa"/>
            <w:tcBorders>
              <w:top w:val="nil"/>
              <w:left w:val="nil"/>
              <w:bottom w:val="single" w:sz="4" w:space="0" w:color="auto"/>
              <w:right w:val="single" w:sz="4" w:space="0" w:color="auto"/>
            </w:tcBorders>
            <w:shd w:val="clear" w:color="auto" w:fill="auto"/>
            <w:vAlign w:val="center"/>
            <w:hideMark/>
          </w:tcPr>
          <w:p w14:paraId="50D0E2D9"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from 10 L/min up then </w:t>
            </w:r>
            <w:proofErr w:type="spellStart"/>
            <w:r w:rsidRPr="001A7492">
              <w:rPr>
                <w:rFonts w:eastAsia="Times New Roman"/>
                <w:color w:val="000000"/>
                <w:lang w:val="en-GB"/>
              </w:rPr>
              <w:t>tritate</w:t>
            </w:r>
            <w:proofErr w:type="spellEnd"/>
            <w:r w:rsidRPr="001A7492">
              <w:rPr>
                <w:rFonts w:eastAsia="Times New Roman"/>
                <w:color w:val="000000"/>
                <w:lang w:val="en-GB"/>
              </w:rPr>
              <w:t xml:space="preserve"> to comfort</w:t>
            </w:r>
          </w:p>
        </w:tc>
        <w:tc>
          <w:tcPr>
            <w:tcW w:w="2268" w:type="dxa"/>
            <w:tcBorders>
              <w:top w:val="nil"/>
              <w:left w:val="nil"/>
              <w:bottom w:val="single" w:sz="4" w:space="0" w:color="auto"/>
              <w:right w:val="single" w:sz="4" w:space="0" w:color="auto"/>
            </w:tcBorders>
            <w:shd w:val="clear" w:color="auto" w:fill="auto"/>
            <w:noWrap/>
            <w:vAlign w:val="center"/>
            <w:hideMark/>
          </w:tcPr>
          <w:p w14:paraId="789B9298" w14:textId="2242D4CF"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2/290 (0</w:t>
            </w:r>
            <w:r w:rsidR="00B91FF3">
              <w:rPr>
                <w:rFonts w:eastAsia="Times New Roman"/>
                <w:color w:val="000000"/>
                <w:lang w:val="en-GB"/>
              </w:rPr>
              <w:t>.</w:t>
            </w:r>
            <w:r w:rsidRPr="001A7492">
              <w:rPr>
                <w:rFonts w:eastAsia="Times New Roman"/>
                <w:color w:val="000000"/>
                <w:lang w:val="en-GB"/>
              </w:rPr>
              <w:t>7%)</w:t>
            </w:r>
          </w:p>
        </w:tc>
      </w:tr>
      <w:tr w:rsidR="00406C81" w:rsidRPr="001A7492" w14:paraId="1EE642EC" w14:textId="77777777" w:rsidTr="00D9435B">
        <w:trPr>
          <w:trHeight w:val="955"/>
        </w:trPr>
        <w:tc>
          <w:tcPr>
            <w:tcW w:w="2083" w:type="dxa"/>
            <w:vMerge/>
            <w:tcBorders>
              <w:top w:val="nil"/>
              <w:left w:val="single" w:sz="4" w:space="0" w:color="auto"/>
              <w:bottom w:val="single" w:sz="4" w:space="0" w:color="auto"/>
              <w:right w:val="single" w:sz="4" w:space="0" w:color="auto"/>
            </w:tcBorders>
            <w:vAlign w:val="center"/>
            <w:hideMark/>
          </w:tcPr>
          <w:p w14:paraId="3F7C6617" w14:textId="77777777" w:rsidR="00406C81" w:rsidRPr="001A7492" w:rsidRDefault="00406C81" w:rsidP="00D9435B">
            <w:pPr>
              <w:spacing w:line="276" w:lineRule="auto"/>
              <w:jc w:val="both"/>
              <w:rPr>
                <w:rFonts w:eastAsia="Times New Roman"/>
                <w:b/>
                <w:bCs/>
                <w:color w:val="000000"/>
                <w:lang w:val="en-GB"/>
              </w:rPr>
            </w:pPr>
          </w:p>
        </w:tc>
        <w:tc>
          <w:tcPr>
            <w:tcW w:w="2171" w:type="dxa"/>
            <w:tcBorders>
              <w:top w:val="nil"/>
              <w:left w:val="nil"/>
              <w:bottom w:val="single" w:sz="4" w:space="0" w:color="auto"/>
              <w:right w:val="single" w:sz="4" w:space="0" w:color="auto"/>
            </w:tcBorders>
            <w:shd w:val="clear" w:color="auto" w:fill="auto"/>
            <w:vAlign w:val="center"/>
            <w:hideMark/>
          </w:tcPr>
          <w:p w14:paraId="22655D1F"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Hernandez et Al. </w:t>
            </w:r>
            <w:r w:rsidRPr="001A7492">
              <w:rPr>
                <w:rFonts w:eastAsia="Times New Roman"/>
                <w:color w:val="000000"/>
                <w:lang w:val="en-GB"/>
              </w:rPr>
              <w:fldChar w:fldCharType="begin" w:fldLock="1"/>
            </w:r>
            <w:r w:rsidRPr="001A7492">
              <w:rPr>
                <w:rFonts w:eastAsia="Times New Roman"/>
                <w:color w:val="000000"/>
                <w:lang w:val="en-GB"/>
              </w:rPr>
              <w:instrText>ADDIN CSL_CITATION { "citationItems" : [ { "id" : "ITEM-1", "itemData" : { "DOI" : "10.1186/s13613-017-0270-9", "ISSN" : "2110-5820", "PMID" : "28466461", "author" : [ { "dropping-particle" : "", "family" : "Fernandez", "given" : "Rafael", "non-dropping-particle" : "", "parse-names" : false, "suffix" : "" }, { "dropping-particle" : "", "family" : "Subira", "given" : "Carles", "non-dropping-particle" : "", "parse-names" : false, "suffix" : "" }, { "dropping-particle" : "", "family" : "Frutos-Vivar", "given" : "Fernando", "non-dropping-particle" : "", "parse-names" : false, "suffix" : "" }, { "dropping-particle" : "", "family" : "Rialp", "given" : "Gemma", "non-dropping-particle" : "", "parse-names" : false, "suffix" : "" }, { "dropping-particle" : "", "family" : "Laborda", "given" : "Cesar", "non-dropping-particle" : "", "parse-names" : false, "suffix" : "" }, { "dropping-particle" : "", "family" : "Masclans", "given" : "Joan Ramon", "non-dropping-particle" : "", "parse-names" : false, "suffix" : "" }, { "dropping-particle" : "", "family" : "Lesmes", "given" : "Amanda", "non-dropping-particle" : "", "parse-names" : false, "suffix" : "" }, { "dropping-particle" : "", "family" : "Panadero", "given" : "Luna", "non-dropping-particle" : "", "parse-names" : false, "suffix" : "" }, { "dropping-particle" : "", "family" : "Hernandez", "given" : "Gonzalo", "non-dropping-particle" : "", "parse-names" : false, "suffix" : "" } ], "container-title" : "Annals of Intensive Care", "id" : "ITEM-1", "issue" : "1", "issued" : { "date-parts" : [ [ "2017" ] ] }, "page" : "47", "title" : "High-flow nasal cannula to prevent postextubation respiratory failure in high-risk non-hypercapnic patients: a randomized multicenter trial", "type" : "article-journal", "volume" : "7" }, "uris" : [ "http://www.mendeley.com/documents/?uuid=d3c972cd-7136-49bd-895a-9cee16122a2d" ] } ], "mendeley" : { "formattedCitation" : "&lt;sup&gt;85&lt;/sup&gt;", "plainTextFormattedCitation" : "85", "previouslyFormattedCitation" : "&lt;sup&gt;85&lt;/sup&gt;" }, "properties" : { "noteIndex" : 0 }, "schema" : "https://github.com/citation-style-language/schema/raw/master/csl-citation.json" }</w:instrText>
            </w:r>
            <w:r w:rsidRPr="001A7492">
              <w:rPr>
                <w:rFonts w:eastAsia="Times New Roman"/>
                <w:color w:val="000000"/>
                <w:lang w:val="en-GB"/>
              </w:rPr>
              <w:fldChar w:fldCharType="separate"/>
            </w:r>
            <w:r w:rsidRPr="001A7492">
              <w:rPr>
                <w:rFonts w:eastAsia="Times New Roman"/>
                <w:noProof/>
                <w:color w:val="000000"/>
                <w:vertAlign w:val="superscript"/>
                <w:lang w:val="en-GB"/>
              </w:rPr>
              <w:t>85</w:t>
            </w:r>
            <w:r w:rsidRPr="001A7492">
              <w:rPr>
                <w:rFonts w:eastAsia="Times New Roman"/>
                <w:color w:val="000000"/>
                <w:lang w:val="en-GB"/>
              </w:rPr>
              <w:fldChar w:fldCharType="end"/>
            </w:r>
          </w:p>
        </w:tc>
        <w:tc>
          <w:tcPr>
            <w:tcW w:w="2120" w:type="dxa"/>
            <w:tcBorders>
              <w:top w:val="nil"/>
              <w:left w:val="nil"/>
              <w:bottom w:val="single" w:sz="4" w:space="0" w:color="auto"/>
              <w:right w:val="single" w:sz="4" w:space="0" w:color="auto"/>
            </w:tcBorders>
            <w:shd w:val="clear" w:color="auto" w:fill="auto"/>
            <w:vAlign w:val="center"/>
            <w:hideMark/>
          </w:tcPr>
          <w:p w14:paraId="25B233CC"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 xml:space="preserve">From 40 L/min up then </w:t>
            </w:r>
            <w:proofErr w:type="spellStart"/>
            <w:r w:rsidRPr="001A7492">
              <w:rPr>
                <w:rFonts w:eastAsia="Times New Roman"/>
                <w:color w:val="000000"/>
                <w:lang w:val="en-GB"/>
              </w:rPr>
              <w:t>tritate</w:t>
            </w:r>
            <w:proofErr w:type="spellEnd"/>
            <w:r w:rsidRPr="001A7492">
              <w:rPr>
                <w:rFonts w:eastAsia="Times New Roman"/>
                <w:color w:val="000000"/>
                <w:lang w:val="en-GB"/>
              </w:rPr>
              <w:t xml:space="preserve"> to comfort</w:t>
            </w:r>
          </w:p>
        </w:tc>
        <w:tc>
          <w:tcPr>
            <w:tcW w:w="2268" w:type="dxa"/>
            <w:tcBorders>
              <w:top w:val="nil"/>
              <w:left w:val="nil"/>
              <w:bottom w:val="single" w:sz="4" w:space="0" w:color="auto"/>
              <w:right w:val="single" w:sz="4" w:space="0" w:color="auto"/>
            </w:tcBorders>
            <w:shd w:val="clear" w:color="auto" w:fill="auto"/>
            <w:noWrap/>
            <w:vAlign w:val="center"/>
            <w:hideMark/>
          </w:tcPr>
          <w:p w14:paraId="4079E22A" w14:textId="77777777" w:rsidR="00406C81" w:rsidRPr="001A7492" w:rsidRDefault="00406C81" w:rsidP="00D9435B">
            <w:pPr>
              <w:spacing w:line="276" w:lineRule="auto"/>
              <w:jc w:val="both"/>
              <w:rPr>
                <w:rFonts w:eastAsia="Times New Roman"/>
                <w:color w:val="000000"/>
                <w:lang w:val="en-GB"/>
              </w:rPr>
            </w:pPr>
            <w:r w:rsidRPr="001A7492">
              <w:rPr>
                <w:rFonts w:eastAsia="Times New Roman"/>
                <w:color w:val="000000"/>
                <w:lang w:val="en-GB"/>
              </w:rPr>
              <w:t>no data</w:t>
            </w:r>
          </w:p>
        </w:tc>
      </w:tr>
    </w:tbl>
    <w:p w14:paraId="6FA9D8F0" w14:textId="77777777" w:rsidR="00EE0BFC" w:rsidRDefault="00EE0BFC" w:rsidP="00EE0BFC">
      <w:pPr>
        <w:rPr>
          <w:color w:val="000000"/>
          <w:sz w:val="28"/>
          <w:szCs w:val="28"/>
          <w:u w:val="single"/>
          <w:lang w:val="en-GB"/>
        </w:rPr>
      </w:pPr>
    </w:p>
    <w:p w14:paraId="1DDFA4EE" w14:textId="154D9EEC" w:rsidR="00406C81" w:rsidRDefault="00EE0BFC" w:rsidP="00406C81">
      <w:pPr>
        <w:spacing w:line="360" w:lineRule="auto"/>
        <w:rPr>
          <w:lang w:val="en-GB"/>
        </w:rPr>
      </w:pPr>
      <w:r w:rsidRPr="00812D70">
        <w:rPr>
          <w:rFonts w:eastAsia="Times New Roman"/>
          <w:noProof/>
        </w:rPr>
        <w:drawing>
          <wp:inline distT="0" distB="0" distL="0" distR="0" wp14:anchorId="7F260A8D" wp14:editId="716FB7F5">
            <wp:extent cx="5035550" cy="3559573"/>
            <wp:effectExtent l="0" t="0" r="0" b="3175"/>
            <wp:docPr id="9" name="Immagine 3"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3" descr="A close up of a piece of pap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35550" cy="3559573"/>
                    </a:xfrm>
                    <a:prstGeom prst="rect">
                      <a:avLst/>
                    </a:prstGeom>
                  </pic:spPr>
                </pic:pic>
              </a:graphicData>
            </a:graphic>
          </wp:inline>
        </w:drawing>
      </w:r>
    </w:p>
    <w:p w14:paraId="0A7C83B4" w14:textId="77777777" w:rsidR="00A04E6A" w:rsidRPr="006F3E13" w:rsidRDefault="00A04E6A" w:rsidP="00A04E6A">
      <w:pPr>
        <w:rPr>
          <w:lang w:val="en-GB"/>
        </w:rPr>
      </w:pPr>
      <w:r w:rsidRPr="003B13CD">
        <w:rPr>
          <w:b/>
          <w:bCs/>
          <w:color w:val="000000"/>
          <w:lang w:val="en-GB"/>
        </w:rPr>
        <w:t>Figure 1</w:t>
      </w:r>
      <w:r>
        <w:rPr>
          <w:color w:val="000000"/>
          <w:lang w:val="en-GB"/>
        </w:rPr>
        <w:t xml:space="preserve">: </w:t>
      </w:r>
      <w:r w:rsidRPr="006F3E13">
        <w:rPr>
          <w:lang w:val="en-GB"/>
        </w:rPr>
        <w:t>Visual analogue scale of comfort breathing</w:t>
      </w:r>
      <w:commentRangeStart w:id="1"/>
      <w:commentRangeEnd w:id="1"/>
      <w:r w:rsidRPr="006F3E13">
        <w:rPr>
          <w:rStyle w:val="CommentReference"/>
          <w:rFonts w:eastAsia="Arial"/>
          <w:sz w:val="24"/>
          <w:szCs w:val="24"/>
        </w:rPr>
        <w:commentReference w:id="1"/>
      </w:r>
    </w:p>
    <w:p w14:paraId="5DD68A17" w14:textId="77777777" w:rsidR="00A04E6A" w:rsidRPr="006F3E13" w:rsidRDefault="00A04E6A" w:rsidP="00406C81">
      <w:pPr>
        <w:spacing w:line="360" w:lineRule="auto"/>
        <w:rPr>
          <w:lang w:val="en-GB"/>
        </w:rPr>
      </w:pPr>
    </w:p>
    <w:p w14:paraId="26169F09" w14:textId="49B90F85" w:rsidR="00406C81" w:rsidRDefault="00A04E6A" w:rsidP="003F545B">
      <w:pPr>
        <w:rPr>
          <w:color w:val="000000"/>
          <w:sz w:val="28"/>
          <w:szCs w:val="28"/>
          <w:u w:val="single"/>
          <w:lang w:val="en-GB"/>
        </w:rPr>
      </w:pPr>
      <w:r w:rsidRPr="006F3E13">
        <w:rPr>
          <w:rFonts w:eastAsia="Arial"/>
          <w:noProof/>
          <w:color w:val="000000"/>
        </w:rPr>
        <w:lastRenderedPageBreak/>
        <w:drawing>
          <wp:anchor distT="0" distB="0" distL="114300" distR="114300" simplePos="0" relativeHeight="251668480" behindDoc="0" locked="0" layoutInCell="1" allowOverlap="1" wp14:anchorId="571134BE" wp14:editId="7941D080">
            <wp:simplePos x="0" y="0"/>
            <wp:positionH relativeFrom="column">
              <wp:posOffset>327438</wp:posOffset>
            </wp:positionH>
            <wp:positionV relativeFrom="paragraph">
              <wp:posOffset>0</wp:posOffset>
            </wp:positionV>
            <wp:extent cx="5029200" cy="7884160"/>
            <wp:effectExtent l="0" t="0" r="0" b="2540"/>
            <wp:wrapSquare wrapText="bothSides"/>
            <wp:docPr id="13" name="Diagramma 3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H relativeFrom="margin">
              <wp14:pctWidth>0</wp14:pctWidth>
            </wp14:sizeRelH>
            <wp14:sizeRelV relativeFrom="margin">
              <wp14:pctHeight>0</wp14:pctHeight>
            </wp14:sizeRelV>
          </wp:anchor>
        </w:drawing>
      </w:r>
    </w:p>
    <w:p w14:paraId="44D4FA28" w14:textId="77777777" w:rsidR="00406C81" w:rsidRDefault="00406C81" w:rsidP="003F545B">
      <w:pPr>
        <w:rPr>
          <w:color w:val="000000"/>
          <w:sz w:val="28"/>
          <w:szCs w:val="28"/>
          <w:u w:val="single"/>
          <w:lang w:val="en-GB"/>
        </w:rPr>
      </w:pPr>
    </w:p>
    <w:p w14:paraId="0BDC0408" w14:textId="77777777" w:rsidR="00406C81" w:rsidRDefault="00406C81" w:rsidP="003F545B">
      <w:pPr>
        <w:rPr>
          <w:color w:val="000000"/>
          <w:sz w:val="28"/>
          <w:szCs w:val="28"/>
          <w:u w:val="single"/>
          <w:lang w:val="en-GB"/>
        </w:rPr>
      </w:pPr>
    </w:p>
    <w:p w14:paraId="395E3A84" w14:textId="3372BFBF" w:rsidR="00406C81" w:rsidRDefault="00406C81" w:rsidP="003F545B">
      <w:pPr>
        <w:rPr>
          <w:color w:val="000000"/>
          <w:sz w:val="28"/>
          <w:szCs w:val="28"/>
          <w:u w:val="single"/>
          <w:lang w:val="en-GB"/>
        </w:rPr>
      </w:pPr>
    </w:p>
    <w:p w14:paraId="2FBF0429" w14:textId="77777777" w:rsidR="00406C81" w:rsidRDefault="00406C81" w:rsidP="003F545B">
      <w:pPr>
        <w:rPr>
          <w:color w:val="000000"/>
          <w:sz w:val="28"/>
          <w:szCs w:val="28"/>
          <w:u w:val="single"/>
          <w:lang w:val="en-GB"/>
        </w:rPr>
      </w:pPr>
    </w:p>
    <w:p w14:paraId="4063F6F9" w14:textId="77777777" w:rsidR="00406C81" w:rsidRDefault="00406C81" w:rsidP="003F545B">
      <w:pPr>
        <w:rPr>
          <w:color w:val="000000"/>
          <w:sz w:val="28"/>
          <w:szCs w:val="28"/>
          <w:u w:val="single"/>
          <w:lang w:val="en-GB"/>
        </w:rPr>
      </w:pPr>
    </w:p>
    <w:p w14:paraId="507D01C0" w14:textId="77777777" w:rsidR="00406C81" w:rsidRDefault="00406C81" w:rsidP="003F545B">
      <w:pPr>
        <w:rPr>
          <w:color w:val="000000"/>
          <w:sz w:val="28"/>
          <w:szCs w:val="28"/>
          <w:u w:val="single"/>
          <w:lang w:val="en-GB"/>
        </w:rPr>
      </w:pPr>
    </w:p>
    <w:p w14:paraId="635CEBE7" w14:textId="77777777" w:rsidR="00406C81" w:rsidRDefault="00406C81" w:rsidP="003F545B">
      <w:pPr>
        <w:rPr>
          <w:color w:val="000000"/>
          <w:sz w:val="28"/>
          <w:szCs w:val="28"/>
          <w:u w:val="single"/>
          <w:lang w:val="en-GB"/>
        </w:rPr>
      </w:pPr>
    </w:p>
    <w:p w14:paraId="7C823FBF" w14:textId="77777777" w:rsidR="00406C81" w:rsidRDefault="00406C81" w:rsidP="003F545B">
      <w:pPr>
        <w:rPr>
          <w:color w:val="000000"/>
          <w:sz w:val="28"/>
          <w:szCs w:val="28"/>
          <w:u w:val="single"/>
          <w:lang w:val="en-GB"/>
        </w:rPr>
      </w:pPr>
    </w:p>
    <w:p w14:paraId="0F445367" w14:textId="77777777" w:rsidR="00406C81" w:rsidRDefault="00406C81" w:rsidP="003F545B">
      <w:pPr>
        <w:rPr>
          <w:color w:val="000000"/>
          <w:sz w:val="28"/>
          <w:szCs w:val="28"/>
          <w:u w:val="single"/>
          <w:lang w:val="en-GB"/>
        </w:rPr>
      </w:pPr>
    </w:p>
    <w:p w14:paraId="7EA72D9B" w14:textId="77777777" w:rsidR="00406C81" w:rsidRDefault="00406C81" w:rsidP="003F545B">
      <w:pPr>
        <w:rPr>
          <w:color w:val="000000"/>
          <w:sz w:val="28"/>
          <w:szCs w:val="28"/>
          <w:u w:val="single"/>
          <w:lang w:val="en-GB"/>
        </w:rPr>
      </w:pPr>
    </w:p>
    <w:p w14:paraId="496C2E3C" w14:textId="77777777" w:rsidR="00406C81" w:rsidRDefault="00406C81" w:rsidP="003F545B">
      <w:pPr>
        <w:rPr>
          <w:color w:val="000000"/>
          <w:sz w:val="28"/>
          <w:szCs w:val="28"/>
          <w:u w:val="single"/>
          <w:lang w:val="en-GB"/>
        </w:rPr>
      </w:pPr>
    </w:p>
    <w:p w14:paraId="05E477E4" w14:textId="77777777" w:rsidR="00406C81" w:rsidRDefault="00406C81" w:rsidP="003F545B">
      <w:pPr>
        <w:rPr>
          <w:color w:val="000000"/>
          <w:sz w:val="28"/>
          <w:szCs w:val="28"/>
          <w:u w:val="single"/>
          <w:lang w:val="en-GB"/>
        </w:rPr>
      </w:pPr>
    </w:p>
    <w:p w14:paraId="053E57CA" w14:textId="77777777" w:rsidR="00406C81" w:rsidRDefault="00406C81" w:rsidP="003F545B">
      <w:pPr>
        <w:rPr>
          <w:color w:val="000000"/>
          <w:sz w:val="28"/>
          <w:szCs w:val="28"/>
          <w:u w:val="single"/>
          <w:lang w:val="en-GB"/>
        </w:rPr>
      </w:pPr>
    </w:p>
    <w:p w14:paraId="65AAC8E8" w14:textId="77777777" w:rsidR="00406C81" w:rsidRDefault="00406C81" w:rsidP="003F545B">
      <w:pPr>
        <w:rPr>
          <w:color w:val="000000"/>
          <w:sz w:val="28"/>
          <w:szCs w:val="28"/>
          <w:u w:val="single"/>
          <w:lang w:val="en-GB"/>
        </w:rPr>
      </w:pPr>
    </w:p>
    <w:p w14:paraId="1C78BEC2" w14:textId="77777777" w:rsidR="00406C81" w:rsidRDefault="00406C81" w:rsidP="003F545B">
      <w:pPr>
        <w:rPr>
          <w:color w:val="000000"/>
          <w:sz w:val="28"/>
          <w:szCs w:val="28"/>
          <w:u w:val="single"/>
          <w:lang w:val="en-GB"/>
        </w:rPr>
      </w:pPr>
    </w:p>
    <w:p w14:paraId="6F27B05E" w14:textId="77777777" w:rsidR="00406C81" w:rsidRDefault="00406C81" w:rsidP="003F545B">
      <w:pPr>
        <w:rPr>
          <w:color w:val="000000"/>
          <w:sz w:val="28"/>
          <w:szCs w:val="28"/>
          <w:u w:val="single"/>
          <w:lang w:val="en-GB"/>
        </w:rPr>
      </w:pPr>
    </w:p>
    <w:p w14:paraId="5BD2E1ED" w14:textId="77777777" w:rsidR="00406C81" w:rsidRDefault="00406C81" w:rsidP="003F545B">
      <w:pPr>
        <w:rPr>
          <w:color w:val="000000"/>
          <w:sz w:val="28"/>
          <w:szCs w:val="28"/>
          <w:u w:val="single"/>
          <w:lang w:val="en-GB"/>
        </w:rPr>
      </w:pPr>
    </w:p>
    <w:p w14:paraId="54BE32A3" w14:textId="77777777" w:rsidR="00406C81" w:rsidRDefault="00406C81" w:rsidP="003F545B">
      <w:pPr>
        <w:rPr>
          <w:color w:val="000000"/>
          <w:sz w:val="28"/>
          <w:szCs w:val="28"/>
          <w:u w:val="single"/>
          <w:lang w:val="en-GB"/>
        </w:rPr>
      </w:pPr>
    </w:p>
    <w:p w14:paraId="45B8B159" w14:textId="77777777" w:rsidR="00406C81" w:rsidRDefault="00406C81" w:rsidP="003F545B">
      <w:pPr>
        <w:rPr>
          <w:color w:val="000000"/>
          <w:sz w:val="28"/>
          <w:szCs w:val="28"/>
          <w:u w:val="single"/>
          <w:lang w:val="en-GB"/>
        </w:rPr>
      </w:pPr>
    </w:p>
    <w:p w14:paraId="7EE26D17" w14:textId="77777777" w:rsidR="00406C81" w:rsidRDefault="00406C81" w:rsidP="003F545B">
      <w:pPr>
        <w:rPr>
          <w:color w:val="000000"/>
          <w:sz w:val="28"/>
          <w:szCs w:val="28"/>
          <w:u w:val="single"/>
          <w:lang w:val="en-GB"/>
        </w:rPr>
      </w:pPr>
    </w:p>
    <w:p w14:paraId="0067862F" w14:textId="77777777" w:rsidR="00406C81" w:rsidRDefault="00406C81" w:rsidP="003F545B">
      <w:pPr>
        <w:rPr>
          <w:color w:val="000000"/>
          <w:sz w:val="28"/>
          <w:szCs w:val="28"/>
          <w:u w:val="single"/>
          <w:lang w:val="en-GB"/>
        </w:rPr>
      </w:pPr>
    </w:p>
    <w:p w14:paraId="16E963B8" w14:textId="77777777" w:rsidR="00406C81" w:rsidRDefault="00406C81" w:rsidP="003F545B">
      <w:pPr>
        <w:rPr>
          <w:color w:val="000000"/>
          <w:sz w:val="28"/>
          <w:szCs w:val="28"/>
          <w:u w:val="single"/>
          <w:lang w:val="en-GB"/>
        </w:rPr>
      </w:pPr>
    </w:p>
    <w:p w14:paraId="1F3CF8E1" w14:textId="77777777" w:rsidR="00406C81" w:rsidRDefault="00406C81" w:rsidP="003F545B">
      <w:pPr>
        <w:rPr>
          <w:color w:val="000000"/>
          <w:sz w:val="28"/>
          <w:szCs w:val="28"/>
          <w:u w:val="single"/>
          <w:lang w:val="en-GB"/>
        </w:rPr>
      </w:pPr>
    </w:p>
    <w:p w14:paraId="75511288" w14:textId="77777777" w:rsidR="00406C81" w:rsidRDefault="00406C81" w:rsidP="003F545B">
      <w:pPr>
        <w:rPr>
          <w:color w:val="000000"/>
          <w:sz w:val="28"/>
          <w:szCs w:val="28"/>
          <w:u w:val="single"/>
          <w:lang w:val="en-GB"/>
        </w:rPr>
      </w:pPr>
    </w:p>
    <w:p w14:paraId="4DDE10ED" w14:textId="77777777" w:rsidR="00406C81" w:rsidRDefault="00406C81" w:rsidP="003F545B">
      <w:pPr>
        <w:rPr>
          <w:color w:val="000000"/>
          <w:sz w:val="28"/>
          <w:szCs w:val="28"/>
          <w:u w:val="single"/>
          <w:lang w:val="en-GB"/>
        </w:rPr>
      </w:pPr>
    </w:p>
    <w:p w14:paraId="323ED962" w14:textId="77777777" w:rsidR="00406C81" w:rsidRDefault="00406C81" w:rsidP="003F545B">
      <w:pPr>
        <w:rPr>
          <w:color w:val="000000"/>
          <w:sz w:val="28"/>
          <w:szCs w:val="28"/>
          <w:u w:val="single"/>
          <w:lang w:val="en-GB"/>
        </w:rPr>
      </w:pPr>
    </w:p>
    <w:p w14:paraId="475BB0C1" w14:textId="77777777" w:rsidR="00406C81" w:rsidRDefault="00406C81" w:rsidP="003F545B">
      <w:pPr>
        <w:rPr>
          <w:color w:val="000000"/>
          <w:sz w:val="28"/>
          <w:szCs w:val="28"/>
          <w:u w:val="single"/>
          <w:lang w:val="en-GB"/>
        </w:rPr>
      </w:pPr>
    </w:p>
    <w:p w14:paraId="33F689E9" w14:textId="77777777" w:rsidR="00406C81" w:rsidRDefault="00406C81" w:rsidP="003F545B">
      <w:pPr>
        <w:rPr>
          <w:color w:val="000000"/>
          <w:sz w:val="28"/>
          <w:szCs w:val="28"/>
          <w:u w:val="single"/>
          <w:lang w:val="en-GB"/>
        </w:rPr>
      </w:pPr>
    </w:p>
    <w:p w14:paraId="16376F07" w14:textId="77777777" w:rsidR="00406C81" w:rsidRDefault="00406C81" w:rsidP="003F545B">
      <w:pPr>
        <w:rPr>
          <w:color w:val="000000"/>
          <w:sz w:val="28"/>
          <w:szCs w:val="28"/>
          <w:u w:val="single"/>
          <w:lang w:val="en-GB"/>
        </w:rPr>
      </w:pPr>
    </w:p>
    <w:p w14:paraId="2AD443AB" w14:textId="77777777" w:rsidR="00406C81" w:rsidRDefault="00406C81" w:rsidP="003F545B">
      <w:pPr>
        <w:rPr>
          <w:color w:val="000000"/>
          <w:sz w:val="28"/>
          <w:szCs w:val="28"/>
          <w:u w:val="single"/>
          <w:lang w:val="en-GB"/>
        </w:rPr>
      </w:pPr>
    </w:p>
    <w:p w14:paraId="7F7DF357" w14:textId="77777777" w:rsidR="00406C81" w:rsidRDefault="00406C81" w:rsidP="003F545B">
      <w:pPr>
        <w:rPr>
          <w:color w:val="000000"/>
          <w:sz w:val="28"/>
          <w:szCs w:val="28"/>
          <w:u w:val="single"/>
          <w:lang w:val="en-GB"/>
        </w:rPr>
      </w:pPr>
    </w:p>
    <w:p w14:paraId="56D6523D" w14:textId="77777777" w:rsidR="00406C81" w:rsidRDefault="00406C81" w:rsidP="003F545B">
      <w:pPr>
        <w:rPr>
          <w:color w:val="000000"/>
          <w:sz w:val="28"/>
          <w:szCs w:val="28"/>
          <w:u w:val="single"/>
          <w:lang w:val="en-GB"/>
        </w:rPr>
      </w:pPr>
    </w:p>
    <w:p w14:paraId="352706B3" w14:textId="0C962439" w:rsidR="003F545B" w:rsidRPr="006F3E13" w:rsidRDefault="003F545B" w:rsidP="003F545B">
      <w:pPr>
        <w:pStyle w:val="NormalWeb"/>
        <w:tabs>
          <w:tab w:val="left" w:pos="993"/>
        </w:tabs>
        <w:spacing w:before="0" w:beforeAutospacing="0" w:after="0" w:afterAutospacing="0" w:line="360" w:lineRule="auto"/>
        <w:outlineLvl w:val="1"/>
        <w:rPr>
          <w:color w:val="000000"/>
          <w:u w:val="single"/>
          <w:lang w:val="en-GB"/>
        </w:rPr>
      </w:pPr>
    </w:p>
    <w:bookmarkEnd w:id="0"/>
    <w:p w14:paraId="303D631D" w14:textId="6486BC1B" w:rsidR="008B6C42" w:rsidRDefault="008B6C42" w:rsidP="00FE4D87">
      <w:pPr>
        <w:widowControl w:val="0"/>
        <w:autoSpaceDE w:val="0"/>
        <w:autoSpaceDN w:val="0"/>
        <w:adjustRightInd w:val="0"/>
        <w:spacing w:line="360" w:lineRule="auto"/>
        <w:rPr>
          <w:lang w:val="en-GB"/>
        </w:rPr>
      </w:pPr>
    </w:p>
    <w:p w14:paraId="1FEB40A3" w14:textId="1F1B651D" w:rsidR="00A04E6A" w:rsidRDefault="00A04E6A" w:rsidP="00FE4D87">
      <w:pPr>
        <w:widowControl w:val="0"/>
        <w:autoSpaceDE w:val="0"/>
        <w:autoSpaceDN w:val="0"/>
        <w:adjustRightInd w:val="0"/>
        <w:spacing w:line="360" w:lineRule="auto"/>
        <w:rPr>
          <w:lang w:val="en-GB"/>
        </w:rPr>
      </w:pPr>
    </w:p>
    <w:p w14:paraId="7902D057" w14:textId="7BFF8C64" w:rsidR="00A04E6A" w:rsidRDefault="00A04E6A" w:rsidP="00FE4D87">
      <w:pPr>
        <w:widowControl w:val="0"/>
        <w:autoSpaceDE w:val="0"/>
        <w:autoSpaceDN w:val="0"/>
        <w:adjustRightInd w:val="0"/>
        <w:spacing w:line="360" w:lineRule="auto"/>
        <w:rPr>
          <w:lang w:val="en-GB"/>
        </w:rPr>
      </w:pPr>
    </w:p>
    <w:p w14:paraId="1D98C039" w14:textId="0812FC8A" w:rsidR="00A04E6A" w:rsidRDefault="00A04E6A" w:rsidP="00FE4D87">
      <w:pPr>
        <w:widowControl w:val="0"/>
        <w:autoSpaceDE w:val="0"/>
        <w:autoSpaceDN w:val="0"/>
        <w:adjustRightInd w:val="0"/>
        <w:spacing w:line="360" w:lineRule="auto"/>
        <w:rPr>
          <w:lang w:val="en-GB"/>
        </w:rPr>
      </w:pPr>
    </w:p>
    <w:p w14:paraId="43C40A93" w14:textId="5B952A85" w:rsidR="00A04E6A" w:rsidRPr="0011535F" w:rsidRDefault="00A04E6A" w:rsidP="00A04E6A">
      <w:pPr>
        <w:widowControl w:val="0"/>
        <w:autoSpaceDE w:val="0"/>
        <w:autoSpaceDN w:val="0"/>
        <w:adjustRightInd w:val="0"/>
        <w:spacing w:line="360" w:lineRule="auto"/>
        <w:rPr>
          <w:lang w:val="en-GB"/>
        </w:rPr>
      </w:pPr>
      <w:r w:rsidRPr="006F3E13">
        <w:rPr>
          <w:noProof/>
          <w:color w:val="000000"/>
          <w:lang w:val="en-GB" w:eastAsia="en-GB"/>
        </w:rPr>
        <w:t xml:space="preserve">Figure </w:t>
      </w:r>
      <w:r>
        <w:rPr>
          <w:noProof/>
          <w:color w:val="000000"/>
          <w:lang w:val="en-GB" w:eastAsia="en-GB"/>
        </w:rPr>
        <w:t>2</w:t>
      </w:r>
      <w:r>
        <w:rPr>
          <w:color w:val="000000"/>
          <w:lang w:val="en-GB"/>
        </w:rPr>
        <w:t xml:space="preserve">: </w:t>
      </w:r>
      <w:r w:rsidRPr="006F3E13">
        <w:rPr>
          <w:color w:val="000000"/>
          <w:lang w:val="en-GB"/>
        </w:rPr>
        <w:t>Study Flow chart</w:t>
      </w:r>
      <w:r>
        <w:rPr>
          <w:color w:val="000000"/>
          <w:lang w:val="en-GB"/>
        </w:rPr>
        <w:t xml:space="preserve">. SBT, spontaneous breathing trial; PEEP, positive end-expiratory pressure; PS, pressure support; Vt, tidal volume; </w:t>
      </w:r>
      <w:proofErr w:type="spellStart"/>
      <w:r>
        <w:rPr>
          <w:color w:val="000000"/>
          <w:lang w:val="en-GB"/>
        </w:rPr>
        <w:t>Ti</w:t>
      </w:r>
      <w:proofErr w:type="spellEnd"/>
      <w:r>
        <w:rPr>
          <w:color w:val="000000"/>
          <w:lang w:val="en-GB"/>
        </w:rPr>
        <w:t xml:space="preserve">, inspiratory time; P0.1, airway pressure at 0.1 second of inspiration; VAS, visual analogue scare; HFNC, high-flow nasal </w:t>
      </w:r>
      <w:proofErr w:type="spellStart"/>
      <w:r>
        <w:rPr>
          <w:color w:val="000000"/>
          <w:lang w:val="en-GB"/>
        </w:rPr>
        <w:t>cannulae</w:t>
      </w:r>
      <w:proofErr w:type="spellEnd"/>
      <w:r>
        <w:rPr>
          <w:color w:val="000000"/>
          <w:lang w:val="en-GB"/>
        </w:rPr>
        <w:t>.</w:t>
      </w:r>
    </w:p>
    <w:sectPr w:rsidR="00A04E6A" w:rsidRPr="0011535F" w:rsidSect="0084087C">
      <w:footerReference w:type="even" r:id="rId18"/>
      <w:footerReference w:type="default" r:id="rId19"/>
      <w:pgSz w:w="11900" w:h="16840"/>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1" w:author="Luigi Camporota" w:date="2018-12-05T10:13:00Z" w:initials="LC">
    <w:p w14:paraId="65D540B8" w14:textId="77777777" w:rsidR="00A04E6A" w:rsidRDefault="00A04E6A" w:rsidP="00A04E6A">
      <w:pPr>
        <w:pStyle w:val="CommentText"/>
      </w:pPr>
      <w:r>
        <w:rPr>
          <w:rStyle w:val="CommentReference"/>
        </w:rPr>
        <w:annotationRef/>
      </w:r>
      <w:r>
        <w:t>online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5D540B8"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5D540B8" w16cid:durableId="22E2951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1687E7" w14:textId="77777777" w:rsidR="00560470" w:rsidRDefault="00560470" w:rsidP="009A66CF">
      <w:r>
        <w:separator/>
      </w:r>
    </w:p>
  </w:endnote>
  <w:endnote w:type="continuationSeparator" w:id="0">
    <w:p w14:paraId="307566BE" w14:textId="77777777" w:rsidR="00560470" w:rsidRDefault="00560470" w:rsidP="009A66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03583A" w14:textId="77777777" w:rsidR="00D6157C" w:rsidRDefault="00D6157C" w:rsidP="002C1D0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E6882F" w14:textId="77777777" w:rsidR="00D6157C" w:rsidRDefault="00D6157C" w:rsidP="007B7D0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35DAC9" w14:textId="77777777" w:rsidR="00D6157C" w:rsidRDefault="00D6157C" w:rsidP="002C1D0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7398E">
      <w:rPr>
        <w:rStyle w:val="PageNumber"/>
        <w:noProof/>
      </w:rPr>
      <w:t>7</w:t>
    </w:r>
    <w:r>
      <w:rPr>
        <w:rStyle w:val="PageNumber"/>
      </w:rPr>
      <w:fldChar w:fldCharType="end"/>
    </w:r>
  </w:p>
  <w:p w14:paraId="51532817" w14:textId="77777777" w:rsidR="00D6157C" w:rsidRDefault="00D6157C" w:rsidP="007B7D0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47E41F" w14:textId="77777777" w:rsidR="00560470" w:rsidRDefault="00560470" w:rsidP="009A66CF">
      <w:r>
        <w:separator/>
      </w:r>
    </w:p>
  </w:footnote>
  <w:footnote w:type="continuationSeparator" w:id="0">
    <w:p w14:paraId="09F9C57F" w14:textId="77777777" w:rsidR="00560470" w:rsidRDefault="00560470" w:rsidP="009A66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44D5D"/>
    <w:multiLevelType w:val="hybridMultilevel"/>
    <w:tmpl w:val="4702AFB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B30617A"/>
    <w:multiLevelType w:val="hybridMultilevel"/>
    <w:tmpl w:val="992802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C0831DE"/>
    <w:multiLevelType w:val="multilevel"/>
    <w:tmpl w:val="B2E6D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E56DFA"/>
    <w:multiLevelType w:val="hybridMultilevel"/>
    <w:tmpl w:val="E28494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3611A34"/>
    <w:multiLevelType w:val="hybridMultilevel"/>
    <w:tmpl w:val="ECF89E46"/>
    <w:lvl w:ilvl="0" w:tplc="E5D01F66">
      <w:start w:val="12"/>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45F3B0E"/>
    <w:multiLevelType w:val="multilevel"/>
    <w:tmpl w:val="BA8868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B622D6"/>
    <w:multiLevelType w:val="hybridMultilevel"/>
    <w:tmpl w:val="28A0EA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2B117FE"/>
    <w:multiLevelType w:val="hybridMultilevel"/>
    <w:tmpl w:val="BA62F158"/>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3483B5C"/>
    <w:multiLevelType w:val="hybridMultilevel"/>
    <w:tmpl w:val="BA62F158"/>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29AA20CE"/>
    <w:multiLevelType w:val="hybridMultilevel"/>
    <w:tmpl w:val="56F8C1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FC3035"/>
    <w:multiLevelType w:val="hybridMultilevel"/>
    <w:tmpl w:val="A86816C6"/>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176DC2"/>
    <w:multiLevelType w:val="hybridMultilevel"/>
    <w:tmpl w:val="C0865FBC"/>
    <w:lvl w:ilvl="0" w:tplc="6AD61706">
      <w:start w:val="12"/>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8AA16FF"/>
    <w:multiLevelType w:val="hybridMultilevel"/>
    <w:tmpl w:val="D53C13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426F593A"/>
    <w:multiLevelType w:val="hybridMultilevel"/>
    <w:tmpl w:val="934E948A"/>
    <w:lvl w:ilvl="0" w:tplc="18DAE22E">
      <w:start w:val="12"/>
      <w:numFmt w:val="bullet"/>
      <w:lvlText w:val="-"/>
      <w:lvlJc w:val="left"/>
      <w:pPr>
        <w:ind w:left="480" w:hanging="360"/>
      </w:pPr>
      <w:rPr>
        <w:rFonts w:ascii="Times New Roman" w:eastAsiaTheme="minorHAnsi" w:hAnsi="Times New Roman" w:cs="Times New Roman" w:hint="default"/>
      </w:rPr>
    </w:lvl>
    <w:lvl w:ilvl="1" w:tplc="04100003" w:tentative="1">
      <w:start w:val="1"/>
      <w:numFmt w:val="bullet"/>
      <w:lvlText w:val="o"/>
      <w:lvlJc w:val="left"/>
      <w:pPr>
        <w:ind w:left="1200" w:hanging="360"/>
      </w:pPr>
      <w:rPr>
        <w:rFonts w:ascii="Courier New" w:hAnsi="Courier New" w:cs="Courier New" w:hint="default"/>
      </w:rPr>
    </w:lvl>
    <w:lvl w:ilvl="2" w:tplc="04100005" w:tentative="1">
      <w:start w:val="1"/>
      <w:numFmt w:val="bullet"/>
      <w:lvlText w:val=""/>
      <w:lvlJc w:val="left"/>
      <w:pPr>
        <w:ind w:left="1920" w:hanging="360"/>
      </w:pPr>
      <w:rPr>
        <w:rFonts w:ascii="Wingdings" w:hAnsi="Wingdings" w:hint="default"/>
      </w:rPr>
    </w:lvl>
    <w:lvl w:ilvl="3" w:tplc="04100001" w:tentative="1">
      <w:start w:val="1"/>
      <w:numFmt w:val="bullet"/>
      <w:lvlText w:val=""/>
      <w:lvlJc w:val="left"/>
      <w:pPr>
        <w:ind w:left="2640" w:hanging="360"/>
      </w:pPr>
      <w:rPr>
        <w:rFonts w:ascii="Symbol" w:hAnsi="Symbol" w:hint="default"/>
      </w:rPr>
    </w:lvl>
    <w:lvl w:ilvl="4" w:tplc="04100003" w:tentative="1">
      <w:start w:val="1"/>
      <w:numFmt w:val="bullet"/>
      <w:lvlText w:val="o"/>
      <w:lvlJc w:val="left"/>
      <w:pPr>
        <w:ind w:left="3360" w:hanging="360"/>
      </w:pPr>
      <w:rPr>
        <w:rFonts w:ascii="Courier New" w:hAnsi="Courier New" w:cs="Courier New" w:hint="default"/>
      </w:rPr>
    </w:lvl>
    <w:lvl w:ilvl="5" w:tplc="04100005" w:tentative="1">
      <w:start w:val="1"/>
      <w:numFmt w:val="bullet"/>
      <w:lvlText w:val=""/>
      <w:lvlJc w:val="left"/>
      <w:pPr>
        <w:ind w:left="4080" w:hanging="360"/>
      </w:pPr>
      <w:rPr>
        <w:rFonts w:ascii="Wingdings" w:hAnsi="Wingdings" w:hint="default"/>
      </w:rPr>
    </w:lvl>
    <w:lvl w:ilvl="6" w:tplc="04100001" w:tentative="1">
      <w:start w:val="1"/>
      <w:numFmt w:val="bullet"/>
      <w:lvlText w:val=""/>
      <w:lvlJc w:val="left"/>
      <w:pPr>
        <w:ind w:left="4800" w:hanging="360"/>
      </w:pPr>
      <w:rPr>
        <w:rFonts w:ascii="Symbol" w:hAnsi="Symbol" w:hint="default"/>
      </w:rPr>
    </w:lvl>
    <w:lvl w:ilvl="7" w:tplc="04100003" w:tentative="1">
      <w:start w:val="1"/>
      <w:numFmt w:val="bullet"/>
      <w:lvlText w:val="o"/>
      <w:lvlJc w:val="left"/>
      <w:pPr>
        <w:ind w:left="5520" w:hanging="360"/>
      </w:pPr>
      <w:rPr>
        <w:rFonts w:ascii="Courier New" w:hAnsi="Courier New" w:cs="Courier New" w:hint="default"/>
      </w:rPr>
    </w:lvl>
    <w:lvl w:ilvl="8" w:tplc="04100005" w:tentative="1">
      <w:start w:val="1"/>
      <w:numFmt w:val="bullet"/>
      <w:lvlText w:val=""/>
      <w:lvlJc w:val="left"/>
      <w:pPr>
        <w:ind w:left="6240" w:hanging="360"/>
      </w:pPr>
      <w:rPr>
        <w:rFonts w:ascii="Wingdings" w:hAnsi="Wingdings" w:hint="default"/>
      </w:rPr>
    </w:lvl>
  </w:abstractNum>
  <w:abstractNum w:abstractNumId="14" w15:restartNumberingAfterBreak="0">
    <w:nsid w:val="4E722D81"/>
    <w:multiLevelType w:val="hybridMultilevel"/>
    <w:tmpl w:val="8FF070CA"/>
    <w:lvl w:ilvl="0" w:tplc="B0D09F80">
      <w:start w:val="1"/>
      <w:numFmt w:val="bullet"/>
      <w:lvlText w:val="-"/>
      <w:lvlJc w:val="left"/>
      <w:pPr>
        <w:ind w:left="720" w:hanging="360"/>
      </w:pPr>
      <w:rPr>
        <w:rFonts w:ascii="Calibri" w:eastAsiaTheme="minorHAnsi" w:hAnsi="Calibri" w:cstheme="minorBidi"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4F943416"/>
    <w:multiLevelType w:val="multilevel"/>
    <w:tmpl w:val="CC36D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A56200"/>
    <w:multiLevelType w:val="hybridMultilevel"/>
    <w:tmpl w:val="A9D01CE4"/>
    <w:lvl w:ilvl="0" w:tplc="7CAA044E">
      <w:start w:val="1"/>
      <w:numFmt w:val="bullet"/>
      <w:lvlText w:val=""/>
      <w:lvlJc w:val="left"/>
      <w:pPr>
        <w:ind w:left="720" w:hanging="360"/>
      </w:pPr>
      <w:rPr>
        <w:rFonts w:ascii="Symbol" w:hAnsi="Symbol" w:hint="default"/>
        <w:sz w:val="16"/>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52820E97"/>
    <w:multiLevelType w:val="multilevel"/>
    <w:tmpl w:val="BA8868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A2292F"/>
    <w:multiLevelType w:val="multilevel"/>
    <w:tmpl w:val="706AE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E465D12"/>
    <w:multiLevelType w:val="hybridMultilevel"/>
    <w:tmpl w:val="A9C67A1A"/>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0" w15:restartNumberingAfterBreak="0">
    <w:nsid w:val="6FED1834"/>
    <w:multiLevelType w:val="hybridMultilevel"/>
    <w:tmpl w:val="BA62F158"/>
    <w:lvl w:ilvl="0" w:tplc="0410000F">
      <w:start w:val="1"/>
      <w:numFmt w:val="decimal"/>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73A711CB"/>
    <w:multiLevelType w:val="hybridMultilevel"/>
    <w:tmpl w:val="0B9CC90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8562936">
      <w:start w:val="2"/>
      <w:numFmt w:val="bullet"/>
      <w:lvlText w:val="-"/>
      <w:lvlJc w:val="left"/>
      <w:pPr>
        <w:ind w:left="2160" w:hanging="360"/>
      </w:pPr>
      <w:rPr>
        <w:rFonts w:ascii="Times New Roman" w:eastAsia="Arial" w:hAnsi="Times New Roman" w:cs="Times New Roman"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20"/>
  </w:num>
  <w:num w:numId="4">
    <w:abstractNumId w:val="14"/>
  </w:num>
  <w:num w:numId="5">
    <w:abstractNumId w:val="18"/>
  </w:num>
  <w:num w:numId="6">
    <w:abstractNumId w:val="15"/>
  </w:num>
  <w:num w:numId="7">
    <w:abstractNumId w:val="13"/>
  </w:num>
  <w:num w:numId="8">
    <w:abstractNumId w:val="11"/>
  </w:num>
  <w:num w:numId="9">
    <w:abstractNumId w:val="4"/>
  </w:num>
  <w:num w:numId="10">
    <w:abstractNumId w:val="17"/>
  </w:num>
  <w:num w:numId="11">
    <w:abstractNumId w:val="5"/>
  </w:num>
  <w:num w:numId="12">
    <w:abstractNumId w:val="19"/>
  </w:num>
  <w:num w:numId="13">
    <w:abstractNumId w:val="16"/>
  </w:num>
  <w:num w:numId="14">
    <w:abstractNumId w:val="12"/>
  </w:num>
  <w:num w:numId="15">
    <w:abstractNumId w:val="21"/>
  </w:num>
  <w:num w:numId="16">
    <w:abstractNumId w:val="1"/>
  </w:num>
  <w:num w:numId="17">
    <w:abstractNumId w:val="2"/>
  </w:num>
  <w:num w:numId="18">
    <w:abstractNumId w:val="0"/>
  </w:num>
  <w:num w:numId="19">
    <w:abstractNumId w:val="6"/>
  </w:num>
  <w:num w:numId="20">
    <w:abstractNumId w:val="3"/>
  </w:num>
  <w:num w:numId="21">
    <w:abstractNumId w:val="10"/>
  </w:num>
  <w:num w:numId="22">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uigi Camporota">
    <w15:presenceInfo w15:providerId="Windows Live" w15:userId="99d90c2c4af2b8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8"/>
  <w:proofState w:spelling="clean" w:grammar="clean"/>
  <w:trackRevisions/>
  <w:defaultTabStop w:val="708"/>
  <w:hyphenationZone w:val="283"/>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1F5"/>
    <w:rsid w:val="00000953"/>
    <w:rsid w:val="00001BB5"/>
    <w:rsid w:val="00005540"/>
    <w:rsid w:val="0001133D"/>
    <w:rsid w:val="00011BA0"/>
    <w:rsid w:val="00014C3A"/>
    <w:rsid w:val="00017E8E"/>
    <w:rsid w:val="00023634"/>
    <w:rsid w:val="00025962"/>
    <w:rsid w:val="00033567"/>
    <w:rsid w:val="00040F52"/>
    <w:rsid w:val="00044D2A"/>
    <w:rsid w:val="00051D97"/>
    <w:rsid w:val="00052BDA"/>
    <w:rsid w:val="00052DEC"/>
    <w:rsid w:val="000542C2"/>
    <w:rsid w:val="000557BD"/>
    <w:rsid w:val="0006178D"/>
    <w:rsid w:val="000630D4"/>
    <w:rsid w:val="00063802"/>
    <w:rsid w:val="000669FB"/>
    <w:rsid w:val="0006732D"/>
    <w:rsid w:val="0007095A"/>
    <w:rsid w:val="00070B3B"/>
    <w:rsid w:val="00075D81"/>
    <w:rsid w:val="00077D76"/>
    <w:rsid w:val="00083127"/>
    <w:rsid w:val="00087F5E"/>
    <w:rsid w:val="000902B1"/>
    <w:rsid w:val="000921F5"/>
    <w:rsid w:val="00097D70"/>
    <w:rsid w:val="000A5A27"/>
    <w:rsid w:val="000A6DAA"/>
    <w:rsid w:val="000B4173"/>
    <w:rsid w:val="000B7A6F"/>
    <w:rsid w:val="000C2824"/>
    <w:rsid w:val="000C47A4"/>
    <w:rsid w:val="000C6246"/>
    <w:rsid w:val="000C7BD2"/>
    <w:rsid w:val="000D2818"/>
    <w:rsid w:val="000D4208"/>
    <w:rsid w:val="000E6A53"/>
    <w:rsid w:val="00101AA1"/>
    <w:rsid w:val="0010387A"/>
    <w:rsid w:val="00106779"/>
    <w:rsid w:val="0011535F"/>
    <w:rsid w:val="00116E90"/>
    <w:rsid w:val="00122ACE"/>
    <w:rsid w:val="00123B99"/>
    <w:rsid w:val="00124945"/>
    <w:rsid w:val="001328A7"/>
    <w:rsid w:val="00137A92"/>
    <w:rsid w:val="00141BFA"/>
    <w:rsid w:val="001425AA"/>
    <w:rsid w:val="00144C44"/>
    <w:rsid w:val="0014766E"/>
    <w:rsid w:val="00151BFE"/>
    <w:rsid w:val="00160287"/>
    <w:rsid w:val="001604B2"/>
    <w:rsid w:val="0016703F"/>
    <w:rsid w:val="00172348"/>
    <w:rsid w:val="00174A79"/>
    <w:rsid w:val="00187F14"/>
    <w:rsid w:val="00193BCA"/>
    <w:rsid w:val="001A2398"/>
    <w:rsid w:val="001A505F"/>
    <w:rsid w:val="001A6EBB"/>
    <w:rsid w:val="001A7492"/>
    <w:rsid w:val="001B038D"/>
    <w:rsid w:val="001B5EB6"/>
    <w:rsid w:val="001B7ADF"/>
    <w:rsid w:val="001C53ED"/>
    <w:rsid w:val="001E54BC"/>
    <w:rsid w:val="001F08E3"/>
    <w:rsid w:val="001F5969"/>
    <w:rsid w:val="002066D8"/>
    <w:rsid w:val="00226EE2"/>
    <w:rsid w:val="0022737E"/>
    <w:rsid w:val="00227D3D"/>
    <w:rsid w:val="00231A8D"/>
    <w:rsid w:val="0023385A"/>
    <w:rsid w:val="0023494F"/>
    <w:rsid w:val="00240840"/>
    <w:rsid w:val="002441C6"/>
    <w:rsid w:val="002509B1"/>
    <w:rsid w:val="00252DCB"/>
    <w:rsid w:val="0026000D"/>
    <w:rsid w:val="00260622"/>
    <w:rsid w:val="002606CE"/>
    <w:rsid w:val="00262468"/>
    <w:rsid w:val="00262EF6"/>
    <w:rsid w:val="00264E3F"/>
    <w:rsid w:val="00273878"/>
    <w:rsid w:val="00290703"/>
    <w:rsid w:val="0029227E"/>
    <w:rsid w:val="002926EE"/>
    <w:rsid w:val="00294E84"/>
    <w:rsid w:val="00295ECC"/>
    <w:rsid w:val="002B18E8"/>
    <w:rsid w:val="002B1DC0"/>
    <w:rsid w:val="002B3090"/>
    <w:rsid w:val="002C1D0A"/>
    <w:rsid w:val="002C2C0E"/>
    <w:rsid w:val="002D575C"/>
    <w:rsid w:val="002F0AC3"/>
    <w:rsid w:val="002F651A"/>
    <w:rsid w:val="002F6739"/>
    <w:rsid w:val="002F6D18"/>
    <w:rsid w:val="0030125B"/>
    <w:rsid w:val="0030312B"/>
    <w:rsid w:val="00303FD7"/>
    <w:rsid w:val="00306D84"/>
    <w:rsid w:val="003102EC"/>
    <w:rsid w:val="00313033"/>
    <w:rsid w:val="00316AF1"/>
    <w:rsid w:val="003201BD"/>
    <w:rsid w:val="003265DF"/>
    <w:rsid w:val="00326B50"/>
    <w:rsid w:val="00332ED9"/>
    <w:rsid w:val="003331FC"/>
    <w:rsid w:val="0033484C"/>
    <w:rsid w:val="00334AE5"/>
    <w:rsid w:val="00335725"/>
    <w:rsid w:val="003451BE"/>
    <w:rsid w:val="00352905"/>
    <w:rsid w:val="00352D36"/>
    <w:rsid w:val="00355A89"/>
    <w:rsid w:val="00360FF8"/>
    <w:rsid w:val="003623A4"/>
    <w:rsid w:val="00370B09"/>
    <w:rsid w:val="00376D9D"/>
    <w:rsid w:val="00387A5B"/>
    <w:rsid w:val="003969B1"/>
    <w:rsid w:val="003A0DEA"/>
    <w:rsid w:val="003A48B8"/>
    <w:rsid w:val="003A552F"/>
    <w:rsid w:val="003B0F58"/>
    <w:rsid w:val="003B32EC"/>
    <w:rsid w:val="003B53F1"/>
    <w:rsid w:val="003B6001"/>
    <w:rsid w:val="003C2F62"/>
    <w:rsid w:val="003C33BC"/>
    <w:rsid w:val="003C3BEB"/>
    <w:rsid w:val="003C4152"/>
    <w:rsid w:val="003D01E9"/>
    <w:rsid w:val="003D0D3C"/>
    <w:rsid w:val="003D0DF2"/>
    <w:rsid w:val="003D0FE3"/>
    <w:rsid w:val="003D4359"/>
    <w:rsid w:val="003D45B3"/>
    <w:rsid w:val="003E3296"/>
    <w:rsid w:val="003E6E0F"/>
    <w:rsid w:val="003F0100"/>
    <w:rsid w:val="003F545B"/>
    <w:rsid w:val="003F6C59"/>
    <w:rsid w:val="003F7ECB"/>
    <w:rsid w:val="0040086F"/>
    <w:rsid w:val="00401925"/>
    <w:rsid w:val="00406C81"/>
    <w:rsid w:val="00407F8D"/>
    <w:rsid w:val="00413858"/>
    <w:rsid w:val="004155F7"/>
    <w:rsid w:val="00415C94"/>
    <w:rsid w:val="00416A40"/>
    <w:rsid w:val="00420614"/>
    <w:rsid w:val="00420BAD"/>
    <w:rsid w:val="00422AA9"/>
    <w:rsid w:val="00422EB6"/>
    <w:rsid w:val="00423085"/>
    <w:rsid w:val="00424416"/>
    <w:rsid w:val="004300E6"/>
    <w:rsid w:val="004442C6"/>
    <w:rsid w:val="00446522"/>
    <w:rsid w:val="004476BC"/>
    <w:rsid w:val="00452909"/>
    <w:rsid w:val="00452937"/>
    <w:rsid w:val="00457ACF"/>
    <w:rsid w:val="004645B8"/>
    <w:rsid w:val="004733AC"/>
    <w:rsid w:val="004733C4"/>
    <w:rsid w:val="0047398E"/>
    <w:rsid w:val="00473CC1"/>
    <w:rsid w:val="00495B26"/>
    <w:rsid w:val="00497E44"/>
    <w:rsid w:val="00497FBD"/>
    <w:rsid w:val="004A79EB"/>
    <w:rsid w:val="004A7C4C"/>
    <w:rsid w:val="004C3382"/>
    <w:rsid w:val="004C4240"/>
    <w:rsid w:val="004C7FF7"/>
    <w:rsid w:val="004D0732"/>
    <w:rsid w:val="004D3B0C"/>
    <w:rsid w:val="004D4C96"/>
    <w:rsid w:val="004D64CB"/>
    <w:rsid w:val="004E046C"/>
    <w:rsid w:val="004E0BDC"/>
    <w:rsid w:val="004E187F"/>
    <w:rsid w:val="004F0516"/>
    <w:rsid w:val="004F1430"/>
    <w:rsid w:val="004F169D"/>
    <w:rsid w:val="004F189C"/>
    <w:rsid w:val="004F55CB"/>
    <w:rsid w:val="004F707C"/>
    <w:rsid w:val="004F79AC"/>
    <w:rsid w:val="00501323"/>
    <w:rsid w:val="00505084"/>
    <w:rsid w:val="00513A2C"/>
    <w:rsid w:val="00517A1E"/>
    <w:rsid w:val="00522A4E"/>
    <w:rsid w:val="00524435"/>
    <w:rsid w:val="00532396"/>
    <w:rsid w:val="00532917"/>
    <w:rsid w:val="00543524"/>
    <w:rsid w:val="00544A3C"/>
    <w:rsid w:val="00544ABF"/>
    <w:rsid w:val="005464D1"/>
    <w:rsid w:val="005515BE"/>
    <w:rsid w:val="00557212"/>
    <w:rsid w:val="00560470"/>
    <w:rsid w:val="00561B46"/>
    <w:rsid w:val="005623AC"/>
    <w:rsid w:val="00566645"/>
    <w:rsid w:val="005669D2"/>
    <w:rsid w:val="005745BC"/>
    <w:rsid w:val="00575158"/>
    <w:rsid w:val="00584719"/>
    <w:rsid w:val="00585203"/>
    <w:rsid w:val="00585974"/>
    <w:rsid w:val="00591BFE"/>
    <w:rsid w:val="00591E13"/>
    <w:rsid w:val="005925B9"/>
    <w:rsid w:val="0059562D"/>
    <w:rsid w:val="00597341"/>
    <w:rsid w:val="005A493B"/>
    <w:rsid w:val="005A5D38"/>
    <w:rsid w:val="005A6F2D"/>
    <w:rsid w:val="005A7831"/>
    <w:rsid w:val="005B38FC"/>
    <w:rsid w:val="005B3A64"/>
    <w:rsid w:val="005B4B6A"/>
    <w:rsid w:val="005C18AA"/>
    <w:rsid w:val="005C48E8"/>
    <w:rsid w:val="005C4F59"/>
    <w:rsid w:val="005E03FB"/>
    <w:rsid w:val="005E1427"/>
    <w:rsid w:val="005E3AC0"/>
    <w:rsid w:val="005E3CAF"/>
    <w:rsid w:val="005F0417"/>
    <w:rsid w:val="005F2704"/>
    <w:rsid w:val="00601924"/>
    <w:rsid w:val="006065E8"/>
    <w:rsid w:val="00607DFD"/>
    <w:rsid w:val="00622427"/>
    <w:rsid w:val="006236F7"/>
    <w:rsid w:val="00624993"/>
    <w:rsid w:val="00624CE4"/>
    <w:rsid w:val="00633CDE"/>
    <w:rsid w:val="00645E12"/>
    <w:rsid w:val="006469B8"/>
    <w:rsid w:val="0065189A"/>
    <w:rsid w:val="00662EF7"/>
    <w:rsid w:val="00673ECE"/>
    <w:rsid w:val="00677699"/>
    <w:rsid w:val="00680486"/>
    <w:rsid w:val="00682479"/>
    <w:rsid w:val="00684705"/>
    <w:rsid w:val="00693482"/>
    <w:rsid w:val="006A3A0D"/>
    <w:rsid w:val="006B6491"/>
    <w:rsid w:val="006B73DF"/>
    <w:rsid w:val="006C374F"/>
    <w:rsid w:val="006C4278"/>
    <w:rsid w:val="006C4CAA"/>
    <w:rsid w:val="006C6CB7"/>
    <w:rsid w:val="006C6DA2"/>
    <w:rsid w:val="006D3565"/>
    <w:rsid w:val="006E0F69"/>
    <w:rsid w:val="006E1667"/>
    <w:rsid w:val="006E2867"/>
    <w:rsid w:val="006E4CE6"/>
    <w:rsid w:val="006F0EB7"/>
    <w:rsid w:val="006F3E13"/>
    <w:rsid w:val="0070159E"/>
    <w:rsid w:val="0070184A"/>
    <w:rsid w:val="00704897"/>
    <w:rsid w:val="0071111A"/>
    <w:rsid w:val="0071294A"/>
    <w:rsid w:val="00714836"/>
    <w:rsid w:val="007151F4"/>
    <w:rsid w:val="00715676"/>
    <w:rsid w:val="0072129E"/>
    <w:rsid w:val="007234F1"/>
    <w:rsid w:val="0072395F"/>
    <w:rsid w:val="007303DF"/>
    <w:rsid w:val="00732E50"/>
    <w:rsid w:val="00734347"/>
    <w:rsid w:val="00737065"/>
    <w:rsid w:val="007434DE"/>
    <w:rsid w:val="00751887"/>
    <w:rsid w:val="00761575"/>
    <w:rsid w:val="00762570"/>
    <w:rsid w:val="007644A5"/>
    <w:rsid w:val="00766FBF"/>
    <w:rsid w:val="007738E8"/>
    <w:rsid w:val="00775FF4"/>
    <w:rsid w:val="00776666"/>
    <w:rsid w:val="007853CE"/>
    <w:rsid w:val="007948DE"/>
    <w:rsid w:val="007960D9"/>
    <w:rsid w:val="007A5041"/>
    <w:rsid w:val="007A6E0B"/>
    <w:rsid w:val="007B3A27"/>
    <w:rsid w:val="007B7D03"/>
    <w:rsid w:val="007C6258"/>
    <w:rsid w:val="007C762D"/>
    <w:rsid w:val="007D329F"/>
    <w:rsid w:val="007D5E6D"/>
    <w:rsid w:val="007E0296"/>
    <w:rsid w:val="007E0422"/>
    <w:rsid w:val="007E0DD2"/>
    <w:rsid w:val="007E2881"/>
    <w:rsid w:val="007F5A8E"/>
    <w:rsid w:val="0080616A"/>
    <w:rsid w:val="00807B5A"/>
    <w:rsid w:val="008103CB"/>
    <w:rsid w:val="00812D70"/>
    <w:rsid w:val="008203F7"/>
    <w:rsid w:val="008273A7"/>
    <w:rsid w:val="0084087C"/>
    <w:rsid w:val="00840933"/>
    <w:rsid w:val="00841B7F"/>
    <w:rsid w:val="00846D1F"/>
    <w:rsid w:val="00847ACD"/>
    <w:rsid w:val="0085067F"/>
    <w:rsid w:val="00851384"/>
    <w:rsid w:val="00851EC1"/>
    <w:rsid w:val="00855312"/>
    <w:rsid w:val="008633BA"/>
    <w:rsid w:val="00863EAB"/>
    <w:rsid w:val="00867CA2"/>
    <w:rsid w:val="00873614"/>
    <w:rsid w:val="00874CC5"/>
    <w:rsid w:val="00877817"/>
    <w:rsid w:val="00883833"/>
    <w:rsid w:val="00886C83"/>
    <w:rsid w:val="0089244B"/>
    <w:rsid w:val="008A45A7"/>
    <w:rsid w:val="008B08C0"/>
    <w:rsid w:val="008B113C"/>
    <w:rsid w:val="008B204D"/>
    <w:rsid w:val="008B6C42"/>
    <w:rsid w:val="008C33DE"/>
    <w:rsid w:val="008C57E6"/>
    <w:rsid w:val="008D20AA"/>
    <w:rsid w:val="008D45E3"/>
    <w:rsid w:val="008E444D"/>
    <w:rsid w:val="008E7C0A"/>
    <w:rsid w:val="00903B47"/>
    <w:rsid w:val="00907F70"/>
    <w:rsid w:val="00911A71"/>
    <w:rsid w:val="009229E3"/>
    <w:rsid w:val="009241C9"/>
    <w:rsid w:val="00924205"/>
    <w:rsid w:val="0093087D"/>
    <w:rsid w:val="0093221C"/>
    <w:rsid w:val="0093462B"/>
    <w:rsid w:val="00942ABE"/>
    <w:rsid w:val="00944BBF"/>
    <w:rsid w:val="00946A1C"/>
    <w:rsid w:val="00947D6D"/>
    <w:rsid w:val="009504EE"/>
    <w:rsid w:val="009620EF"/>
    <w:rsid w:val="00962964"/>
    <w:rsid w:val="0096305A"/>
    <w:rsid w:val="0096353C"/>
    <w:rsid w:val="00966048"/>
    <w:rsid w:val="00970161"/>
    <w:rsid w:val="00973D26"/>
    <w:rsid w:val="00974D10"/>
    <w:rsid w:val="00982B4F"/>
    <w:rsid w:val="009861E8"/>
    <w:rsid w:val="009931EA"/>
    <w:rsid w:val="009A3989"/>
    <w:rsid w:val="009A66CF"/>
    <w:rsid w:val="009A7876"/>
    <w:rsid w:val="009B3BD5"/>
    <w:rsid w:val="009C08B4"/>
    <w:rsid w:val="009C275E"/>
    <w:rsid w:val="009C2B15"/>
    <w:rsid w:val="009C3618"/>
    <w:rsid w:val="009C4402"/>
    <w:rsid w:val="009C542B"/>
    <w:rsid w:val="009E0D4D"/>
    <w:rsid w:val="009E4FFF"/>
    <w:rsid w:val="009E7F30"/>
    <w:rsid w:val="009F0412"/>
    <w:rsid w:val="00A03688"/>
    <w:rsid w:val="00A04E6A"/>
    <w:rsid w:val="00A10E89"/>
    <w:rsid w:val="00A12126"/>
    <w:rsid w:val="00A12D02"/>
    <w:rsid w:val="00A16C39"/>
    <w:rsid w:val="00A217EC"/>
    <w:rsid w:val="00A22151"/>
    <w:rsid w:val="00A22A55"/>
    <w:rsid w:val="00A23938"/>
    <w:rsid w:val="00A27F05"/>
    <w:rsid w:val="00A3288C"/>
    <w:rsid w:val="00A36B22"/>
    <w:rsid w:val="00A42121"/>
    <w:rsid w:val="00A45EAF"/>
    <w:rsid w:val="00A57437"/>
    <w:rsid w:val="00A63BF8"/>
    <w:rsid w:val="00A6535C"/>
    <w:rsid w:val="00A71D83"/>
    <w:rsid w:val="00A7317D"/>
    <w:rsid w:val="00A756C6"/>
    <w:rsid w:val="00A80F32"/>
    <w:rsid w:val="00A93346"/>
    <w:rsid w:val="00A94193"/>
    <w:rsid w:val="00AA044E"/>
    <w:rsid w:val="00AA4C3C"/>
    <w:rsid w:val="00AA5A33"/>
    <w:rsid w:val="00AA7B13"/>
    <w:rsid w:val="00AB1F09"/>
    <w:rsid w:val="00AB1FF0"/>
    <w:rsid w:val="00AC3266"/>
    <w:rsid w:val="00AC7B7D"/>
    <w:rsid w:val="00AD1730"/>
    <w:rsid w:val="00AD28FD"/>
    <w:rsid w:val="00AD3340"/>
    <w:rsid w:val="00AD7DD7"/>
    <w:rsid w:val="00AE0731"/>
    <w:rsid w:val="00AE75A8"/>
    <w:rsid w:val="00AF1476"/>
    <w:rsid w:val="00AF2A8F"/>
    <w:rsid w:val="00AF57CB"/>
    <w:rsid w:val="00B013CE"/>
    <w:rsid w:val="00B13E41"/>
    <w:rsid w:val="00B20429"/>
    <w:rsid w:val="00B20EAD"/>
    <w:rsid w:val="00B30454"/>
    <w:rsid w:val="00B36046"/>
    <w:rsid w:val="00B4031B"/>
    <w:rsid w:val="00B4267B"/>
    <w:rsid w:val="00B4786F"/>
    <w:rsid w:val="00B52C42"/>
    <w:rsid w:val="00B6318E"/>
    <w:rsid w:val="00B711C7"/>
    <w:rsid w:val="00B77ADF"/>
    <w:rsid w:val="00B82305"/>
    <w:rsid w:val="00B86913"/>
    <w:rsid w:val="00B869E8"/>
    <w:rsid w:val="00B90A5D"/>
    <w:rsid w:val="00B9186C"/>
    <w:rsid w:val="00B91FF3"/>
    <w:rsid w:val="00B92766"/>
    <w:rsid w:val="00BA2F83"/>
    <w:rsid w:val="00BA7A05"/>
    <w:rsid w:val="00BB106B"/>
    <w:rsid w:val="00BB2E97"/>
    <w:rsid w:val="00BC0CB4"/>
    <w:rsid w:val="00BC1108"/>
    <w:rsid w:val="00BC3B1D"/>
    <w:rsid w:val="00BC7A9D"/>
    <w:rsid w:val="00BD1FA0"/>
    <w:rsid w:val="00BD3FCC"/>
    <w:rsid w:val="00BD76AE"/>
    <w:rsid w:val="00BE2EB3"/>
    <w:rsid w:val="00BF097A"/>
    <w:rsid w:val="00BF277F"/>
    <w:rsid w:val="00BF780F"/>
    <w:rsid w:val="00C074DF"/>
    <w:rsid w:val="00C457F9"/>
    <w:rsid w:val="00C51F74"/>
    <w:rsid w:val="00C54326"/>
    <w:rsid w:val="00C5705A"/>
    <w:rsid w:val="00C63BE5"/>
    <w:rsid w:val="00C6506C"/>
    <w:rsid w:val="00C65C75"/>
    <w:rsid w:val="00C71A2E"/>
    <w:rsid w:val="00C73F81"/>
    <w:rsid w:val="00C76C8E"/>
    <w:rsid w:val="00C80A4E"/>
    <w:rsid w:val="00C87C4E"/>
    <w:rsid w:val="00C931B0"/>
    <w:rsid w:val="00CA376C"/>
    <w:rsid w:val="00CA42BE"/>
    <w:rsid w:val="00CA7504"/>
    <w:rsid w:val="00CB15ED"/>
    <w:rsid w:val="00CB42A5"/>
    <w:rsid w:val="00CB4A5A"/>
    <w:rsid w:val="00CB67C5"/>
    <w:rsid w:val="00CC7CA9"/>
    <w:rsid w:val="00CD2472"/>
    <w:rsid w:val="00CD2500"/>
    <w:rsid w:val="00CD4271"/>
    <w:rsid w:val="00CD465E"/>
    <w:rsid w:val="00CD7714"/>
    <w:rsid w:val="00CE0F3D"/>
    <w:rsid w:val="00CE1E01"/>
    <w:rsid w:val="00CE4F5B"/>
    <w:rsid w:val="00CF039D"/>
    <w:rsid w:val="00CF17A1"/>
    <w:rsid w:val="00D0156C"/>
    <w:rsid w:val="00D01CD2"/>
    <w:rsid w:val="00D045F5"/>
    <w:rsid w:val="00D1050B"/>
    <w:rsid w:val="00D11826"/>
    <w:rsid w:val="00D1263C"/>
    <w:rsid w:val="00D128AF"/>
    <w:rsid w:val="00D14D25"/>
    <w:rsid w:val="00D14E4B"/>
    <w:rsid w:val="00D27795"/>
    <w:rsid w:val="00D27E53"/>
    <w:rsid w:val="00D30FDF"/>
    <w:rsid w:val="00D33FDC"/>
    <w:rsid w:val="00D361A3"/>
    <w:rsid w:val="00D36FC8"/>
    <w:rsid w:val="00D40137"/>
    <w:rsid w:val="00D42614"/>
    <w:rsid w:val="00D471A6"/>
    <w:rsid w:val="00D471E6"/>
    <w:rsid w:val="00D52818"/>
    <w:rsid w:val="00D53EB4"/>
    <w:rsid w:val="00D6110C"/>
    <w:rsid w:val="00D6157C"/>
    <w:rsid w:val="00D65F76"/>
    <w:rsid w:val="00D670F3"/>
    <w:rsid w:val="00D732C7"/>
    <w:rsid w:val="00D74F22"/>
    <w:rsid w:val="00D762A8"/>
    <w:rsid w:val="00D82936"/>
    <w:rsid w:val="00D85C61"/>
    <w:rsid w:val="00D86948"/>
    <w:rsid w:val="00D90EB4"/>
    <w:rsid w:val="00D97592"/>
    <w:rsid w:val="00D97C34"/>
    <w:rsid w:val="00DA0B02"/>
    <w:rsid w:val="00DA414B"/>
    <w:rsid w:val="00DA5879"/>
    <w:rsid w:val="00DB4D7C"/>
    <w:rsid w:val="00DC0951"/>
    <w:rsid w:val="00DC24FA"/>
    <w:rsid w:val="00DD1ABE"/>
    <w:rsid w:val="00DD2182"/>
    <w:rsid w:val="00DD24A5"/>
    <w:rsid w:val="00DE3BF1"/>
    <w:rsid w:val="00DF1E6A"/>
    <w:rsid w:val="00DF36BB"/>
    <w:rsid w:val="00DF6D30"/>
    <w:rsid w:val="00DF7472"/>
    <w:rsid w:val="00E150A6"/>
    <w:rsid w:val="00E22BA8"/>
    <w:rsid w:val="00E22E7F"/>
    <w:rsid w:val="00E2646A"/>
    <w:rsid w:val="00E31A92"/>
    <w:rsid w:val="00E56756"/>
    <w:rsid w:val="00E5725C"/>
    <w:rsid w:val="00E60FD1"/>
    <w:rsid w:val="00E7097A"/>
    <w:rsid w:val="00E7166A"/>
    <w:rsid w:val="00E7665C"/>
    <w:rsid w:val="00E80492"/>
    <w:rsid w:val="00E8236B"/>
    <w:rsid w:val="00E840C6"/>
    <w:rsid w:val="00E876C7"/>
    <w:rsid w:val="00E9415B"/>
    <w:rsid w:val="00E9452E"/>
    <w:rsid w:val="00EA392E"/>
    <w:rsid w:val="00EA4B09"/>
    <w:rsid w:val="00EB25F1"/>
    <w:rsid w:val="00EB37CF"/>
    <w:rsid w:val="00EC580C"/>
    <w:rsid w:val="00EC5A69"/>
    <w:rsid w:val="00ED1E0C"/>
    <w:rsid w:val="00ED2791"/>
    <w:rsid w:val="00ED2EE9"/>
    <w:rsid w:val="00ED36D0"/>
    <w:rsid w:val="00ED5145"/>
    <w:rsid w:val="00EE0208"/>
    <w:rsid w:val="00EE0BFC"/>
    <w:rsid w:val="00EE0E58"/>
    <w:rsid w:val="00EE4160"/>
    <w:rsid w:val="00EE58EE"/>
    <w:rsid w:val="00EE6607"/>
    <w:rsid w:val="00F11ABB"/>
    <w:rsid w:val="00F24E2F"/>
    <w:rsid w:val="00F26BEA"/>
    <w:rsid w:val="00F32131"/>
    <w:rsid w:val="00F37A62"/>
    <w:rsid w:val="00F418D7"/>
    <w:rsid w:val="00F44E48"/>
    <w:rsid w:val="00F4708C"/>
    <w:rsid w:val="00F629DF"/>
    <w:rsid w:val="00F63D5E"/>
    <w:rsid w:val="00F73874"/>
    <w:rsid w:val="00F751BD"/>
    <w:rsid w:val="00F8143E"/>
    <w:rsid w:val="00F81713"/>
    <w:rsid w:val="00F81AD6"/>
    <w:rsid w:val="00F81D84"/>
    <w:rsid w:val="00F840A5"/>
    <w:rsid w:val="00F901D5"/>
    <w:rsid w:val="00F94716"/>
    <w:rsid w:val="00F9487C"/>
    <w:rsid w:val="00F95290"/>
    <w:rsid w:val="00F95448"/>
    <w:rsid w:val="00F9554A"/>
    <w:rsid w:val="00F97386"/>
    <w:rsid w:val="00FA2EFF"/>
    <w:rsid w:val="00FA48EC"/>
    <w:rsid w:val="00FA4EBA"/>
    <w:rsid w:val="00FA5335"/>
    <w:rsid w:val="00FB5699"/>
    <w:rsid w:val="00FC717B"/>
    <w:rsid w:val="00FD0F8C"/>
    <w:rsid w:val="00FD1FAE"/>
    <w:rsid w:val="00FD2969"/>
    <w:rsid w:val="00FE09AC"/>
    <w:rsid w:val="00FE4D87"/>
    <w:rsid w:val="00FF53FF"/>
    <w:rsid w:val="00FF5F93"/>
    <w:rsid w:val="00FF70B1"/>
    <w:rsid w:val="00FF74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D53DB"/>
  <w15:docId w15:val="{0A361F42-19AF-42FA-8743-265073BBE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2F62"/>
    <w:rPr>
      <w:rFonts w:ascii="Times New Roman" w:hAnsi="Times New Roman" w:cs="Times New Roman"/>
      <w:lang w:eastAsia="it-IT"/>
    </w:rPr>
  </w:style>
  <w:style w:type="paragraph" w:styleId="Heading1">
    <w:name w:val="heading 1"/>
    <w:basedOn w:val="Normal"/>
    <w:link w:val="Heading1Char"/>
    <w:uiPriority w:val="9"/>
    <w:qFormat/>
    <w:rsid w:val="00E7097A"/>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907F7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2427"/>
    <w:pPr>
      <w:spacing w:before="100" w:beforeAutospacing="1" w:after="100" w:afterAutospacing="1"/>
    </w:pPr>
    <w:rPr>
      <w:rFonts w:eastAsia="Arial"/>
    </w:rPr>
  </w:style>
  <w:style w:type="paragraph" w:styleId="ListParagraph">
    <w:name w:val="List Paragraph"/>
    <w:basedOn w:val="Normal"/>
    <w:uiPriority w:val="34"/>
    <w:qFormat/>
    <w:rsid w:val="00DD24A5"/>
    <w:pPr>
      <w:ind w:left="720"/>
      <w:contextualSpacing/>
    </w:pPr>
    <w:rPr>
      <w:rFonts w:asciiTheme="minorHAnsi" w:hAnsiTheme="minorHAnsi" w:cstheme="minorBidi"/>
      <w:lang w:eastAsia="en-US"/>
    </w:rPr>
  </w:style>
  <w:style w:type="character" w:customStyle="1" w:styleId="apple-converted-space">
    <w:name w:val="apple-converted-space"/>
    <w:basedOn w:val="DefaultParagraphFont"/>
    <w:rsid w:val="00F4708C"/>
  </w:style>
  <w:style w:type="character" w:customStyle="1" w:styleId="ref-journal">
    <w:name w:val="ref-journal"/>
    <w:basedOn w:val="DefaultParagraphFont"/>
    <w:rsid w:val="00F4708C"/>
  </w:style>
  <w:style w:type="character" w:customStyle="1" w:styleId="ref-vol">
    <w:name w:val="ref-vol"/>
    <w:basedOn w:val="DefaultParagraphFont"/>
    <w:rsid w:val="00F4708C"/>
  </w:style>
  <w:style w:type="character" w:customStyle="1" w:styleId="Heading1Char">
    <w:name w:val="Heading 1 Char"/>
    <w:basedOn w:val="DefaultParagraphFont"/>
    <w:link w:val="Heading1"/>
    <w:uiPriority w:val="9"/>
    <w:rsid w:val="00E7097A"/>
    <w:rPr>
      <w:rFonts w:ascii="Times New Roman" w:hAnsi="Times New Roman" w:cs="Times New Roman"/>
      <w:b/>
      <w:bCs/>
      <w:kern w:val="36"/>
      <w:sz w:val="48"/>
      <w:szCs w:val="48"/>
      <w:lang w:eastAsia="it-IT"/>
    </w:rPr>
  </w:style>
  <w:style w:type="character" w:customStyle="1" w:styleId="contribdegrees">
    <w:name w:val="contribdegrees"/>
    <w:basedOn w:val="DefaultParagraphFont"/>
    <w:rsid w:val="00E7097A"/>
  </w:style>
  <w:style w:type="character" w:styleId="Hyperlink">
    <w:name w:val="Hyperlink"/>
    <w:basedOn w:val="DefaultParagraphFont"/>
    <w:unhideWhenUsed/>
    <w:rsid w:val="00E7097A"/>
    <w:rPr>
      <w:color w:val="0000FF"/>
      <w:u w:val="single"/>
    </w:rPr>
  </w:style>
  <w:style w:type="character" w:customStyle="1" w:styleId="highwire-citation-authors">
    <w:name w:val="highwire-citation-authors"/>
    <w:basedOn w:val="DefaultParagraphFont"/>
    <w:rsid w:val="00495B26"/>
  </w:style>
  <w:style w:type="character" w:customStyle="1" w:styleId="highwire-citation-author">
    <w:name w:val="highwire-citation-author"/>
    <w:basedOn w:val="DefaultParagraphFont"/>
    <w:rsid w:val="00495B26"/>
  </w:style>
  <w:style w:type="character" w:customStyle="1" w:styleId="highwire-cite-metadata-journal-title">
    <w:name w:val="highwire-cite-metadata-journal-title"/>
    <w:basedOn w:val="DefaultParagraphFont"/>
    <w:rsid w:val="00495B26"/>
  </w:style>
  <w:style w:type="character" w:customStyle="1" w:styleId="highwire-cite-metadata-date">
    <w:name w:val="highwire-cite-metadata-date"/>
    <w:basedOn w:val="DefaultParagraphFont"/>
    <w:rsid w:val="00495B26"/>
  </w:style>
  <w:style w:type="character" w:customStyle="1" w:styleId="highwire-cite-metadata-volume">
    <w:name w:val="highwire-cite-metadata-volume"/>
    <w:basedOn w:val="DefaultParagraphFont"/>
    <w:rsid w:val="00495B26"/>
  </w:style>
  <w:style w:type="character" w:customStyle="1" w:styleId="label">
    <w:name w:val="label"/>
    <w:basedOn w:val="DefaultParagraphFont"/>
    <w:rsid w:val="00495B26"/>
  </w:style>
  <w:style w:type="character" w:customStyle="1" w:styleId="highwire-cite-metadata-issue">
    <w:name w:val="highwire-cite-metadata-issue"/>
    <w:basedOn w:val="DefaultParagraphFont"/>
    <w:rsid w:val="00495B26"/>
  </w:style>
  <w:style w:type="character" w:customStyle="1" w:styleId="highwire-cite-metadata-pages">
    <w:name w:val="highwire-cite-metadata-pages"/>
    <w:basedOn w:val="DefaultParagraphFont"/>
    <w:rsid w:val="00495B26"/>
  </w:style>
  <w:style w:type="character" w:customStyle="1" w:styleId="highwire-cite-metadata-doi">
    <w:name w:val="highwire-cite-metadata-doi"/>
    <w:basedOn w:val="DefaultParagraphFont"/>
    <w:rsid w:val="00495B26"/>
  </w:style>
  <w:style w:type="character" w:customStyle="1" w:styleId="highlight">
    <w:name w:val="highlight"/>
    <w:basedOn w:val="DefaultParagraphFont"/>
    <w:rsid w:val="006C4CAA"/>
  </w:style>
  <w:style w:type="paragraph" w:styleId="BalloonText">
    <w:name w:val="Balloon Text"/>
    <w:basedOn w:val="Normal"/>
    <w:link w:val="BalloonTextChar"/>
    <w:uiPriority w:val="99"/>
    <w:semiHidden/>
    <w:unhideWhenUsed/>
    <w:rsid w:val="00A22151"/>
    <w:rPr>
      <w:rFonts w:ascii="Tahoma" w:hAnsi="Tahoma" w:cs="Tahoma"/>
      <w:sz w:val="16"/>
      <w:szCs w:val="16"/>
    </w:rPr>
  </w:style>
  <w:style w:type="character" w:customStyle="1" w:styleId="BalloonTextChar">
    <w:name w:val="Balloon Text Char"/>
    <w:basedOn w:val="DefaultParagraphFont"/>
    <w:link w:val="BalloonText"/>
    <w:uiPriority w:val="99"/>
    <w:semiHidden/>
    <w:rsid w:val="00A22151"/>
    <w:rPr>
      <w:rFonts w:ascii="Tahoma" w:hAnsi="Tahoma" w:cs="Tahoma"/>
      <w:sz w:val="16"/>
      <w:szCs w:val="16"/>
      <w:lang w:eastAsia="it-IT"/>
    </w:rPr>
  </w:style>
  <w:style w:type="character" w:styleId="CommentReference">
    <w:name w:val="annotation reference"/>
    <w:basedOn w:val="DefaultParagraphFont"/>
    <w:uiPriority w:val="99"/>
    <w:semiHidden/>
    <w:unhideWhenUsed/>
    <w:rsid w:val="004733AC"/>
    <w:rPr>
      <w:sz w:val="18"/>
      <w:szCs w:val="18"/>
    </w:rPr>
  </w:style>
  <w:style w:type="paragraph" w:styleId="CommentText">
    <w:name w:val="annotation text"/>
    <w:basedOn w:val="Normal"/>
    <w:link w:val="CommentTextChar"/>
    <w:uiPriority w:val="99"/>
    <w:semiHidden/>
    <w:unhideWhenUsed/>
    <w:rsid w:val="004733AC"/>
    <w:rPr>
      <w:rFonts w:eastAsia="Arial"/>
    </w:rPr>
  </w:style>
  <w:style w:type="character" w:customStyle="1" w:styleId="CommentTextChar">
    <w:name w:val="Comment Text Char"/>
    <w:basedOn w:val="DefaultParagraphFont"/>
    <w:link w:val="CommentText"/>
    <w:uiPriority w:val="99"/>
    <w:semiHidden/>
    <w:rsid w:val="004733AC"/>
    <w:rPr>
      <w:rFonts w:ascii="Times New Roman" w:eastAsia="Arial" w:hAnsi="Times New Roman" w:cs="Times New Roman"/>
      <w:lang w:eastAsia="it-IT"/>
    </w:rPr>
  </w:style>
  <w:style w:type="character" w:styleId="FollowedHyperlink">
    <w:name w:val="FollowedHyperlink"/>
    <w:basedOn w:val="DefaultParagraphFont"/>
    <w:uiPriority w:val="99"/>
    <w:semiHidden/>
    <w:unhideWhenUsed/>
    <w:rsid w:val="004E187F"/>
    <w:rPr>
      <w:color w:val="954F72" w:themeColor="followedHyperlink"/>
      <w:u w:val="single"/>
    </w:rPr>
  </w:style>
  <w:style w:type="paragraph" w:styleId="NoSpacing">
    <w:name w:val="No Spacing"/>
    <w:uiPriority w:val="1"/>
    <w:qFormat/>
    <w:rsid w:val="00DF6D30"/>
    <w:rPr>
      <w:rFonts w:ascii="Times New Roman" w:hAnsi="Times New Roman" w:cs="Times New Roman"/>
      <w:lang w:eastAsia="it-IT"/>
    </w:rPr>
  </w:style>
  <w:style w:type="paragraph" w:styleId="Header">
    <w:name w:val="header"/>
    <w:basedOn w:val="Normal"/>
    <w:link w:val="HeaderChar"/>
    <w:uiPriority w:val="99"/>
    <w:unhideWhenUsed/>
    <w:rsid w:val="009A66CF"/>
    <w:pPr>
      <w:tabs>
        <w:tab w:val="center" w:pos="4819"/>
        <w:tab w:val="right" w:pos="9638"/>
      </w:tabs>
    </w:pPr>
  </w:style>
  <w:style w:type="character" w:customStyle="1" w:styleId="HeaderChar">
    <w:name w:val="Header Char"/>
    <w:basedOn w:val="DefaultParagraphFont"/>
    <w:link w:val="Header"/>
    <w:uiPriority w:val="99"/>
    <w:rsid w:val="009A66CF"/>
    <w:rPr>
      <w:rFonts w:ascii="Times New Roman" w:hAnsi="Times New Roman" w:cs="Times New Roman"/>
      <w:lang w:eastAsia="it-IT"/>
    </w:rPr>
  </w:style>
  <w:style w:type="paragraph" w:styleId="Footer">
    <w:name w:val="footer"/>
    <w:basedOn w:val="Normal"/>
    <w:link w:val="FooterChar"/>
    <w:uiPriority w:val="99"/>
    <w:unhideWhenUsed/>
    <w:rsid w:val="009A66CF"/>
    <w:pPr>
      <w:tabs>
        <w:tab w:val="center" w:pos="4819"/>
        <w:tab w:val="right" w:pos="9638"/>
      </w:tabs>
    </w:pPr>
  </w:style>
  <w:style w:type="character" w:customStyle="1" w:styleId="FooterChar">
    <w:name w:val="Footer Char"/>
    <w:basedOn w:val="DefaultParagraphFont"/>
    <w:link w:val="Footer"/>
    <w:uiPriority w:val="99"/>
    <w:rsid w:val="009A66CF"/>
    <w:rPr>
      <w:rFonts w:ascii="Times New Roman" w:hAnsi="Times New Roman" w:cs="Times New Roman"/>
      <w:lang w:eastAsia="it-IT"/>
    </w:rPr>
  </w:style>
  <w:style w:type="character" w:customStyle="1" w:styleId="apple-tab-span">
    <w:name w:val="apple-tab-span"/>
    <w:basedOn w:val="DefaultParagraphFont"/>
    <w:rsid w:val="00517A1E"/>
  </w:style>
  <w:style w:type="paragraph" w:customStyle="1" w:styleId="Titolo1">
    <w:name w:val="Titolo1"/>
    <w:basedOn w:val="Normal"/>
    <w:rsid w:val="006065E8"/>
    <w:pPr>
      <w:spacing w:before="100" w:beforeAutospacing="1" w:after="100" w:afterAutospacing="1"/>
    </w:pPr>
  </w:style>
  <w:style w:type="paragraph" w:customStyle="1" w:styleId="desc">
    <w:name w:val="desc"/>
    <w:basedOn w:val="Normal"/>
    <w:rsid w:val="006065E8"/>
    <w:pPr>
      <w:spacing w:before="100" w:beforeAutospacing="1" w:after="100" w:afterAutospacing="1"/>
    </w:pPr>
  </w:style>
  <w:style w:type="paragraph" w:customStyle="1" w:styleId="details">
    <w:name w:val="details"/>
    <w:basedOn w:val="Normal"/>
    <w:rsid w:val="006065E8"/>
    <w:pPr>
      <w:spacing w:before="100" w:beforeAutospacing="1" w:after="100" w:afterAutospacing="1"/>
    </w:pPr>
  </w:style>
  <w:style w:type="character" w:customStyle="1" w:styleId="jrnl">
    <w:name w:val="jrnl"/>
    <w:basedOn w:val="DefaultParagraphFont"/>
    <w:rsid w:val="006065E8"/>
  </w:style>
  <w:style w:type="table" w:styleId="TableGrid">
    <w:name w:val="Table Grid"/>
    <w:basedOn w:val="TableNormal"/>
    <w:uiPriority w:val="39"/>
    <w:rsid w:val="00D471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907F70"/>
    <w:rPr>
      <w:rFonts w:asciiTheme="majorHAnsi" w:eastAsiaTheme="majorEastAsia" w:hAnsiTheme="majorHAnsi" w:cstheme="majorBidi"/>
      <w:color w:val="2E74B5" w:themeColor="accent1" w:themeShade="BF"/>
      <w:sz w:val="26"/>
      <w:szCs w:val="26"/>
      <w:lang w:eastAsia="it-IT"/>
    </w:rPr>
  </w:style>
  <w:style w:type="character" w:styleId="PageNumber">
    <w:name w:val="page number"/>
    <w:basedOn w:val="DefaultParagraphFont"/>
    <w:uiPriority w:val="99"/>
    <w:semiHidden/>
    <w:unhideWhenUsed/>
    <w:rsid w:val="007B7D03"/>
  </w:style>
  <w:style w:type="paragraph" w:styleId="Revision">
    <w:name w:val="Revision"/>
    <w:hidden/>
    <w:uiPriority w:val="99"/>
    <w:semiHidden/>
    <w:rsid w:val="00473CC1"/>
    <w:rPr>
      <w:rFonts w:ascii="Times New Roman" w:hAnsi="Times New Roman" w:cs="Times New Roman"/>
      <w:lang w:eastAsia="it-IT"/>
    </w:rPr>
  </w:style>
  <w:style w:type="paragraph" w:styleId="CommentSubject">
    <w:name w:val="annotation subject"/>
    <w:basedOn w:val="CommentText"/>
    <w:next w:val="CommentText"/>
    <w:link w:val="CommentSubjectChar"/>
    <w:uiPriority w:val="99"/>
    <w:semiHidden/>
    <w:unhideWhenUsed/>
    <w:rsid w:val="005B4B6A"/>
    <w:rPr>
      <w:rFonts w:eastAsiaTheme="minorHAnsi"/>
      <w:b/>
      <w:bCs/>
      <w:sz w:val="20"/>
      <w:szCs w:val="20"/>
    </w:rPr>
  </w:style>
  <w:style w:type="character" w:customStyle="1" w:styleId="CommentSubjectChar">
    <w:name w:val="Comment Subject Char"/>
    <w:basedOn w:val="CommentTextChar"/>
    <w:link w:val="CommentSubject"/>
    <w:uiPriority w:val="99"/>
    <w:semiHidden/>
    <w:rsid w:val="005B4B6A"/>
    <w:rPr>
      <w:rFonts w:ascii="Times New Roman" w:eastAsia="Arial" w:hAnsi="Times New Roman" w:cs="Times New Roman"/>
      <w:b/>
      <w:bCs/>
      <w:sz w:val="20"/>
      <w:szCs w:val="20"/>
      <w:lang w:eastAsia="it-IT"/>
    </w:rPr>
  </w:style>
  <w:style w:type="paragraph" w:customStyle="1" w:styleId="Grigliamedia1-Colore21">
    <w:name w:val="Griglia media 1 - Colore 21"/>
    <w:basedOn w:val="Normal"/>
    <w:qFormat/>
    <w:rsid w:val="00D6157C"/>
    <w:pPr>
      <w:ind w:left="720"/>
      <w:contextualSpacing/>
    </w:pPr>
    <w:rPr>
      <w:rFonts w:eastAsia="Times New Roman"/>
      <w:lang w:val="en-US"/>
    </w:rPr>
  </w:style>
  <w:style w:type="paragraph" w:styleId="BodyText">
    <w:name w:val="Body Text"/>
    <w:basedOn w:val="Normal"/>
    <w:link w:val="BodyTextChar"/>
    <w:autoRedefine/>
    <w:rsid w:val="00D6157C"/>
    <w:pPr>
      <w:tabs>
        <w:tab w:val="left" w:pos="2547"/>
        <w:tab w:val="right" w:pos="8640"/>
        <w:tab w:val="left" w:pos="9356"/>
      </w:tabs>
      <w:spacing w:line="360" w:lineRule="auto"/>
      <w:jc w:val="both"/>
    </w:pPr>
    <w:rPr>
      <w:rFonts w:eastAsia="Times New Roman"/>
      <w:spacing w:val="-2"/>
      <w:lang w:val="en-GB" w:eastAsia="en-US"/>
    </w:rPr>
  </w:style>
  <w:style w:type="character" w:customStyle="1" w:styleId="BodyTextChar">
    <w:name w:val="Body Text Char"/>
    <w:basedOn w:val="DefaultParagraphFont"/>
    <w:link w:val="BodyText"/>
    <w:rsid w:val="00D6157C"/>
    <w:rPr>
      <w:rFonts w:ascii="Times New Roman" w:eastAsia="Times New Roman" w:hAnsi="Times New Roman" w:cs="Times New Roman"/>
      <w:spacing w:val="-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233250">
      <w:bodyDiv w:val="1"/>
      <w:marLeft w:val="0"/>
      <w:marRight w:val="0"/>
      <w:marTop w:val="0"/>
      <w:marBottom w:val="0"/>
      <w:divBdr>
        <w:top w:val="none" w:sz="0" w:space="0" w:color="auto"/>
        <w:left w:val="none" w:sz="0" w:space="0" w:color="auto"/>
        <w:bottom w:val="none" w:sz="0" w:space="0" w:color="auto"/>
        <w:right w:val="none" w:sz="0" w:space="0" w:color="auto"/>
      </w:divBdr>
    </w:div>
    <w:div w:id="146939745">
      <w:bodyDiv w:val="1"/>
      <w:marLeft w:val="0"/>
      <w:marRight w:val="0"/>
      <w:marTop w:val="0"/>
      <w:marBottom w:val="0"/>
      <w:divBdr>
        <w:top w:val="none" w:sz="0" w:space="0" w:color="auto"/>
        <w:left w:val="none" w:sz="0" w:space="0" w:color="auto"/>
        <w:bottom w:val="none" w:sz="0" w:space="0" w:color="auto"/>
        <w:right w:val="none" w:sz="0" w:space="0" w:color="auto"/>
      </w:divBdr>
    </w:div>
    <w:div w:id="149373969">
      <w:bodyDiv w:val="1"/>
      <w:marLeft w:val="0"/>
      <w:marRight w:val="0"/>
      <w:marTop w:val="0"/>
      <w:marBottom w:val="0"/>
      <w:divBdr>
        <w:top w:val="none" w:sz="0" w:space="0" w:color="auto"/>
        <w:left w:val="none" w:sz="0" w:space="0" w:color="auto"/>
        <w:bottom w:val="none" w:sz="0" w:space="0" w:color="auto"/>
        <w:right w:val="none" w:sz="0" w:space="0" w:color="auto"/>
      </w:divBdr>
    </w:div>
    <w:div w:id="186649320">
      <w:bodyDiv w:val="1"/>
      <w:marLeft w:val="0"/>
      <w:marRight w:val="0"/>
      <w:marTop w:val="0"/>
      <w:marBottom w:val="0"/>
      <w:divBdr>
        <w:top w:val="none" w:sz="0" w:space="0" w:color="auto"/>
        <w:left w:val="none" w:sz="0" w:space="0" w:color="auto"/>
        <w:bottom w:val="none" w:sz="0" w:space="0" w:color="auto"/>
        <w:right w:val="none" w:sz="0" w:space="0" w:color="auto"/>
      </w:divBdr>
    </w:div>
    <w:div w:id="263923416">
      <w:bodyDiv w:val="1"/>
      <w:marLeft w:val="0"/>
      <w:marRight w:val="0"/>
      <w:marTop w:val="0"/>
      <w:marBottom w:val="0"/>
      <w:divBdr>
        <w:top w:val="none" w:sz="0" w:space="0" w:color="auto"/>
        <w:left w:val="none" w:sz="0" w:space="0" w:color="auto"/>
        <w:bottom w:val="none" w:sz="0" w:space="0" w:color="auto"/>
        <w:right w:val="none" w:sz="0" w:space="0" w:color="auto"/>
      </w:divBdr>
    </w:div>
    <w:div w:id="282424835">
      <w:bodyDiv w:val="1"/>
      <w:marLeft w:val="0"/>
      <w:marRight w:val="0"/>
      <w:marTop w:val="0"/>
      <w:marBottom w:val="0"/>
      <w:divBdr>
        <w:top w:val="none" w:sz="0" w:space="0" w:color="auto"/>
        <w:left w:val="none" w:sz="0" w:space="0" w:color="auto"/>
        <w:bottom w:val="none" w:sz="0" w:space="0" w:color="auto"/>
        <w:right w:val="none" w:sz="0" w:space="0" w:color="auto"/>
      </w:divBdr>
    </w:div>
    <w:div w:id="300699097">
      <w:bodyDiv w:val="1"/>
      <w:marLeft w:val="0"/>
      <w:marRight w:val="0"/>
      <w:marTop w:val="0"/>
      <w:marBottom w:val="0"/>
      <w:divBdr>
        <w:top w:val="none" w:sz="0" w:space="0" w:color="auto"/>
        <w:left w:val="none" w:sz="0" w:space="0" w:color="auto"/>
        <w:bottom w:val="none" w:sz="0" w:space="0" w:color="auto"/>
        <w:right w:val="none" w:sz="0" w:space="0" w:color="auto"/>
      </w:divBdr>
    </w:div>
    <w:div w:id="351538320">
      <w:bodyDiv w:val="1"/>
      <w:marLeft w:val="0"/>
      <w:marRight w:val="0"/>
      <w:marTop w:val="0"/>
      <w:marBottom w:val="0"/>
      <w:divBdr>
        <w:top w:val="none" w:sz="0" w:space="0" w:color="auto"/>
        <w:left w:val="none" w:sz="0" w:space="0" w:color="auto"/>
        <w:bottom w:val="none" w:sz="0" w:space="0" w:color="auto"/>
        <w:right w:val="none" w:sz="0" w:space="0" w:color="auto"/>
      </w:divBdr>
    </w:div>
    <w:div w:id="385686303">
      <w:bodyDiv w:val="1"/>
      <w:marLeft w:val="0"/>
      <w:marRight w:val="0"/>
      <w:marTop w:val="0"/>
      <w:marBottom w:val="0"/>
      <w:divBdr>
        <w:top w:val="none" w:sz="0" w:space="0" w:color="auto"/>
        <w:left w:val="none" w:sz="0" w:space="0" w:color="auto"/>
        <w:bottom w:val="none" w:sz="0" w:space="0" w:color="auto"/>
        <w:right w:val="none" w:sz="0" w:space="0" w:color="auto"/>
      </w:divBdr>
    </w:div>
    <w:div w:id="489947300">
      <w:bodyDiv w:val="1"/>
      <w:marLeft w:val="0"/>
      <w:marRight w:val="0"/>
      <w:marTop w:val="0"/>
      <w:marBottom w:val="0"/>
      <w:divBdr>
        <w:top w:val="none" w:sz="0" w:space="0" w:color="auto"/>
        <w:left w:val="none" w:sz="0" w:space="0" w:color="auto"/>
        <w:bottom w:val="none" w:sz="0" w:space="0" w:color="auto"/>
        <w:right w:val="none" w:sz="0" w:space="0" w:color="auto"/>
      </w:divBdr>
    </w:div>
    <w:div w:id="505637308">
      <w:bodyDiv w:val="1"/>
      <w:marLeft w:val="0"/>
      <w:marRight w:val="0"/>
      <w:marTop w:val="0"/>
      <w:marBottom w:val="0"/>
      <w:divBdr>
        <w:top w:val="none" w:sz="0" w:space="0" w:color="auto"/>
        <w:left w:val="none" w:sz="0" w:space="0" w:color="auto"/>
        <w:bottom w:val="none" w:sz="0" w:space="0" w:color="auto"/>
        <w:right w:val="none" w:sz="0" w:space="0" w:color="auto"/>
      </w:divBdr>
    </w:div>
    <w:div w:id="544876691">
      <w:bodyDiv w:val="1"/>
      <w:marLeft w:val="0"/>
      <w:marRight w:val="0"/>
      <w:marTop w:val="0"/>
      <w:marBottom w:val="0"/>
      <w:divBdr>
        <w:top w:val="none" w:sz="0" w:space="0" w:color="auto"/>
        <w:left w:val="none" w:sz="0" w:space="0" w:color="auto"/>
        <w:bottom w:val="none" w:sz="0" w:space="0" w:color="auto"/>
        <w:right w:val="none" w:sz="0" w:space="0" w:color="auto"/>
      </w:divBdr>
    </w:div>
    <w:div w:id="619846056">
      <w:bodyDiv w:val="1"/>
      <w:marLeft w:val="0"/>
      <w:marRight w:val="0"/>
      <w:marTop w:val="0"/>
      <w:marBottom w:val="0"/>
      <w:divBdr>
        <w:top w:val="none" w:sz="0" w:space="0" w:color="auto"/>
        <w:left w:val="none" w:sz="0" w:space="0" w:color="auto"/>
        <w:bottom w:val="none" w:sz="0" w:space="0" w:color="auto"/>
        <w:right w:val="none" w:sz="0" w:space="0" w:color="auto"/>
      </w:divBdr>
    </w:div>
    <w:div w:id="736440030">
      <w:bodyDiv w:val="1"/>
      <w:marLeft w:val="0"/>
      <w:marRight w:val="0"/>
      <w:marTop w:val="0"/>
      <w:marBottom w:val="0"/>
      <w:divBdr>
        <w:top w:val="none" w:sz="0" w:space="0" w:color="auto"/>
        <w:left w:val="none" w:sz="0" w:space="0" w:color="auto"/>
        <w:bottom w:val="none" w:sz="0" w:space="0" w:color="auto"/>
        <w:right w:val="none" w:sz="0" w:space="0" w:color="auto"/>
      </w:divBdr>
    </w:div>
    <w:div w:id="860168996">
      <w:bodyDiv w:val="1"/>
      <w:marLeft w:val="0"/>
      <w:marRight w:val="0"/>
      <w:marTop w:val="0"/>
      <w:marBottom w:val="0"/>
      <w:divBdr>
        <w:top w:val="none" w:sz="0" w:space="0" w:color="auto"/>
        <w:left w:val="none" w:sz="0" w:space="0" w:color="auto"/>
        <w:bottom w:val="none" w:sz="0" w:space="0" w:color="auto"/>
        <w:right w:val="none" w:sz="0" w:space="0" w:color="auto"/>
      </w:divBdr>
    </w:div>
    <w:div w:id="864365579">
      <w:bodyDiv w:val="1"/>
      <w:marLeft w:val="0"/>
      <w:marRight w:val="0"/>
      <w:marTop w:val="0"/>
      <w:marBottom w:val="0"/>
      <w:divBdr>
        <w:top w:val="none" w:sz="0" w:space="0" w:color="auto"/>
        <w:left w:val="none" w:sz="0" w:space="0" w:color="auto"/>
        <w:bottom w:val="none" w:sz="0" w:space="0" w:color="auto"/>
        <w:right w:val="none" w:sz="0" w:space="0" w:color="auto"/>
      </w:divBdr>
    </w:div>
    <w:div w:id="1004088668">
      <w:bodyDiv w:val="1"/>
      <w:marLeft w:val="0"/>
      <w:marRight w:val="0"/>
      <w:marTop w:val="0"/>
      <w:marBottom w:val="0"/>
      <w:divBdr>
        <w:top w:val="none" w:sz="0" w:space="0" w:color="auto"/>
        <w:left w:val="none" w:sz="0" w:space="0" w:color="auto"/>
        <w:bottom w:val="none" w:sz="0" w:space="0" w:color="auto"/>
        <w:right w:val="none" w:sz="0" w:space="0" w:color="auto"/>
      </w:divBdr>
    </w:div>
    <w:div w:id="1059745778">
      <w:bodyDiv w:val="1"/>
      <w:marLeft w:val="0"/>
      <w:marRight w:val="0"/>
      <w:marTop w:val="0"/>
      <w:marBottom w:val="0"/>
      <w:divBdr>
        <w:top w:val="none" w:sz="0" w:space="0" w:color="auto"/>
        <w:left w:val="none" w:sz="0" w:space="0" w:color="auto"/>
        <w:bottom w:val="none" w:sz="0" w:space="0" w:color="auto"/>
        <w:right w:val="none" w:sz="0" w:space="0" w:color="auto"/>
      </w:divBdr>
    </w:div>
    <w:div w:id="1061253239">
      <w:bodyDiv w:val="1"/>
      <w:marLeft w:val="0"/>
      <w:marRight w:val="0"/>
      <w:marTop w:val="0"/>
      <w:marBottom w:val="0"/>
      <w:divBdr>
        <w:top w:val="none" w:sz="0" w:space="0" w:color="auto"/>
        <w:left w:val="none" w:sz="0" w:space="0" w:color="auto"/>
        <w:bottom w:val="none" w:sz="0" w:space="0" w:color="auto"/>
        <w:right w:val="none" w:sz="0" w:space="0" w:color="auto"/>
      </w:divBdr>
      <w:divsChild>
        <w:div w:id="261571302">
          <w:marLeft w:val="0"/>
          <w:marRight w:val="0"/>
          <w:marTop w:val="0"/>
          <w:marBottom w:val="0"/>
          <w:divBdr>
            <w:top w:val="none" w:sz="0" w:space="0" w:color="auto"/>
            <w:left w:val="none" w:sz="0" w:space="0" w:color="auto"/>
            <w:bottom w:val="none" w:sz="0" w:space="0" w:color="auto"/>
            <w:right w:val="none" w:sz="0" w:space="0" w:color="auto"/>
          </w:divBdr>
        </w:div>
        <w:div w:id="313729308">
          <w:marLeft w:val="0"/>
          <w:marRight w:val="0"/>
          <w:marTop w:val="0"/>
          <w:marBottom w:val="0"/>
          <w:divBdr>
            <w:top w:val="none" w:sz="0" w:space="0" w:color="auto"/>
            <w:left w:val="none" w:sz="0" w:space="0" w:color="auto"/>
            <w:bottom w:val="none" w:sz="0" w:space="0" w:color="auto"/>
            <w:right w:val="none" w:sz="0" w:space="0" w:color="auto"/>
          </w:divBdr>
        </w:div>
      </w:divsChild>
    </w:div>
    <w:div w:id="1078596667">
      <w:bodyDiv w:val="1"/>
      <w:marLeft w:val="0"/>
      <w:marRight w:val="0"/>
      <w:marTop w:val="0"/>
      <w:marBottom w:val="0"/>
      <w:divBdr>
        <w:top w:val="none" w:sz="0" w:space="0" w:color="auto"/>
        <w:left w:val="none" w:sz="0" w:space="0" w:color="auto"/>
        <w:bottom w:val="none" w:sz="0" w:space="0" w:color="auto"/>
        <w:right w:val="none" w:sz="0" w:space="0" w:color="auto"/>
      </w:divBdr>
    </w:div>
    <w:div w:id="1083651268">
      <w:bodyDiv w:val="1"/>
      <w:marLeft w:val="0"/>
      <w:marRight w:val="0"/>
      <w:marTop w:val="0"/>
      <w:marBottom w:val="0"/>
      <w:divBdr>
        <w:top w:val="none" w:sz="0" w:space="0" w:color="auto"/>
        <w:left w:val="none" w:sz="0" w:space="0" w:color="auto"/>
        <w:bottom w:val="none" w:sz="0" w:space="0" w:color="auto"/>
        <w:right w:val="none" w:sz="0" w:space="0" w:color="auto"/>
      </w:divBdr>
    </w:div>
    <w:div w:id="1122766690">
      <w:bodyDiv w:val="1"/>
      <w:marLeft w:val="0"/>
      <w:marRight w:val="0"/>
      <w:marTop w:val="0"/>
      <w:marBottom w:val="0"/>
      <w:divBdr>
        <w:top w:val="none" w:sz="0" w:space="0" w:color="auto"/>
        <w:left w:val="none" w:sz="0" w:space="0" w:color="auto"/>
        <w:bottom w:val="none" w:sz="0" w:space="0" w:color="auto"/>
        <w:right w:val="none" w:sz="0" w:space="0" w:color="auto"/>
      </w:divBdr>
      <w:divsChild>
        <w:div w:id="167141967">
          <w:marLeft w:val="0"/>
          <w:marRight w:val="0"/>
          <w:marTop w:val="34"/>
          <w:marBottom w:val="34"/>
          <w:divBdr>
            <w:top w:val="none" w:sz="0" w:space="0" w:color="auto"/>
            <w:left w:val="none" w:sz="0" w:space="0" w:color="auto"/>
            <w:bottom w:val="none" w:sz="0" w:space="0" w:color="auto"/>
            <w:right w:val="none" w:sz="0" w:space="0" w:color="auto"/>
          </w:divBdr>
        </w:div>
        <w:div w:id="518279269">
          <w:marLeft w:val="0"/>
          <w:marRight w:val="0"/>
          <w:marTop w:val="0"/>
          <w:marBottom w:val="0"/>
          <w:divBdr>
            <w:top w:val="none" w:sz="0" w:space="0" w:color="auto"/>
            <w:left w:val="none" w:sz="0" w:space="0" w:color="auto"/>
            <w:bottom w:val="none" w:sz="0" w:space="0" w:color="auto"/>
            <w:right w:val="none" w:sz="0" w:space="0" w:color="auto"/>
          </w:divBdr>
        </w:div>
      </w:divsChild>
    </w:div>
    <w:div w:id="1164127741">
      <w:bodyDiv w:val="1"/>
      <w:marLeft w:val="0"/>
      <w:marRight w:val="0"/>
      <w:marTop w:val="0"/>
      <w:marBottom w:val="0"/>
      <w:divBdr>
        <w:top w:val="none" w:sz="0" w:space="0" w:color="auto"/>
        <w:left w:val="none" w:sz="0" w:space="0" w:color="auto"/>
        <w:bottom w:val="none" w:sz="0" w:space="0" w:color="auto"/>
        <w:right w:val="none" w:sz="0" w:space="0" w:color="auto"/>
      </w:divBdr>
    </w:div>
    <w:div w:id="1178472059">
      <w:bodyDiv w:val="1"/>
      <w:marLeft w:val="0"/>
      <w:marRight w:val="0"/>
      <w:marTop w:val="0"/>
      <w:marBottom w:val="0"/>
      <w:divBdr>
        <w:top w:val="none" w:sz="0" w:space="0" w:color="auto"/>
        <w:left w:val="none" w:sz="0" w:space="0" w:color="auto"/>
        <w:bottom w:val="none" w:sz="0" w:space="0" w:color="auto"/>
        <w:right w:val="none" w:sz="0" w:space="0" w:color="auto"/>
      </w:divBdr>
    </w:div>
    <w:div w:id="1390154181">
      <w:bodyDiv w:val="1"/>
      <w:marLeft w:val="0"/>
      <w:marRight w:val="0"/>
      <w:marTop w:val="0"/>
      <w:marBottom w:val="0"/>
      <w:divBdr>
        <w:top w:val="none" w:sz="0" w:space="0" w:color="auto"/>
        <w:left w:val="none" w:sz="0" w:space="0" w:color="auto"/>
        <w:bottom w:val="none" w:sz="0" w:space="0" w:color="auto"/>
        <w:right w:val="none" w:sz="0" w:space="0" w:color="auto"/>
      </w:divBdr>
    </w:div>
    <w:div w:id="1406996672">
      <w:bodyDiv w:val="1"/>
      <w:marLeft w:val="0"/>
      <w:marRight w:val="0"/>
      <w:marTop w:val="0"/>
      <w:marBottom w:val="0"/>
      <w:divBdr>
        <w:top w:val="none" w:sz="0" w:space="0" w:color="auto"/>
        <w:left w:val="none" w:sz="0" w:space="0" w:color="auto"/>
        <w:bottom w:val="none" w:sz="0" w:space="0" w:color="auto"/>
        <w:right w:val="none" w:sz="0" w:space="0" w:color="auto"/>
      </w:divBdr>
      <w:divsChild>
        <w:div w:id="840244077">
          <w:marLeft w:val="0"/>
          <w:marRight w:val="0"/>
          <w:marTop w:val="75"/>
          <w:marBottom w:val="0"/>
          <w:divBdr>
            <w:top w:val="none" w:sz="0" w:space="0" w:color="auto"/>
            <w:left w:val="none" w:sz="0" w:space="0" w:color="auto"/>
            <w:bottom w:val="none" w:sz="0" w:space="0" w:color="auto"/>
            <w:right w:val="none" w:sz="0" w:space="0" w:color="auto"/>
          </w:divBdr>
        </w:div>
        <w:div w:id="870344226">
          <w:marLeft w:val="0"/>
          <w:marRight w:val="0"/>
          <w:marTop w:val="75"/>
          <w:marBottom w:val="0"/>
          <w:divBdr>
            <w:top w:val="none" w:sz="0" w:space="0" w:color="auto"/>
            <w:left w:val="none" w:sz="0" w:space="0" w:color="auto"/>
            <w:bottom w:val="none" w:sz="0" w:space="0" w:color="auto"/>
            <w:right w:val="none" w:sz="0" w:space="0" w:color="auto"/>
          </w:divBdr>
        </w:div>
      </w:divsChild>
    </w:div>
    <w:div w:id="1431200852">
      <w:bodyDiv w:val="1"/>
      <w:marLeft w:val="0"/>
      <w:marRight w:val="0"/>
      <w:marTop w:val="0"/>
      <w:marBottom w:val="0"/>
      <w:divBdr>
        <w:top w:val="none" w:sz="0" w:space="0" w:color="auto"/>
        <w:left w:val="none" w:sz="0" w:space="0" w:color="auto"/>
        <w:bottom w:val="none" w:sz="0" w:space="0" w:color="auto"/>
        <w:right w:val="none" w:sz="0" w:space="0" w:color="auto"/>
      </w:divBdr>
    </w:div>
    <w:div w:id="1446272129">
      <w:bodyDiv w:val="1"/>
      <w:marLeft w:val="0"/>
      <w:marRight w:val="0"/>
      <w:marTop w:val="0"/>
      <w:marBottom w:val="0"/>
      <w:divBdr>
        <w:top w:val="none" w:sz="0" w:space="0" w:color="auto"/>
        <w:left w:val="none" w:sz="0" w:space="0" w:color="auto"/>
        <w:bottom w:val="none" w:sz="0" w:space="0" w:color="auto"/>
        <w:right w:val="none" w:sz="0" w:space="0" w:color="auto"/>
      </w:divBdr>
    </w:div>
    <w:div w:id="1501113759">
      <w:bodyDiv w:val="1"/>
      <w:marLeft w:val="0"/>
      <w:marRight w:val="0"/>
      <w:marTop w:val="0"/>
      <w:marBottom w:val="0"/>
      <w:divBdr>
        <w:top w:val="none" w:sz="0" w:space="0" w:color="auto"/>
        <w:left w:val="none" w:sz="0" w:space="0" w:color="auto"/>
        <w:bottom w:val="none" w:sz="0" w:space="0" w:color="auto"/>
        <w:right w:val="none" w:sz="0" w:space="0" w:color="auto"/>
      </w:divBdr>
    </w:div>
    <w:div w:id="1561940036">
      <w:bodyDiv w:val="1"/>
      <w:marLeft w:val="0"/>
      <w:marRight w:val="0"/>
      <w:marTop w:val="0"/>
      <w:marBottom w:val="0"/>
      <w:divBdr>
        <w:top w:val="none" w:sz="0" w:space="0" w:color="auto"/>
        <w:left w:val="none" w:sz="0" w:space="0" w:color="auto"/>
        <w:bottom w:val="none" w:sz="0" w:space="0" w:color="auto"/>
        <w:right w:val="none" w:sz="0" w:space="0" w:color="auto"/>
      </w:divBdr>
    </w:div>
    <w:div w:id="1609922297">
      <w:bodyDiv w:val="1"/>
      <w:marLeft w:val="0"/>
      <w:marRight w:val="0"/>
      <w:marTop w:val="0"/>
      <w:marBottom w:val="0"/>
      <w:divBdr>
        <w:top w:val="none" w:sz="0" w:space="0" w:color="auto"/>
        <w:left w:val="none" w:sz="0" w:space="0" w:color="auto"/>
        <w:bottom w:val="none" w:sz="0" w:space="0" w:color="auto"/>
        <w:right w:val="none" w:sz="0" w:space="0" w:color="auto"/>
      </w:divBdr>
    </w:div>
    <w:div w:id="1624731456">
      <w:bodyDiv w:val="1"/>
      <w:marLeft w:val="0"/>
      <w:marRight w:val="0"/>
      <w:marTop w:val="0"/>
      <w:marBottom w:val="0"/>
      <w:divBdr>
        <w:top w:val="none" w:sz="0" w:space="0" w:color="auto"/>
        <w:left w:val="none" w:sz="0" w:space="0" w:color="auto"/>
        <w:bottom w:val="none" w:sz="0" w:space="0" w:color="auto"/>
        <w:right w:val="none" w:sz="0" w:space="0" w:color="auto"/>
      </w:divBdr>
    </w:div>
    <w:div w:id="1677147112">
      <w:bodyDiv w:val="1"/>
      <w:marLeft w:val="0"/>
      <w:marRight w:val="0"/>
      <w:marTop w:val="0"/>
      <w:marBottom w:val="0"/>
      <w:divBdr>
        <w:top w:val="none" w:sz="0" w:space="0" w:color="auto"/>
        <w:left w:val="none" w:sz="0" w:space="0" w:color="auto"/>
        <w:bottom w:val="none" w:sz="0" w:space="0" w:color="auto"/>
        <w:right w:val="none" w:sz="0" w:space="0" w:color="auto"/>
      </w:divBdr>
    </w:div>
    <w:div w:id="1836458417">
      <w:bodyDiv w:val="1"/>
      <w:marLeft w:val="0"/>
      <w:marRight w:val="0"/>
      <w:marTop w:val="0"/>
      <w:marBottom w:val="0"/>
      <w:divBdr>
        <w:top w:val="none" w:sz="0" w:space="0" w:color="auto"/>
        <w:left w:val="none" w:sz="0" w:space="0" w:color="auto"/>
        <w:bottom w:val="none" w:sz="0" w:space="0" w:color="auto"/>
        <w:right w:val="none" w:sz="0" w:space="0" w:color="auto"/>
      </w:divBdr>
    </w:div>
    <w:div w:id="1973628403">
      <w:bodyDiv w:val="1"/>
      <w:marLeft w:val="0"/>
      <w:marRight w:val="0"/>
      <w:marTop w:val="0"/>
      <w:marBottom w:val="0"/>
      <w:divBdr>
        <w:top w:val="none" w:sz="0" w:space="0" w:color="auto"/>
        <w:left w:val="none" w:sz="0" w:space="0" w:color="auto"/>
        <w:bottom w:val="none" w:sz="0" w:space="0" w:color="auto"/>
        <w:right w:val="none" w:sz="0" w:space="0" w:color="auto"/>
      </w:divBdr>
    </w:div>
    <w:div w:id="199918443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uigi.camporota@gstt.nhs.uk" TargetMode="External"/><Relationship Id="rId13" Type="http://schemas.openxmlformats.org/officeDocument/2006/relationships/diagramData" Target="diagrams/data1.xml"/><Relationship Id="rId18" Type="http://schemas.openxmlformats.org/officeDocument/2006/relationships/footer" Target="footer1.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microsoft.com/office/2016/09/relationships/commentsIds" Target="commentsIds.xml"/><Relationship Id="rId17"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Colors" Target="diagrams/colors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openxmlformats.org/officeDocument/2006/relationships/diagramQuickStyle" Target="diagrams/quickStyle1.xml"/><Relationship Id="rId10" Type="http://schemas.openxmlformats.org/officeDocument/2006/relationships/comments" Target="comments.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diagramLayout" Target="diagrams/layout1.xml"/><Relationship Id="rId22"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28F73C4-9F02-0544-BDB6-9496AE470218}" type="doc">
      <dgm:prSet loTypeId="urn:microsoft.com/office/officeart/2005/8/layout/process2" loCatId="" qsTypeId="urn:microsoft.com/office/officeart/2005/8/quickstyle/simple4" qsCatId="simple" csTypeId="urn:microsoft.com/office/officeart/2005/8/colors/accent1_1" csCatId="accent1" phldr="1"/>
      <dgm:spPr/>
      <dgm:t>
        <a:bodyPr/>
        <a:lstStyle/>
        <a:p>
          <a:endParaRPr lang="it-IT"/>
        </a:p>
      </dgm:t>
    </dgm:pt>
    <dgm:pt modelId="{93256E79-185A-4449-ACC9-E029B30E7DC5}">
      <dgm:prSet phldrT="[Testo]" custT="1"/>
      <dgm:spPr>
        <a:noFill/>
        <a:ln>
          <a:solidFill>
            <a:schemeClr val="accent1"/>
          </a:solidFill>
        </a:ln>
      </dgm:spPr>
      <dgm:t>
        <a:bodyPr/>
        <a:lstStyle/>
        <a:p>
          <a:pPr algn="ctr"/>
          <a:r>
            <a:rPr lang="it-IT" sz="1200" b="1">
              <a:latin typeface="Times New Roman" charset="0"/>
              <a:ea typeface="Times New Roman" charset="0"/>
              <a:cs typeface="Times New Roman" charset="0"/>
            </a:rPr>
            <a:t>Spontaneous breating trial </a:t>
          </a:r>
          <a:r>
            <a:rPr lang="it-IT" sz="1200">
              <a:latin typeface="Times New Roman" charset="0"/>
              <a:ea typeface="Times New Roman" charset="0"/>
              <a:cs typeface="Times New Roman" charset="0"/>
            </a:rPr>
            <a:t>(SBT</a:t>
          </a:r>
          <a:r>
            <a:rPr lang="it-IT" sz="1200" baseline="0">
              <a:latin typeface="Times New Roman" charset="0"/>
              <a:ea typeface="Times New Roman" charset="0"/>
              <a:cs typeface="Times New Roman" charset="0"/>
            </a:rPr>
            <a:t>: </a:t>
          </a:r>
          <a:r>
            <a:rPr lang="it-IT" sz="1200">
              <a:latin typeface="Times New Roman" charset="0"/>
              <a:ea typeface="Times New Roman" charset="0"/>
              <a:cs typeface="Times New Roman" charset="0"/>
            </a:rPr>
            <a:t>PEEP </a:t>
          </a:r>
          <a:r>
            <a:rPr lang="it-IT" sz="1200" baseline="0">
              <a:latin typeface="Times New Roman" charset="0"/>
              <a:ea typeface="Times New Roman" charset="0"/>
              <a:cs typeface="Times New Roman" charset="0"/>
            </a:rPr>
            <a:t>0, PS 0)</a:t>
          </a:r>
          <a:endParaRPr lang="it-IT" sz="1200">
            <a:latin typeface="Times New Roman" charset="0"/>
            <a:ea typeface="Times New Roman" charset="0"/>
            <a:cs typeface="Times New Roman" charset="0"/>
          </a:endParaRPr>
        </a:p>
      </dgm:t>
    </dgm:pt>
    <dgm:pt modelId="{6D922D76-1533-FF4A-A26E-292D87A6A3A3}" type="parTrans" cxnId="{DA32EDC4-A8F0-6D46-8B2A-2AF9B5099D61}">
      <dgm:prSet/>
      <dgm:spPr/>
      <dgm:t>
        <a:bodyPr/>
        <a:lstStyle/>
        <a:p>
          <a:pPr algn="ctr"/>
          <a:endParaRPr lang="it-IT" sz="1000">
            <a:latin typeface="Times New Roman" charset="0"/>
            <a:ea typeface="Times New Roman" charset="0"/>
            <a:cs typeface="Times New Roman" charset="0"/>
          </a:endParaRPr>
        </a:p>
      </dgm:t>
    </dgm:pt>
    <dgm:pt modelId="{F2641280-CEFA-8742-B6A5-6A192D59288D}" type="sibTrans" cxnId="{DA32EDC4-A8F0-6D46-8B2A-2AF9B5099D61}">
      <dgm:prSet custT="1"/>
      <dgm:spPr/>
      <dgm:t>
        <a:bodyPr/>
        <a:lstStyle/>
        <a:p>
          <a:pPr algn="ctr"/>
          <a:endParaRPr lang="it-IT" sz="1000">
            <a:latin typeface="Times New Roman" charset="0"/>
            <a:ea typeface="Times New Roman" charset="0"/>
            <a:cs typeface="Times New Roman" charset="0"/>
          </a:endParaRPr>
        </a:p>
      </dgm:t>
    </dgm:pt>
    <dgm:pt modelId="{D0B83E15-B64C-3747-ABC5-A2443EBF9C98}">
      <dgm:prSet phldrT="[Testo]" custT="1"/>
      <dgm:spPr>
        <a:noFill/>
        <a:ln>
          <a:solidFill>
            <a:schemeClr val="accent1"/>
          </a:solidFill>
        </a:ln>
      </dgm:spPr>
      <dgm:t>
        <a:bodyPr/>
        <a:lstStyle/>
        <a:p>
          <a:pPr algn="ctr"/>
          <a:r>
            <a:rPr lang="it-IT" sz="1200" b="1">
              <a:latin typeface="Times New Roman" charset="0"/>
              <a:ea typeface="Times New Roman" charset="0"/>
              <a:cs typeface="Times New Roman" charset="0"/>
            </a:rPr>
            <a:t>Measurement</a:t>
          </a:r>
          <a:r>
            <a:rPr lang="it-IT" sz="1200" b="1" baseline="0">
              <a:latin typeface="Times New Roman" charset="0"/>
              <a:ea typeface="Times New Roman" charset="0"/>
              <a:cs typeface="Times New Roman" charset="0"/>
            </a:rPr>
            <a:t> of:</a:t>
          </a:r>
        </a:p>
        <a:p>
          <a:pPr algn="ctr"/>
          <a:r>
            <a:rPr lang="it-IT" sz="1200" baseline="0">
              <a:latin typeface="Times New Roman" charset="0"/>
              <a:ea typeface="Times New Roman" charset="0"/>
              <a:cs typeface="Times New Roman" charset="0"/>
            </a:rPr>
            <a:t>- Mean inspiratory flow (</a:t>
          </a:r>
          <a:r>
            <a:rPr lang="it-IT" sz="1200" b="0" i="0" baseline="0">
              <a:latin typeface="Times New Roman" charset="0"/>
              <a:ea typeface="Times New Roman" charset="0"/>
              <a:cs typeface="Times New Roman" charset="0"/>
            </a:rPr>
            <a:t>Vt in liter</a:t>
          </a:r>
          <a:r>
            <a:rPr lang="it-IT" sz="1200" b="0" baseline="0">
              <a:latin typeface="Times New Roman" charset="0"/>
              <a:ea typeface="Times New Roman" charset="0"/>
              <a:cs typeface="Times New Roman" charset="0"/>
            </a:rPr>
            <a:t>/T</a:t>
          </a:r>
          <a:r>
            <a:rPr lang="it-IT" sz="1200" b="0" baseline="-25000">
              <a:latin typeface="Times New Roman" charset="0"/>
              <a:ea typeface="Times New Roman" charset="0"/>
              <a:cs typeface="Times New Roman" charset="0"/>
            </a:rPr>
            <a:t>i </a:t>
          </a:r>
          <a:r>
            <a:rPr lang="it-IT" sz="1200" b="0" baseline="0">
              <a:latin typeface="Times New Roman" charset="0"/>
              <a:ea typeface="Times New Roman" charset="0"/>
              <a:cs typeface="Times New Roman" charset="0"/>
            </a:rPr>
            <a:t>in minutes</a:t>
          </a:r>
          <a:r>
            <a:rPr lang="it-IT" sz="1200" baseline="0">
              <a:latin typeface="Times New Roman" charset="0"/>
              <a:ea typeface="Times New Roman" charset="0"/>
              <a:cs typeface="Times New Roman" charset="0"/>
            </a:rPr>
            <a:t>)</a:t>
          </a:r>
        </a:p>
        <a:p>
          <a:pPr algn="ctr"/>
          <a:r>
            <a:rPr lang="it-IT" sz="1200">
              <a:latin typeface="Times New Roman" charset="0"/>
              <a:ea typeface="Times New Roman" charset="0"/>
              <a:cs typeface="Times New Roman" charset="0"/>
            </a:rPr>
            <a:t>- Peak</a:t>
          </a:r>
          <a:r>
            <a:rPr lang="it-IT" sz="1200" baseline="0">
              <a:latin typeface="Times New Roman" charset="0"/>
              <a:ea typeface="Times New Roman" charset="0"/>
              <a:cs typeface="Times New Roman" charset="0"/>
            </a:rPr>
            <a:t> inspiratory flow</a:t>
          </a:r>
          <a:endParaRPr lang="it-IT" sz="1200">
            <a:latin typeface="Times New Roman" charset="0"/>
            <a:ea typeface="Times New Roman" charset="0"/>
            <a:cs typeface="Times New Roman" charset="0"/>
          </a:endParaRPr>
        </a:p>
      </dgm:t>
    </dgm:pt>
    <dgm:pt modelId="{6900B376-DB49-D94A-AA44-04FD2FF48E97}" type="parTrans" cxnId="{33306C89-AC24-FD48-A6AD-C4DDF5FD1428}">
      <dgm:prSet/>
      <dgm:spPr/>
      <dgm:t>
        <a:bodyPr/>
        <a:lstStyle/>
        <a:p>
          <a:pPr algn="ctr"/>
          <a:endParaRPr lang="it-IT" sz="1000">
            <a:latin typeface="Times New Roman" charset="0"/>
            <a:ea typeface="Times New Roman" charset="0"/>
            <a:cs typeface="Times New Roman" charset="0"/>
          </a:endParaRPr>
        </a:p>
      </dgm:t>
    </dgm:pt>
    <dgm:pt modelId="{DF98A1F6-679A-F847-B05B-E37D8CB2E633}" type="sibTrans" cxnId="{33306C89-AC24-FD48-A6AD-C4DDF5FD1428}">
      <dgm:prSet custT="1"/>
      <dgm:spPr/>
      <dgm:t>
        <a:bodyPr/>
        <a:lstStyle/>
        <a:p>
          <a:pPr algn="ctr"/>
          <a:endParaRPr lang="it-IT" sz="1000">
            <a:latin typeface="Times New Roman" charset="0"/>
            <a:ea typeface="Times New Roman" charset="0"/>
            <a:cs typeface="Times New Roman" charset="0"/>
          </a:endParaRPr>
        </a:p>
      </dgm:t>
    </dgm:pt>
    <dgm:pt modelId="{DE899BED-4971-5B4B-A20B-11DEFD4A0EF1}">
      <dgm:prSet custT="1"/>
      <dgm:spPr>
        <a:noFill/>
        <a:ln>
          <a:solidFill>
            <a:schemeClr val="accent1"/>
          </a:solidFill>
        </a:ln>
      </dgm:spPr>
      <dgm:t>
        <a:bodyPr/>
        <a:lstStyle/>
        <a:p>
          <a:pPr algn="ctr"/>
          <a:r>
            <a:rPr lang="it-IT" sz="1200">
              <a:latin typeface="Times New Roman" charset="0"/>
              <a:ea typeface="Times New Roman" charset="0"/>
              <a:cs typeface="Times New Roman" charset="0"/>
            </a:rPr>
            <a:t>Screening against all </a:t>
          </a:r>
          <a:r>
            <a:rPr lang="it-IT" sz="1200" b="1">
              <a:latin typeface="Times New Roman" charset="0"/>
              <a:ea typeface="Times New Roman" charset="0"/>
              <a:cs typeface="Times New Roman" charset="0"/>
            </a:rPr>
            <a:t>inclusion</a:t>
          </a:r>
          <a:r>
            <a:rPr lang="it-IT" sz="1200">
              <a:latin typeface="Times New Roman" charset="0"/>
              <a:ea typeface="Times New Roman" charset="0"/>
              <a:cs typeface="Times New Roman" charset="0"/>
            </a:rPr>
            <a:t> and </a:t>
          </a:r>
          <a:r>
            <a:rPr lang="it-IT" sz="1200" b="1">
              <a:latin typeface="Times New Roman" charset="0"/>
              <a:ea typeface="Times New Roman" charset="0"/>
              <a:cs typeface="Times New Roman" charset="0"/>
            </a:rPr>
            <a:t>exclusion</a:t>
          </a:r>
          <a:r>
            <a:rPr lang="it-IT" sz="1200">
              <a:latin typeface="Times New Roman" charset="0"/>
              <a:ea typeface="Times New Roman" charset="0"/>
              <a:cs typeface="Times New Roman" charset="0"/>
            </a:rPr>
            <a:t> </a:t>
          </a:r>
          <a:r>
            <a:rPr lang="it-IT" sz="1200" b="1">
              <a:latin typeface="Times New Roman" charset="0"/>
              <a:ea typeface="Times New Roman" charset="0"/>
              <a:cs typeface="Times New Roman" charset="0"/>
            </a:rPr>
            <a:t>criteria</a:t>
          </a:r>
        </a:p>
      </dgm:t>
    </dgm:pt>
    <dgm:pt modelId="{9D3C78F8-76A5-CB47-AE39-5C8D0BA1ECDB}" type="parTrans" cxnId="{EDBB00FF-01CC-144E-BA90-19C5AF8A9268}">
      <dgm:prSet/>
      <dgm:spPr/>
      <dgm:t>
        <a:bodyPr/>
        <a:lstStyle/>
        <a:p>
          <a:pPr algn="ctr"/>
          <a:endParaRPr lang="it-IT" sz="1000">
            <a:latin typeface="Times New Roman" charset="0"/>
            <a:ea typeface="Times New Roman" charset="0"/>
            <a:cs typeface="Times New Roman" charset="0"/>
          </a:endParaRPr>
        </a:p>
      </dgm:t>
    </dgm:pt>
    <dgm:pt modelId="{2533E042-6324-1A45-A3F3-496613E6B581}" type="sibTrans" cxnId="{EDBB00FF-01CC-144E-BA90-19C5AF8A9268}">
      <dgm:prSet custT="1"/>
      <dgm:spPr/>
      <dgm:t>
        <a:bodyPr/>
        <a:lstStyle/>
        <a:p>
          <a:pPr algn="ctr"/>
          <a:endParaRPr lang="it-IT" sz="1000">
            <a:latin typeface="Times New Roman" charset="0"/>
            <a:ea typeface="Times New Roman" charset="0"/>
            <a:cs typeface="Times New Roman" charset="0"/>
          </a:endParaRPr>
        </a:p>
      </dgm:t>
    </dgm:pt>
    <dgm:pt modelId="{27F4FB9D-9677-0940-B729-FD27FD8BFA4A}">
      <dgm:prSet phldrT="[Testo]" custT="1"/>
      <dgm:spPr>
        <a:noFill/>
        <a:ln>
          <a:solidFill>
            <a:schemeClr val="accent1"/>
          </a:solidFill>
        </a:ln>
      </dgm:spPr>
      <dgm:t>
        <a:bodyPr/>
        <a:lstStyle/>
        <a:p>
          <a:pPr algn="ctr"/>
          <a:r>
            <a:rPr lang="it-IT" sz="1200" b="1">
              <a:latin typeface="Times New Roman" charset="0"/>
              <a:ea typeface="Times New Roman" charset="0"/>
              <a:cs typeface="Times New Roman" charset="0"/>
            </a:rPr>
            <a:t>Measurement</a:t>
          </a:r>
          <a:r>
            <a:rPr lang="it-IT" sz="1200" b="1" baseline="0">
              <a:latin typeface="Times New Roman" charset="0"/>
              <a:ea typeface="Times New Roman" charset="0"/>
              <a:cs typeface="Times New Roman" charset="0"/>
            </a:rPr>
            <a:t> of:</a:t>
          </a:r>
        </a:p>
        <a:p>
          <a:pPr algn="ctr"/>
          <a:r>
            <a:rPr lang="it-IT" sz="1200" baseline="0">
              <a:latin typeface="Times New Roman" charset="0"/>
              <a:ea typeface="Times New Roman" charset="0"/>
              <a:cs typeface="Times New Roman" charset="0"/>
            </a:rPr>
            <a:t>-</a:t>
          </a:r>
          <a:r>
            <a:rPr lang="it-IT" sz="1200">
              <a:latin typeface="Times New Roman" charset="0"/>
              <a:ea typeface="Times New Roman" charset="0"/>
              <a:cs typeface="Times New Roman" charset="0"/>
            </a:rPr>
            <a:t>Respiratory drive (P0.1)</a:t>
          </a:r>
          <a:endParaRPr lang="it-IT" sz="1200" u="none">
            <a:latin typeface="Times New Roman" charset="0"/>
            <a:ea typeface="Times New Roman" charset="0"/>
            <a:cs typeface="Times New Roman" charset="0"/>
          </a:endParaRPr>
        </a:p>
        <a:p>
          <a:pPr algn="ctr"/>
          <a:r>
            <a:rPr lang="it-IT" sz="1200" baseline="0">
              <a:latin typeface="Times New Roman" charset="0"/>
              <a:ea typeface="Times New Roman" charset="0"/>
              <a:cs typeface="Times New Roman" charset="0"/>
            </a:rPr>
            <a:t>-</a:t>
          </a:r>
          <a:r>
            <a:rPr lang="it-IT" sz="1200">
              <a:latin typeface="Times New Roman" charset="0"/>
              <a:ea typeface="Times New Roman" charset="0"/>
              <a:cs typeface="Times New Roman" charset="0"/>
            </a:rPr>
            <a:t>negative inspiratory force (NIF)</a:t>
          </a:r>
          <a:r>
            <a:rPr lang="it-IT" sz="1200" u="sng">
              <a:latin typeface="Times New Roman" charset="0"/>
              <a:ea typeface="Times New Roman" charset="0"/>
              <a:cs typeface="Times New Roman" charset="0"/>
            </a:rPr>
            <a:t> </a:t>
          </a:r>
        </a:p>
        <a:p>
          <a:pPr algn="ctr"/>
          <a:r>
            <a:rPr lang="it-IT" sz="1200" baseline="0">
              <a:latin typeface="Times New Roman" charset="0"/>
              <a:ea typeface="Times New Roman" charset="0"/>
              <a:cs typeface="Times New Roman" charset="0"/>
            </a:rPr>
            <a:t>-rapid shallow breathing index (RSBI) </a:t>
          </a:r>
        </a:p>
        <a:p>
          <a:pPr algn="ctr"/>
          <a:r>
            <a:rPr lang="it-IT" sz="1200" baseline="0">
              <a:latin typeface="Times New Roman" charset="0"/>
              <a:ea typeface="Times New Roman" charset="0"/>
              <a:cs typeface="Times New Roman" charset="0"/>
            </a:rPr>
            <a:t>- P0.1/NIF</a:t>
          </a:r>
          <a:endParaRPr lang="it-IT" sz="1200">
            <a:latin typeface="Times New Roman" charset="0"/>
            <a:ea typeface="Times New Roman" charset="0"/>
            <a:cs typeface="Times New Roman" charset="0"/>
          </a:endParaRPr>
        </a:p>
      </dgm:t>
    </dgm:pt>
    <dgm:pt modelId="{9D532CD6-C962-DE41-8223-9F9EAD39A826}" type="parTrans" cxnId="{37629D1C-AD2D-7D47-B99B-30886549F45C}">
      <dgm:prSet/>
      <dgm:spPr/>
      <dgm:t>
        <a:bodyPr/>
        <a:lstStyle/>
        <a:p>
          <a:pPr algn="ctr"/>
          <a:endParaRPr lang="it-IT" sz="1000">
            <a:latin typeface="Times New Roman" charset="0"/>
            <a:ea typeface="Times New Roman" charset="0"/>
            <a:cs typeface="Times New Roman" charset="0"/>
          </a:endParaRPr>
        </a:p>
      </dgm:t>
    </dgm:pt>
    <dgm:pt modelId="{6C28EE67-9371-BC4E-A01C-42E9CCBCBB30}" type="sibTrans" cxnId="{37629D1C-AD2D-7D47-B99B-30886549F45C}">
      <dgm:prSet custT="1"/>
      <dgm:spPr/>
      <dgm:t>
        <a:bodyPr/>
        <a:lstStyle/>
        <a:p>
          <a:pPr algn="ctr"/>
          <a:endParaRPr lang="it-IT" sz="1000">
            <a:latin typeface="Times New Roman" charset="0"/>
            <a:ea typeface="Times New Roman" charset="0"/>
            <a:cs typeface="Times New Roman" charset="0"/>
          </a:endParaRPr>
        </a:p>
      </dgm:t>
    </dgm:pt>
    <dgm:pt modelId="{25216C87-A1B4-E04E-B801-0E77F5DDCC69}">
      <dgm:prSet custT="1"/>
      <dgm:spPr>
        <a:noFill/>
        <a:ln>
          <a:solidFill>
            <a:schemeClr val="accent1"/>
          </a:solidFill>
        </a:ln>
      </dgm:spPr>
      <dgm:t>
        <a:bodyPr/>
        <a:lstStyle/>
        <a:p>
          <a:pPr algn="ctr"/>
          <a:r>
            <a:rPr lang="it-IT" sz="1200" b="1">
              <a:latin typeface="Times New Roman" charset="0"/>
              <a:ea typeface="Times New Roman" charset="0"/>
              <a:cs typeface="Times New Roman" charset="0"/>
            </a:rPr>
            <a:t>VAS</a:t>
          </a:r>
          <a:r>
            <a:rPr lang="it-IT" sz="1200">
              <a:latin typeface="Times New Roman" charset="0"/>
              <a:ea typeface="Times New Roman" charset="0"/>
              <a:cs typeface="Times New Roman" charset="0"/>
            </a:rPr>
            <a:t> of comfort </a:t>
          </a:r>
          <a:r>
            <a:rPr lang="it-IT" sz="1200" b="1">
              <a:latin typeface="Times New Roman" charset="0"/>
              <a:ea typeface="Times New Roman" charset="0"/>
              <a:cs typeface="Times New Roman" charset="0"/>
            </a:rPr>
            <a:t>pre extubation</a:t>
          </a:r>
        </a:p>
      </dgm:t>
    </dgm:pt>
    <dgm:pt modelId="{49794EAE-43DD-6F4B-A8DE-63A2BE8FFB55}" type="parTrans" cxnId="{1B5A7A72-BBD0-DF4B-9134-9C6FDE1071FB}">
      <dgm:prSet/>
      <dgm:spPr/>
      <dgm:t>
        <a:bodyPr/>
        <a:lstStyle/>
        <a:p>
          <a:pPr algn="ctr"/>
          <a:endParaRPr lang="it-IT">
            <a:latin typeface="Times New Roman" charset="0"/>
            <a:ea typeface="Times New Roman" charset="0"/>
            <a:cs typeface="Times New Roman" charset="0"/>
          </a:endParaRPr>
        </a:p>
      </dgm:t>
    </dgm:pt>
    <dgm:pt modelId="{A91EE035-EA60-4A49-BF42-970C26F18C8C}" type="sibTrans" cxnId="{1B5A7A72-BBD0-DF4B-9134-9C6FDE1071FB}">
      <dgm:prSet/>
      <dgm:spPr/>
      <dgm:t>
        <a:bodyPr/>
        <a:lstStyle/>
        <a:p>
          <a:pPr algn="ctr"/>
          <a:endParaRPr lang="it-IT">
            <a:latin typeface="Times New Roman" charset="0"/>
            <a:ea typeface="Times New Roman" charset="0"/>
            <a:cs typeface="Times New Roman" charset="0"/>
          </a:endParaRPr>
        </a:p>
      </dgm:t>
    </dgm:pt>
    <dgm:pt modelId="{35723F34-ECD7-AC49-98F0-0F8D9DD82D80}">
      <dgm:prSet custT="1"/>
      <dgm:spPr>
        <a:noFill/>
        <a:ln>
          <a:solidFill>
            <a:schemeClr val="accent1"/>
          </a:solidFill>
        </a:ln>
      </dgm:spPr>
      <dgm:t>
        <a:bodyPr/>
        <a:lstStyle/>
        <a:p>
          <a:pPr algn="ctr"/>
          <a:r>
            <a:rPr lang="it-IT" sz="1400" b="1">
              <a:latin typeface="Times New Roman" charset="0"/>
              <a:ea typeface="Times New Roman" charset="0"/>
              <a:cs typeface="Times New Roman" charset="0"/>
            </a:rPr>
            <a:t>EXTUBATION</a:t>
          </a:r>
          <a:r>
            <a:rPr lang="it-IT" sz="800">
              <a:latin typeface="Times New Roman" charset="0"/>
              <a:ea typeface="Times New Roman" charset="0"/>
              <a:cs typeface="Times New Roman" charset="0"/>
            </a:rPr>
            <a:t>.</a:t>
          </a:r>
        </a:p>
      </dgm:t>
    </dgm:pt>
    <dgm:pt modelId="{146B16CA-ED3B-2745-B302-9B5C1D8A82AA}" type="parTrans" cxnId="{03409409-CDA1-9548-8C04-5B01B66EBAF2}">
      <dgm:prSet/>
      <dgm:spPr/>
      <dgm:t>
        <a:bodyPr/>
        <a:lstStyle/>
        <a:p>
          <a:pPr algn="ctr"/>
          <a:endParaRPr lang="it-IT">
            <a:latin typeface="Times New Roman" charset="0"/>
            <a:ea typeface="Times New Roman" charset="0"/>
            <a:cs typeface="Times New Roman" charset="0"/>
          </a:endParaRPr>
        </a:p>
      </dgm:t>
    </dgm:pt>
    <dgm:pt modelId="{B7AF1D9F-86FA-4A49-91D5-AF699BF97FBE}" type="sibTrans" cxnId="{03409409-CDA1-9548-8C04-5B01B66EBAF2}">
      <dgm:prSet/>
      <dgm:spPr/>
      <dgm:t>
        <a:bodyPr/>
        <a:lstStyle/>
        <a:p>
          <a:pPr algn="ctr"/>
          <a:endParaRPr lang="it-IT">
            <a:latin typeface="Times New Roman" charset="0"/>
            <a:ea typeface="Times New Roman" charset="0"/>
            <a:cs typeface="Times New Roman" charset="0"/>
          </a:endParaRPr>
        </a:p>
      </dgm:t>
    </dgm:pt>
    <dgm:pt modelId="{4769CBCE-A779-8248-B48D-722D1E5F2FFF}">
      <dgm:prSet custT="1"/>
      <dgm:spPr>
        <a:noFill/>
        <a:ln>
          <a:solidFill>
            <a:schemeClr val="accent1"/>
          </a:solidFill>
        </a:ln>
      </dgm:spPr>
      <dgm:t>
        <a:bodyPr/>
        <a:lstStyle/>
        <a:p>
          <a:pPr algn="ctr"/>
          <a:r>
            <a:rPr lang="it-IT" sz="1200" b="1">
              <a:latin typeface="Times New Roman" charset="0"/>
              <a:ea typeface="Times New Roman" charset="0"/>
              <a:cs typeface="Times New Roman" charset="0"/>
            </a:rPr>
            <a:t>HFNC set </a:t>
          </a:r>
          <a:r>
            <a:rPr lang="it-IT" sz="1200">
              <a:latin typeface="Times New Roman" charset="0"/>
              <a:ea typeface="Times New Roman" charset="0"/>
              <a:cs typeface="Times New Roman" charset="0"/>
            </a:rPr>
            <a:t>initially at a gas flow of 20 L/min and </a:t>
          </a:r>
          <a:r>
            <a:rPr lang="it-IT" sz="1200" b="1">
              <a:latin typeface="Times New Roman" charset="0"/>
              <a:ea typeface="Times New Roman" charset="0"/>
              <a:cs typeface="Times New Roman" charset="0"/>
            </a:rPr>
            <a:t>then increased in steps of 10L/min up to 60 L/min </a:t>
          </a:r>
          <a:r>
            <a:rPr lang="it-IT" sz="1200">
              <a:latin typeface="Times New Roman" charset="0"/>
              <a:ea typeface="Times New Roman" charset="0"/>
              <a:cs typeface="Times New Roman" charset="0"/>
            </a:rPr>
            <a:t>or maximum tolerated assessed with </a:t>
          </a:r>
          <a:r>
            <a:rPr lang="it-IT" sz="1200" b="1">
              <a:latin typeface="Times New Roman" charset="0"/>
              <a:ea typeface="Times New Roman" charset="0"/>
              <a:cs typeface="Times New Roman" charset="0"/>
            </a:rPr>
            <a:t>VAS</a:t>
          </a:r>
          <a:r>
            <a:rPr lang="it-IT" sz="1200" baseline="0">
              <a:latin typeface="Times New Roman" charset="0"/>
              <a:ea typeface="Times New Roman" charset="0"/>
              <a:cs typeface="Times New Roman" charset="0"/>
            </a:rPr>
            <a:t>.</a:t>
          </a:r>
        </a:p>
        <a:p>
          <a:pPr algn="ctr"/>
          <a:r>
            <a:rPr lang="it-IT" sz="1000" baseline="0">
              <a:latin typeface="Times New Roman" charset="0"/>
              <a:ea typeface="Times New Roman" charset="0"/>
              <a:cs typeface="Times New Roman" charset="0"/>
            </a:rPr>
            <a:t>(At every change of flow, VAS of comfort will be assessed and </a:t>
          </a:r>
          <a:r>
            <a:rPr lang="it-IT" sz="1000">
              <a:latin typeface="Times New Roman" charset="0"/>
              <a:ea typeface="Times New Roman" charset="0"/>
              <a:cs typeface="Times New Roman" charset="0"/>
            </a:rPr>
            <a:t>FiO</a:t>
          </a:r>
          <a:r>
            <a:rPr lang="it-IT" sz="1000" baseline="-25000">
              <a:latin typeface="Times New Roman" charset="0"/>
              <a:ea typeface="Times New Roman" charset="0"/>
              <a:cs typeface="Times New Roman" charset="0"/>
            </a:rPr>
            <a:t>2</a:t>
          </a:r>
          <a:r>
            <a:rPr lang="it-IT" sz="1000">
              <a:latin typeface="Times New Roman" charset="0"/>
              <a:ea typeface="Times New Roman" charset="0"/>
              <a:cs typeface="Times New Roman" charset="0"/>
            </a:rPr>
            <a:t> will be adjusted to maintain an SpO</a:t>
          </a:r>
          <a:r>
            <a:rPr lang="it-IT" sz="1000" baseline="-25000">
              <a:latin typeface="Times New Roman" charset="0"/>
              <a:ea typeface="Times New Roman" charset="0"/>
              <a:cs typeface="Times New Roman" charset="0"/>
            </a:rPr>
            <a:t>2</a:t>
          </a:r>
          <a:r>
            <a:rPr lang="it-IT" sz="1000">
              <a:latin typeface="Times New Roman" charset="0"/>
              <a:ea typeface="Times New Roman" charset="0"/>
              <a:cs typeface="Times New Roman" charset="0"/>
            </a:rPr>
            <a:t> &gt; 92%.</a:t>
          </a:r>
          <a:r>
            <a:rPr lang="it-IT" sz="1000" baseline="0">
              <a:latin typeface="Times New Roman" charset="0"/>
              <a:ea typeface="Times New Roman" charset="0"/>
              <a:cs typeface="Times New Roman" charset="0"/>
            </a:rPr>
            <a:t>)</a:t>
          </a:r>
          <a:r>
            <a:rPr lang="it-IT" sz="700" baseline="0">
              <a:latin typeface="Times New Roman" charset="0"/>
              <a:ea typeface="Times New Roman" charset="0"/>
              <a:cs typeface="Times New Roman" charset="0"/>
            </a:rPr>
            <a:t>.</a:t>
          </a:r>
          <a:endParaRPr lang="it-IT" sz="700">
            <a:latin typeface="Times New Roman" charset="0"/>
            <a:ea typeface="Times New Roman" charset="0"/>
            <a:cs typeface="Times New Roman" charset="0"/>
          </a:endParaRPr>
        </a:p>
      </dgm:t>
    </dgm:pt>
    <dgm:pt modelId="{53B26664-369E-3447-AA42-BA41E5040A93}" type="parTrans" cxnId="{06AB67C9-436E-2D40-ADDD-7F5A32FFE841}">
      <dgm:prSet/>
      <dgm:spPr/>
      <dgm:t>
        <a:bodyPr/>
        <a:lstStyle/>
        <a:p>
          <a:pPr algn="ctr"/>
          <a:endParaRPr lang="it-IT">
            <a:latin typeface="Times New Roman" charset="0"/>
            <a:ea typeface="Times New Roman" charset="0"/>
            <a:cs typeface="Times New Roman" charset="0"/>
          </a:endParaRPr>
        </a:p>
      </dgm:t>
    </dgm:pt>
    <dgm:pt modelId="{CD02B95A-4D28-284E-A87D-55C20942D9D2}" type="sibTrans" cxnId="{06AB67C9-436E-2D40-ADDD-7F5A32FFE841}">
      <dgm:prSet/>
      <dgm:spPr/>
      <dgm:t>
        <a:bodyPr/>
        <a:lstStyle/>
        <a:p>
          <a:pPr algn="ctr"/>
          <a:endParaRPr lang="it-IT">
            <a:latin typeface="Times New Roman" charset="0"/>
            <a:ea typeface="Times New Roman" charset="0"/>
            <a:cs typeface="Times New Roman" charset="0"/>
          </a:endParaRPr>
        </a:p>
      </dgm:t>
    </dgm:pt>
    <dgm:pt modelId="{49B832F9-E4DD-0B45-A639-89C0B9CA9955}">
      <dgm:prSet custT="1"/>
      <dgm:spPr>
        <a:noFill/>
        <a:ln>
          <a:solidFill>
            <a:schemeClr val="accent1"/>
          </a:solidFill>
        </a:ln>
      </dgm:spPr>
      <dgm:t>
        <a:bodyPr/>
        <a:lstStyle/>
        <a:p>
          <a:pPr algn="ctr"/>
          <a:r>
            <a:rPr lang="it-IT" sz="1200" b="1">
              <a:latin typeface="Times New Roman" charset="0"/>
              <a:ea typeface="Times New Roman" charset="0"/>
              <a:cs typeface="Times New Roman" charset="0"/>
            </a:rPr>
            <a:t>HFNC flow will be set at gas flow best patient's comfort</a:t>
          </a:r>
        </a:p>
      </dgm:t>
    </dgm:pt>
    <dgm:pt modelId="{38E08CAF-1B0A-7043-ADAD-088BB6C2AD4B}" type="parTrans" cxnId="{EB1E472E-9FDE-9948-8D30-4549398DD3B2}">
      <dgm:prSet/>
      <dgm:spPr/>
      <dgm:t>
        <a:bodyPr/>
        <a:lstStyle/>
        <a:p>
          <a:pPr algn="ctr"/>
          <a:endParaRPr lang="it-IT">
            <a:latin typeface="Times New Roman" charset="0"/>
            <a:ea typeface="Times New Roman" charset="0"/>
            <a:cs typeface="Times New Roman" charset="0"/>
          </a:endParaRPr>
        </a:p>
      </dgm:t>
    </dgm:pt>
    <dgm:pt modelId="{95902333-A189-5C43-A24D-9361102BA9D5}" type="sibTrans" cxnId="{EB1E472E-9FDE-9948-8D30-4549398DD3B2}">
      <dgm:prSet/>
      <dgm:spPr/>
      <dgm:t>
        <a:bodyPr/>
        <a:lstStyle/>
        <a:p>
          <a:pPr algn="ctr"/>
          <a:endParaRPr lang="it-IT">
            <a:latin typeface="Times New Roman" charset="0"/>
            <a:ea typeface="Times New Roman" charset="0"/>
            <a:cs typeface="Times New Roman" charset="0"/>
          </a:endParaRPr>
        </a:p>
      </dgm:t>
    </dgm:pt>
    <dgm:pt modelId="{36FD0CDC-93E9-2C4A-A6A2-8AC587435747}">
      <dgm:prSet custT="1"/>
      <dgm:spPr>
        <a:noFill/>
        <a:ln>
          <a:solidFill>
            <a:schemeClr val="accent1"/>
          </a:solidFill>
        </a:ln>
      </dgm:spPr>
      <dgm:t>
        <a:bodyPr/>
        <a:lstStyle/>
        <a:p>
          <a:pPr algn="ctr"/>
          <a:r>
            <a:rPr lang="it-IT" sz="1200" b="1">
              <a:latin typeface="Times New Roman" charset="0"/>
              <a:ea typeface="Times New Roman" charset="0"/>
              <a:cs typeface="Times New Roman" charset="0"/>
            </a:rPr>
            <a:t>Peak inspiratory flow </a:t>
          </a:r>
          <a:r>
            <a:rPr lang="it-IT" sz="1200">
              <a:latin typeface="Times New Roman" charset="0"/>
              <a:ea typeface="Times New Roman" charset="0"/>
              <a:cs typeface="Times New Roman" charset="0"/>
            </a:rPr>
            <a:t>and </a:t>
          </a:r>
          <a:r>
            <a:rPr lang="it-IT" sz="1200" b="1">
              <a:latin typeface="Times New Roman" charset="0"/>
              <a:ea typeface="Times New Roman" charset="0"/>
              <a:cs typeface="Times New Roman" charset="0"/>
            </a:rPr>
            <a:t>mean inspiratory flow </a:t>
          </a:r>
          <a:r>
            <a:rPr lang="it-IT" sz="1200">
              <a:latin typeface="Times New Roman" charset="0"/>
              <a:ea typeface="Times New Roman" charset="0"/>
              <a:cs typeface="Times New Roman" charset="0"/>
            </a:rPr>
            <a:t>before extubation will be </a:t>
          </a:r>
          <a:r>
            <a:rPr lang="it-IT" sz="1200" b="1">
              <a:latin typeface="Times New Roman" charset="0"/>
              <a:ea typeface="Times New Roman" charset="0"/>
              <a:cs typeface="Times New Roman" charset="0"/>
            </a:rPr>
            <a:t>compared</a:t>
          </a:r>
          <a:r>
            <a:rPr lang="it-IT" sz="1200">
              <a:latin typeface="Times New Roman" charset="0"/>
              <a:ea typeface="Times New Roman" charset="0"/>
              <a:cs typeface="Times New Roman" charset="0"/>
            </a:rPr>
            <a:t> </a:t>
          </a:r>
          <a:r>
            <a:rPr lang="it-IT" sz="1200" b="1">
              <a:latin typeface="Times New Roman" charset="0"/>
              <a:ea typeface="Times New Roman" charset="0"/>
              <a:cs typeface="Times New Roman" charset="0"/>
            </a:rPr>
            <a:t>to HFNC flow </a:t>
          </a:r>
          <a:r>
            <a:rPr lang="it-IT" sz="1200">
              <a:latin typeface="Times New Roman" charset="0"/>
              <a:ea typeface="Times New Roman" charset="0"/>
              <a:cs typeface="Times New Roman" charset="0"/>
            </a:rPr>
            <a:t>associated with the </a:t>
          </a:r>
          <a:r>
            <a:rPr lang="it-IT" sz="1200" b="1">
              <a:latin typeface="Times New Roman" charset="0"/>
              <a:ea typeface="Times New Roman" charset="0"/>
              <a:cs typeface="Times New Roman" charset="0"/>
            </a:rPr>
            <a:t>best patient’s comfort</a:t>
          </a:r>
        </a:p>
      </dgm:t>
    </dgm:pt>
    <dgm:pt modelId="{5B9C7E1A-3C42-614B-B1EA-1969DA84F6CB}" type="parTrans" cxnId="{58C6A347-1623-AA46-AAA9-8F7D404606B4}">
      <dgm:prSet/>
      <dgm:spPr/>
      <dgm:t>
        <a:bodyPr/>
        <a:lstStyle/>
        <a:p>
          <a:pPr algn="ctr"/>
          <a:endParaRPr lang="it-IT">
            <a:latin typeface="Times New Roman" charset="0"/>
            <a:ea typeface="Times New Roman" charset="0"/>
            <a:cs typeface="Times New Roman" charset="0"/>
          </a:endParaRPr>
        </a:p>
      </dgm:t>
    </dgm:pt>
    <dgm:pt modelId="{3D01EE5E-3A09-3947-9A2E-6D92969F10FC}" type="sibTrans" cxnId="{58C6A347-1623-AA46-AAA9-8F7D404606B4}">
      <dgm:prSet/>
      <dgm:spPr/>
      <dgm:t>
        <a:bodyPr/>
        <a:lstStyle/>
        <a:p>
          <a:pPr algn="ctr"/>
          <a:endParaRPr lang="it-IT">
            <a:latin typeface="Times New Roman" charset="0"/>
            <a:ea typeface="Times New Roman" charset="0"/>
            <a:cs typeface="Times New Roman" charset="0"/>
          </a:endParaRPr>
        </a:p>
      </dgm:t>
    </dgm:pt>
    <dgm:pt modelId="{37C666FB-FC36-414E-B2BB-ADD492E3B048}" type="pres">
      <dgm:prSet presAssocID="{628F73C4-9F02-0544-BDB6-9496AE470218}" presName="linearFlow" presStyleCnt="0">
        <dgm:presLayoutVars>
          <dgm:resizeHandles val="exact"/>
        </dgm:presLayoutVars>
      </dgm:prSet>
      <dgm:spPr/>
    </dgm:pt>
    <dgm:pt modelId="{8741320D-959A-474E-8697-BD7FAEDD70CD}" type="pres">
      <dgm:prSet presAssocID="{DE899BED-4971-5B4B-A20B-11DEFD4A0EF1}" presName="node" presStyleLbl="node1" presStyleIdx="0" presStyleCnt="9" custScaleX="192249">
        <dgm:presLayoutVars>
          <dgm:bulletEnabled val="1"/>
        </dgm:presLayoutVars>
      </dgm:prSet>
      <dgm:spPr/>
    </dgm:pt>
    <dgm:pt modelId="{09E64E71-4C37-B743-8EB7-DF849A1F6086}" type="pres">
      <dgm:prSet presAssocID="{2533E042-6324-1A45-A3F3-496613E6B581}" presName="sibTrans" presStyleLbl="sibTrans2D1" presStyleIdx="0" presStyleCnt="8"/>
      <dgm:spPr/>
    </dgm:pt>
    <dgm:pt modelId="{FA63E5C3-EC0F-A44E-87FB-27601C5C4F4D}" type="pres">
      <dgm:prSet presAssocID="{2533E042-6324-1A45-A3F3-496613E6B581}" presName="connectorText" presStyleLbl="sibTrans2D1" presStyleIdx="0" presStyleCnt="8"/>
      <dgm:spPr/>
    </dgm:pt>
    <dgm:pt modelId="{9102BDEA-FEAB-BE45-846B-E3A6CF9B85F8}" type="pres">
      <dgm:prSet presAssocID="{93256E79-185A-4449-ACC9-E029B30E7DC5}" presName="node" presStyleLbl="node1" presStyleIdx="1" presStyleCnt="9" custScaleX="192249">
        <dgm:presLayoutVars>
          <dgm:bulletEnabled val="1"/>
        </dgm:presLayoutVars>
      </dgm:prSet>
      <dgm:spPr/>
    </dgm:pt>
    <dgm:pt modelId="{4A9A7916-2327-784E-80B0-83A2A7E7A880}" type="pres">
      <dgm:prSet presAssocID="{F2641280-CEFA-8742-B6A5-6A192D59288D}" presName="sibTrans" presStyleLbl="sibTrans2D1" presStyleIdx="1" presStyleCnt="8"/>
      <dgm:spPr/>
    </dgm:pt>
    <dgm:pt modelId="{F8090C63-AAB8-BE4B-9996-AFEA6B3C7484}" type="pres">
      <dgm:prSet presAssocID="{F2641280-CEFA-8742-B6A5-6A192D59288D}" presName="connectorText" presStyleLbl="sibTrans2D1" presStyleIdx="1" presStyleCnt="8"/>
      <dgm:spPr/>
    </dgm:pt>
    <dgm:pt modelId="{83DB9E5C-5DEF-484C-8EBC-2A7ECE28F24F}" type="pres">
      <dgm:prSet presAssocID="{D0B83E15-B64C-3747-ABC5-A2443EBF9C98}" presName="node" presStyleLbl="node1" presStyleIdx="2" presStyleCnt="9" custScaleX="192249" custScaleY="139190">
        <dgm:presLayoutVars>
          <dgm:bulletEnabled val="1"/>
        </dgm:presLayoutVars>
      </dgm:prSet>
      <dgm:spPr/>
    </dgm:pt>
    <dgm:pt modelId="{4678DD6E-87FC-CA4B-B0A2-066F40C78A57}" type="pres">
      <dgm:prSet presAssocID="{DF98A1F6-679A-F847-B05B-E37D8CB2E633}" presName="sibTrans" presStyleLbl="sibTrans2D1" presStyleIdx="2" presStyleCnt="8"/>
      <dgm:spPr/>
    </dgm:pt>
    <dgm:pt modelId="{481BCBD8-3259-3F46-83E5-926C572C8EE0}" type="pres">
      <dgm:prSet presAssocID="{DF98A1F6-679A-F847-B05B-E37D8CB2E633}" presName="connectorText" presStyleLbl="sibTrans2D1" presStyleIdx="2" presStyleCnt="8"/>
      <dgm:spPr/>
    </dgm:pt>
    <dgm:pt modelId="{5A50220E-3A2E-944F-9D42-E12B1A8A274D}" type="pres">
      <dgm:prSet presAssocID="{27F4FB9D-9677-0940-B729-FD27FD8BFA4A}" presName="node" presStyleLbl="node1" presStyleIdx="3" presStyleCnt="9" custScaleX="192763" custScaleY="217493">
        <dgm:presLayoutVars>
          <dgm:bulletEnabled val="1"/>
        </dgm:presLayoutVars>
      </dgm:prSet>
      <dgm:spPr/>
    </dgm:pt>
    <dgm:pt modelId="{C26F30BF-1BC9-9040-8796-D35EBB98DB13}" type="pres">
      <dgm:prSet presAssocID="{6C28EE67-9371-BC4E-A01C-42E9CCBCBB30}" presName="sibTrans" presStyleLbl="sibTrans2D1" presStyleIdx="3" presStyleCnt="8"/>
      <dgm:spPr/>
    </dgm:pt>
    <dgm:pt modelId="{A49C3A96-B1A9-C941-B96C-7A552D633CE4}" type="pres">
      <dgm:prSet presAssocID="{6C28EE67-9371-BC4E-A01C-42E9CCBCBB30}" presName="connectorText" presStyleLbl="sibTrans2D1" presStyleIdx="3" presStyleCnt="8"/>
      <dgm:spPr/>
    </dgm:pt>
    <dgm:pt modelId="{CC08C383-9E76-B045-899B-65EB983E2B0C}" type="pres">
      <dgm:prSet presAssocID="{25216C87-A1B4-E04E-B801-0E77F5DDCC69}" presName="node" presStyleLbl="node1" presStyleIdx="4" presStyleCnt="9" custScaleX="191314">
        <dgm:presLayoutVars>
          <dgm:bulletEnabled val="1"/>
        </dgm:presLayoutVars>
      </dgm:prSet>
      <dgm:spPr/>
    </dgm:pt>
    <dgm:pt modelId="{D8ABA589-53AF-FC4E-B88C-B38985917473}" type="pres">
      <dgm:prSet presAssocID="{A91EE035-EA60-4A49-BF42-970C26F18C8C}" presName="sibTrans" presStyleLbl="sibTrans2D1" presStyleIdx="4" presStyleCnt="8"/>
      <dgm:spPr/>
    </dgm:pt>
    <dgm:pt modelId="{977DC027-0887-5041-8CFD-478878230134}" type="pres">
      <dgm:prSet presAssocID="{A91EE035-EA60-4A49-BF42-970C26F18C8C}" presName="connectorText" presStyleLbl="sibTrans2D1" presStyleIdx="4" presStyleCnt="8"/>
      <dgm:spPr/>
    </dgm:pt>
    <dgm:pt modelId="{7A2D0E3F-3BB3-7B4B-8B9D-C443ADD6F2FF}" type="pres">
      <dgm:prSet presAssocID="{35723F34-ECD7-AC49-98F0-0F8D9DD82D80}" presName="node" presStyleLbl="node1" presStyleIdx="5" presStyleCnt="9" custScaleX="195021">
        <dgm:presLayoutVars>
          <dgm:bulletEnabled val="1"/>
        </dgm:presLayoutVars>
      </dgm:prSet>
      <dgm:spPr/>
    </dgm:pt>
    <dgm:pt modelId="{42B2632F-1FE3-9643-9EE0-D417B72F7B11}" type="pres">
      <dgm:prSet presAssocID="{B7AF1D9F-86FA-4A49-91D5-AF699BF97FBE}" presName="sibTrans" presStyleLbl="sibTrans2D1" presStyleIdx="5" presStyleCnt="8"/>
      <dgm:spPr/>
    </dgm:pt>
    <dgm:pt modelId="{0232E30B-C3C9-044E-97AC-E58DC86A6A40}" type="pres">
      <dgm:prSet presAssocID="{B7AF1D9F-86FA-4A49-91D5-AF699BF97FBE}" presName="connectorText" presStyleLbl="sibTrans2D1" presStyleIdx="5" presStyleCnt="8"/>
      <dgm:spPr/>
    </dgm:pt>
    <dgm:pt modelId="{9A972669-8285-B74C-B4E6-A3DEE69A4330}" type="pres">
      <dgm:prSet presAssocID="{4769CBCE-A779-8248-B48D-722D1E5F2FFF}" presName="node" presStyleLbl="node1" presStyleIdx="6" presStyleCnt="9" custScaleX="238218" custScaleY="206204">
        <dgm:presLayoutVars>
          <dgm:bulletEnabled val="1"/>
        </dgm:presLayoutVars>
      </dgm:prSet>
      <dgm:spPr/>
    </dgm:pt>
    <dgm:pt modelId="{506D1B85-931C-EC48-B4DD-DC4B98D5FEA1}" type="pres">
      <dgm:prSet presAssocID="{CD02B95A-4D28-284E-A87D-55C20942D9D2}" presName="sibTrans" presStyleLbl="sibTrans2D1" presStyleIdx="6" presStyleCnt="8"/>
      <dgm:spPr/>
    </dgm:pt>
    <dgm:pt modelId="{99F53160-A470-0446-8FD6-87B6D3C792B6}" type="pres">
      <dgm:prSet presAssocID="{CD02B95A-4D28-284E-A87D-55C20942D9D2}" presName="connectorText" presStyleLbl="sibTrans2D1" presStyleIdx="6" presStyleCnt="8"/>
      <dgm:spPr/>
    </dgm:pt>
    <dgm:pt modelId="{883895DD-89B5-9E4A-98A1-622D4AA22CAD}" type="pres">
      <dgm:prSet presAssocID="{49B832F9-E4DD-0B45-A639-89C0B9CA9955}" presName="node" presStyleLbl="node1" presStyleIdx="7" presStyleCnt="9" custScaleX="238218">
        <dgm:presLayoutVars>
          <dgm:bulletEnabled val="1"/>
        </dgm:presLayoutVars>
      </dgm:prSet>
      <dgm:spPr/>
    </dgm:pt>
    <dgm:pt modelId="{CD80019F-944D-4644-8299-7AB54E1EBEBA}" type="pres">
      <dgm:prSet presAssocID="{95902333-A189-5C43-A24D-9361102BA9D5}" presName="sibTrans" presStyleLbl="sibTrans2D1" presStyleIdx="7" presStyleCnt="8"/>
      <dgm:spPr/>
    </dgm:pt>
    <dgm:pt modelId="{7247DC45-BB44-A54C-A6AE-CF8A4E21C1F5}" type="pres">
      <dgm:prSet presAssocID="{95902333-A189-5C43-A24D-9361102BA9D5}" presName="connectorText" presStyleLbl="sibTrans2D1" presStyleIdx="7" presStyleCnt="8"/>
      <dgm:spPr/>
    </dgm:pt>
    <dgm:pt modelId="{54ECA8A7-6853-D14F-97D5-1B254AF50F6F}" type="pres">
      <dgm:prSet presAssocID="{36FD0CDC-93E9-2C4A-A6A2-8AC587435747}" presName="node" presStyleLbl="node1" presStyleIdx="8" presStyleCnt="9" custScaleX="238218">
        <dgm:presLayoutVars>
          <dgm:bulletEnabled val="1"/>
        </dgm:presLayoutVars>
      </dgm:prSet>
      <dgm:spPr/>
    </dgm:pt>
  </dgm:ptLst>
  <dgm:cxnLst>
    <dgm:cxn modelId="{03409409-CDA1-9548-8C04-5B01B66EBAF2}" srcId="{628F73C4-9F02-0544-BDB6-9496AE470218}" destId="{35723F34-ECD7-AC49-98F0-0F8D9DD82D80}" srcOrd="5" destOrd="0" parTransId="{146B16CA-ED3B-2745-B302-9B5C1D8A82AA}" sibTransId="{B7AF1D9F-86FA-4A49-91D5-AF699BF97FBE}"/>
    <dgm:cxn modelId="{38DAEC0F-7809-594D-ADBB-CEC668068C81}" type="presOf" srcId="{F2641280-CEFA-8742-B6A5-6A192D59288D}" destId="{F8090C63-AAB8-BE4B-9996-AFEA6B3C7484}" srcOrd="1" destOrd="0" presId="urn:microsoft.com/office/officeart/2005/8/layout/process2"/>
    <dgm:cxn modelId="{595AB514-64DD-F741-A4BA-84BA6A0BF8C9}" type="presOf" srcId="{A91EE035-EA60-4A49-BF42-970C26F18C8C}" destId="{D8ABA589-53AF-FC4E-B88C-B38985917473}" srcOrd="0" destOrd="0" presId="urn:microsoft.com/office/officeart/2005/8/layout/process2"/>
    <dgm:cxn modelId="{1DED9716-0FFE-8F4E-A2C2-AED870EB6CA8}" type="presOf" srcId="{B7AF1D9F-86FA-4A49-91D5-AF699BF97FBE}" destId="{42B2632F-1FE3-9643-9EE0-D417B72F7B11}" srcOrd="0" destOrd="0" presId="urn:microsoft.com/office/officeart/2005/8/layout/process2"/>
    <dgm:cxn modelId="{6B188017-A987-3C4B-8A21-D8027C49F204}" type="presOf" srcId="{93256E79-185A-4449-ACC9-E029B30E7DC5}" destId="{9102BDEA-FEAB-BE45-846B-E3A6CF9B85F8}" srcOrd="0" destOrd="0" presId="urn:microsoft.com/office/officeart/2005/8/layout/process2"/>
    <dgm:cxn modelId="{DFA4CB17-4FFA-D741-93DE-1BE195DB808A}" type="presOf" srcId="{95902333-A189-5C43-A24D-9361102BA9D5}" destId="{CD80019F-944D-4644-8299-7AB54E1EBEBA}" srcOrd="0" destOrd="0" presId="urn:microsoft.com/office/officeart/2005/8/layout/process2"/>
    <dgm:cxn modelId="{D7AB5A1C-7073-7246-A9EF-261E9C27B2EC}" type="presOf" srcId="{628F73C4-9F02-0544-BDB6-9496AE470218}" destId="{37C666FB-FC36-414E-B2BB-ADD492E3B048}" srcOrd="0" destOrd="0" presId="urn:microsoft.com/office/officeart/2005/8/layout/process2"/>
    <dgm:cxn modelId="{37629D1C-AD2D-7D47-B99B-30886549F45C}" srcId="{628F73C4-9F02-0544-BDB6-9496AE470218}" destId="{27F4FB9D-9677-0940-B729-FD27FD8BFA4A}" srcOrd="3" destOrd="0" parTransId="{9D532CD6-C962-DE41-8223-9F9EAD39A826}" sibTransId="{6C28EE67-9371-BC4E-A01C-42E9CCBCBB30}"/>
    <dgm:cxn modelId="{15662F1D-4C61-224B-A48C-185D51AF0224}" type="presOf" srcId="{6C28EE67-9371-BC4E-A01C-42E9CCBCBB30}" destId="{C26F30BF-1BC9-9040-8796-D35EBB98DB13}" srcOrd="0" destOrd="0" presId="urn:microsoft.com/office/officeart/2005/8/layout/process2"/>
    <dgm:cxn modelId="{EB1E472E-9FDE-9948-8D30-4549398DD3B2}" srcId="{628F73C4-9F02-0544-BDB6-9496AE470218}" destId="{49B832F9-E4DD-0B45-A639-89C0B9CA9955}" srcOrd="7" destOrd="0" parTransId="{38E08CAF-1B0A-7043-ADAD-088BB6C2AD4B}" sibTransId="{95902333-A189-5C43-A24D-9361102BA9D5}"/>
    <dgm:cxn modelId="{5918CF36-4364-5946-AFA5-6685FA3005F4}" type="presOf" srcId="{D0B83E15-B64C-3747-ABC5-A2443EBF9C98}" destId="{83DB9E5C-5DEF-484C-8EBC-2A7ECE28F24F}" srcOrd="0" destOrd="0" presId="urn:microsoft.com/office/officeart/2005/8/layout/process2"/>
    <dgm:cxn modelId="{BB59593C-9120-D64E-89C1-C0C81BAA0874}" type="presOf" srcId="{6C28EE67-9371-BC4E-A01C-42E9CCBCBB30}" destId="{A49C3A96-B1A9-C941-B96C-7A552D633CE4}" srcOrd="1" destOrd="0" presId="urn:microsoft.com/office/officeart/2005/8/layout/process2"/>
    <dgm:cxn modelId="{C246103F-E21F-3344-82DA-0462066A6E09}" type="presOf" srcId="{4769CBCE-A779-8248-B48D-722D1E5F2FFF}" destId="{9A972669-8285-B74C-B4E6-A3DEE69A4330}" srcOrd="0" destOrd="0" presId="urn:microsoft.com/office/officeart/2005/8/layout/process2"/>
    <dgm:cxn modelId="{58C6A347-1623-AA46-AAA9-8F7D404606B4}" srcId="{628F73C4-9F02-0544-BDB6-9496AE470218}" destId="{36FD0CDC-93E9-2C4A-A6A2-8AC587435747}" srcOrd="8" destOrd="0" parTransId="{5B9C7E1A-3C42-614B-B1EA-1969DA84F6CB}" sibTransId="{3D01EE5E-3A09-3947-9A2E-6D92969F10FC}"/>
    <dgm:cxn modelId="{26863A50-854C-8549-9E7D-A1087A0377C0}" type="presOf" srcId="{DF98A1F6-679A-F847-B05B-E37D8CB2E633}" destId="{4678DD6E-87FC-CA4B-B0A2-066F40C78A57}" srcOrd="0" destOrd="0" presId="urn:microsoft.com/office/officeart/2005/8/layout/process2"/>
    <dgm:cxn modelId="{4ACAC459-FD1C-BE4D-B737-92C28DEC3E89}" type="presOf" srcId="{F2641280-CEFA-8742-B6A5-6A192D59288D}" destId="{4A9A7916-2327-784E-80B0-83A2A7E7A880}" srcOrd="0" destOrd="0" presId="urn:microsoft.com/office/officeart/2005/8/layout/process2"/>
    <dgm:cxn modelId="{D3CF8466-2149-FA4F-9C7A-871A73CD1FE7}" type="presOf" srcId="{CD02B95A-4D28-284E-A87D-55C20942D9D2}" destId="{506D1B85-931C-EC48-B4DD-DC4B98D5FEA1}" srcOrd="0" destOrd="0" presId="urn:microsoft.com/office/officeart/2005/8/layout/process2"/>
    <dgm:cxn modelId="{F1513F6A-F3EB-9942-AF2E-5068749D128C}" type="presOf" srcId="{35723F34-ECD7-AC49-98F0-0F8D9DD82D80}" destId="{7A2D0E3F-3BB3-7B4B-8B9D-C443ADD6F2FF}" srcOrd="0" destOrd="0" presId="urn:microsoft.com/office/officeart/2005/8/layout/process2"/>
    <dgm:cxn modelId="{1B5A7A72-BBD0-DF4B-9134-9C6FDE1071FB}" srcId="{628F73C4-9F02-0544-BDB6-9496AE470218}" destId="{25216C87-A1B4-E04E-B801-0E77F5DDCC69}" srcOrd="4" destOrd="0" parTransId="{49794EAE-43DD-6F4B-A8DE-63A2BE8FFB55}" sibTransId="{A91EE035-EA60-4A49-BF42-970C26F18C8C}"/>
    <dgm:cxn modelId="{7DF7487C-014A-F748-AFB9-7C76A59693A4}" type="presOf" srcId="{2533E042-6324-1A45-A3F3-496613E6B581}" destId="{09E64E71-4C37-B743-8EB7-DF849A1F6086}" srcOrd="0" destOrd="0" presId="urn:microsoft.com/office/officeart/2005/8/layout/process2"/>
    <dgm:cxn modelId="{33306C89-AC24-FD48-A6AD-C4DDF5FD1428}" srcId="{628F73C4-9F02-0544-BDB6-9496AE470218}" destId="{D0B83E15-B64C-3747-ABC5-A2443EBF9C98}" srcOrd="2" destOrd="0" parTransId="{6900B376-DB49-D94A-AA44-04FD2FF48E97}" sibTransId="{DF98A1F6-679A-F847-B05B-E37D8CB2E633}"/>
    <dgm:cxn modelId="{0872DD8A-F33C-D841-8ED8-0D3E05C657B5}" type="presOf" srcId="{95902333-A189-5C43-A24D-9361102BA9D5}" destId="{7247DC45-BB44-A54C-A6AE-CF8A4E21C1F5}" srcOrd="1" destOrd="0" presId="urn:microsoft.com/office/officeart/2005/8/layout/process2"/>
    <dgm:cxn modelId="{1ADA138F-4370-F04D-93BD-D73C46703773}" type="presOf" srcId="{36FD0CDC-93E9-2C4A-A6A2-8AC587435747}" destId="{54ECA8A7-6853-D14F-97D5-1B254AF50F6F}" srcOrd="0" destOrd="0" presId="urn:microsoft.com/office/officeart/2005/8/layout/process2"/>
    <dgm:cxn modelId="{06F99190-7C1B-D84E-8BE7-F53CCA71C388}" type="presOf" srcId="{27F4FB9D-9677-0940-B729-FD27FD8BFA4A}" destId="{5A50220E-3A2E-944F-9D42-E12B1A8A274D}" srcOrd="0" destOrd="0" presId="urn:microsoft.com/office/officeart/2005/8/layout/process2"/>
    <dgm:cxn modelId="{C8E9669A-A7E4-494D-9DA4-6E3E7EE8F9DB}" type="presOf" srcId="{2533E042-6324-1A45-A3F3-496613E6B581}" destId="{FA63E5C3-EC0F-A44E-87FB-27601C5C4F4D}" srcOrd="1" destOrd="0" presId="urn:microsoft.com/office/officeart/2005/8/layout/process2"/>
    <dgm:cxn modelId="{7EDE929F-BDFB-B34A-A2C9-D02F85CB1D42}" type="presOf" srcId="{B7AF1D9F-86FA-4A49-91D5-AF699BF97FBE}" destId="{0232E30B-C3C9-044E-97AC-E58DC86A6A40}" srcOrd="1" destOrd="0" presId="urn:microsoft.com/office/officeart/2005/8/layout/process2"/>
    <dgm:cxn modelId="{724920B1-3DF8-804E-B9FD-67123E3EC44E}" type="presOf" srcId="{CD02B95A-4D28-284E-A87D-55C20942D9D2}" destId="{99F53160-A470-0446-8FD6-87B6D3C792B6}" srcOrd="1" destOrd="0" presId="urn:microsoft.com/office/officeart/2005/8/layout/process2"/>
    <dgm:cxn modelId="{F6FE98B1-AB1C-DD4F-912A-1340EF4DBCCB}" type="presOf" srcId="{A91EE035-EA60-4A49-BF42-970C26F18C8C}" destId="{977DC027-0887-5041-8CFD-478878230134}" srcOrd="1" destOrd="0" presId="urn:microsoft.com/office/officeart/2005/8/layout/process2"/>
    <dgm:cxn modelId="{DA32EDC4-A8F0-6D46-8B2A-2AF9B5099D61}" srcId="{628F73C4-9F02-0544-BDB6-9496AE470218}" destId="{93256E79-185A-4449-ACC9-E029B30E7DC5}" srcOrd="1" destOrd="0" parTransId="{6D922D76-1533-FF4A-A26E-292D87A6A3A3}" sibTransId="{F2641280-CEFA-8742-B6A5-6A192D59288D}"/>
    <dgm:cxn modelId="{06AB67C9-436E-2D40-ADDD-7F5A32FFE841}" srcId="{628F73C4-9F02-0544-BDB6-9496AE470218}" destId="{4769CBCE-A779-8248-B48D-722D1E5F2FFF}" srcOrd="6" destOrd="0" parTransId="{53B26664-369E-3447-AA42-BA41E5040A93}" sibTransId="{CD02B95A-4D28-284E-A87D-55C20942D9D2}"/>
    <dgm:cxn modelId="{A7BA4ED8-2425-1542-B848-6B0F6979022F}" type="presOf" srcId="{DF98A1F6-679A-F847-B05B-E37D8CB2E633}" destId="{481BCBD8-3259-3F46-83E5-926C572C8EE0}" srcOrd="1" destOrd="0" presId="urn:microsoft.com/office/officeart/2005/8/layout/process2"/>
    <dgm:cxn modelId="{C41009DD-6E21-4949-8DFD-55C6A319EA23}" type="presOf" srcId="{DE899BED-4971-5B4B-A20B-11DEFD4A0EF1}" destId="{8741320D-959A-474E-8697-BD7FAEDD70CD}" srcOrd="0" destOrd="0" presId="urn:microsoft.com/office/officeart/2005/8/layout/process2"/>
    <dgm:cxn modelId="{5E75AFF2-3934-DD4A-8022-8D4A8BC05707}" type="presOf" srcId="{25216C87-A1B4-E04E-B801-0E77F5DDCC69}" destId="{CC08C383-9E76-B045-899B-65EB983E2B0C}" srcOrd="0" destOrd="0" presId="urn:microsoft.com/office/officeart/2005/8/layout/process2"/>
    <dgm:cxn modelId="{D36B58FD-0513-3642-8A37-EC884C4AC6A7}" type="presOf" srcId="{49B832F9-E4DD-0B45-A639-89C0B9CA9955}" destId="{883895DD-89B5-9E4A-98A1-622D4AA22CAD}" srcOrd="0" destOrd="0" presId="urn:microsoft.com/office/officeart/2005/8/layout/process2"/>
    <dgm:cxn modelId="{EDBB00FF-01CC-144E-BA90-19C5AF8A9268}" srcId="{628F73C4-9F02-0544-BDB6-9496AE470218}" destId="{DE899BED-4971-5B4B-A20B-11DEFD4A0EF1}" srcOrd="0" destOrd="0" parTransId="{9D3C78F8-76A5-CB47-AE39-5C8D0BA1ECDB}" sibTransId="{2533E042-6324-1A45-A3F3-496613E6B581}"/>
    <dgm:cxn modelId="{B5EBBC49-BF87-3F41-BB9B-F59EBB124C51}" type="presParOf" srcId="{37C666FB-FC36-414E-B2BB-ADD492E3B048}" destId="{8741320D-959A-474E-8697-BD7FAEDD70CD}" srcOrd="0" destOrd="0" presId="urn:microsoft.com/office/officeart/2005/8/layout/process2"/>
    <dgm:cxn modelId="{D3FFBC94-70B6-2B46-9A82-F9AC3C10593E}" type="presParOf" srcId="{37C666FB-FC36-414E-B2BB-ADD492E3B048}" destId="{09E64E71-4C37-B743-8EB7-DF849A1F6086}" srcOrd="1" destOrd="0" presId="urn:microsoft.com/office/officeart/2005/8/layout/process2"/>
    <dgm:cxn modelId="{C03E8598-00E8-B241-BFA5-3B0537D72546}" type="presParOf" srcId="{09E64E71-4C37-B743-8EB7-DF849A1F6086}" destId="{FA63E5C3-EC0F-A44E-87FB-27601C5C4F4D}" srcOrd="0" destOrd="0" presId="urn:microsoft.com/office/officeart/2005/8/layout/process2"/>
    <dgm:cxn modelId="{026A756D-5038-BC41-85B9-C4D3AB52BD19}" type="presParOf" srcId="{37C666FB-FC36-414E-B2BB-ADD492E3B048}" destId="{9102BDEA-FEAB-BE45-846B-E3A6CF9B85F8}" srcOrd="2" destOrd="0" presId="urn:microsoft.com/office/officeart/2005/8/layout/process2"/>
    <dgm:cxn modelId="{96B154F0-EC41-BA4D-B7EB-D103EB751C51}" type="presParOf" srcId="{37C666FB-FC36-414E-B2BB-ADD492E3B048}" destId="{4A9A7916-2327-784E-80B0-83A2A7E7A880}" srcOrd="3" destOrd="0" presId="urn:microsoft.com/office/officeart/2005/8/layout/process2"/>
    <dgm:cxn modelId="{2528E20C-79E8-0A49-A551-70B781DB24E3}" type="presParOf" srcId="{4A9A7916-2327-784E-80B0-83A2A7E7A880}" destId="{F8090C63-AAB8-BE4B-9996-AFEA6B3C7484}" srcOrd="0" destOrd="0" presId="urn:microsoft.com/office/officeart/2005/8/layout/process2"/>
    <dgm:cxn modelId="{8BB26C5A-BE43-1A4E-A2FA-927272AB148F}" type="presParOf" srcId="{37C666FB-FC36-414E-B2BB-ADD492E3B048}" destId="{83DB9E5C-5DEF-484C-8EBC-2A7ECE28F24F}" srcOrd="4" destOrd="0" presId="urn:microsoft.com/office/officeart/2005/8/layout/process2"/>
    <dgm:cxn modelId="{5684EE7E-9F2C-194D-BC6D-CF82ABB697AC}" type="presParOf" srcId="{37C666FB-FC36-414E-B2BB-ADD492E3B048}" destId="{4678DD6E-87FC-CA4B-B0A2-066F40C78A57}" srcOrd="5" destOrd="0" presId="urn:microsoft.com/office/officeart/2005/8/layout/process2"/>
    <dgm:cxn modelId="{8C4A6ECA-689A-4543-BD42-427A6D1D64BD}" type="presParOf" srcId="{4678DD6E-87FC-CA4B-B0A2-066F40C78A57}" destId="{481BCBD8-3259-3F46-83E5-926C572C8EE0}" srcOrd="0" destOrd="0" presId="urn:microsoft.com/office/officeart/2005/8/layout/process2"/>
    <dgm:cxn modelId="{3F60A628-F0AE-B94A-8067-609F3E52A501}" type="presParOf" srcId="{37C666FB-FC36-414E-B2BB-ADD492E3B048}" destId="{5A50220E-3A2E-944F-9D42-E12B1A8A274D}" srcOrd="6" destOrd="0" presId="urn:microsoft.com/office/officeart/2005/8/layout/process2"/>
    <dgm:cxn modelId="{DD087C97-70F1-3544-BC7D-899973ED940F}" type="presParOf" srcId="{37C666FB-FC36-414E-B2BB-ADD492E3B048}" destId="{C26F30BF-1BC9-9040-8796-D35EBB98DB13}" srcOrd="7" destOrd="0" presId="urn:microsoft.com/office/officeart/2005/8/layout/process2"/>
    <dgm:cxn modelId="{4CD8550B-DFBE-244B-A6F4-3FD3D0B82AA3}" type="presParOf" srcId="{C26F30BF-1BC9-9040-8796-D35EBB98DB13}" destId="{A49C3A96-B1A9-C941-B96C-7A552D633CE4}" srcOrd="0" destOrd="0" presId="urn:microsoft.com/office/officeart/2005/8/layout/process2"/>
    <dgm:cxn modelId="{1C6C708C-9477-F543-B978-B10815FD28BE}" type="presParOf" srcId="{37C666FB-FC36-414E-B2BB-ADD492E3B048}" destId="{CC08C383-9E76-B045-899B-65EB983E2B0C}" srcOrd="8" destOrd="0" presId="urn:microsoft.com/office/officeart/2005/8/layout/process2"/>
    <dgm:cxn modelId="{29583B68-E336-8944-99F4-3A72419F2BD9}" type="presParOf" srcId="{37C666FB-FC36-414E-B2BB-ADD492E3B048}" destId="{D8ABA589-53AF-FC4E-B88C-B38985917473}" srcOrd="9" destOrd="0" presId="urn:microsoft.com/office/officeart/2005/8/layout/process2"/>
    <dgm:cxn modelId="{1F02D200-8C81-8940-9EBA-C2304C87F946}" type="presParOf" srcId="{D8ABA589-53AF-FC4E-B88C-B38985917473}" destId="{977DC027-0887-5041-8CFD-478878230134}" srcOrd="0" destOrd="0" presId="urn:microsoft.com/office/officeart/2005/8/layout/process2"/>
    <dgm:cxn modelId="{BFAF501D-BFC6-0D4F-A356-7BB129990763}" type="presParOf" srcId="{37C666FB-FC36-414E-B2BB-ADD492E3B048}" destId="{7A2D0E3F-3BB3-7B4B-8B9D-C443ADD6F2FF}" srcOrd="10" destOrd="0" presId="urn:microsoft.com/office/officeart/2005/8/layout/process2"/>
    <dgm:cxn modelId="{A3B9A4C2-43AF-3E4C-A0B3-AC065725B7F3}" type="presParOf" srcId="{37C666FB-FC36-414E-B2BB-ADD492E3B048}" destId="{42B2632F-1FE3-9643-9EE0-D417B72F7B11}" srcOrd="11" destOrd="0" presId="urn:microsoft.com/office/officeart/2005/8/layout/process2"/>
    <dgm:cxn modelId="{DC125BC3-3E70-8745-BC8E-4F9CE95C6605}" type="presParOf" srcId="{42B2632F-1FE3-9643-9EE0-D417B72F7B11}" destId="{0232E30B-C3C9-044E-97AC-E58DC86A6A40}" srcOrd="0" destOrd="0" presId="urn:microsoft.com/office/officeart/2005/8/layout/process2"/>
    <dgm:cxn modelId="{E4600142-53A1-624C-8764-AE142A5577B0}" type="presParOf" srcId="{37C666FB-FC36-414E-B2BB-ADD492E3B048}" destId="{9A972669-8285-B74C-B4E6-A3DEE69A4330}" srcOrd="12" destOrd="0" presId="urn:microsoft.com/office/officeart/2005/8/layout/process2"/>
    <dgm:cxn modelId="{9BB8B24C-9D4F-4B49-9134-22859AAC5437}" type="presParOf" srcId="{37C666FB-FC36-414E-B2BB-ADD492E3B048}" destId="{506D1B85-931C-EC48-B4DD-DC4B98D5FEA1}" srcOrd="13" destOrd="0" presId="urn:microsoft.com/office/officeart/2005/8/layout/process2"/>
    <dgm:cxn modelId="{9E416BF2-6899-0A44-B461-B2211C931ECC}" type="presParOf" srcId="{506D1B85-931C-EC48-B4DD-DC4B98D5FEA1}" destId="{99F53160-A470-0446-8FD6-87B6D3C792B6}" srcOrd="0" destOrd="0" presId="urn:microsoft.com/office/officeart/2005/8/layout/process2"/>
    <dgm:cxn modelId="{E7800AC3-3C64-B246-B3A7-9E8B68E2E358}" type="presParOf" srcId="{37C666FB-FC36-414E-B2BB-ADD492E3B048}" destId="{883895DD-89B5-9E4A-98A1-622D4AA22CAD}" srcOrd="14" destOrd="0" presId="urn:microsoft.com/office/officeart/2005/8/layout/process2"/>
    <dgm:cxn modelId="{746A9D21-E400-D445-B408-C117F982BEE8}" type="presParOf" srcId="{37C666FB-FC36-414E-B2BB-ADD492E3B048}" destId="{CD80019F-944D-4644-8299-7AB54E1EBEBA}" srcOrd="15" destOrd="0" presId="urn:microsoft.com/office/officeart/2005/8/layout/process2"/>
    <dgm:cxn modelId="{F103249A-E0D2-A045-9753-8FB414D6F8C4}" type="presParOf" srcId="{CD80019F-944D-4644-8299-7AB54E1EBEBA}" destId="{7247DC45-BB44-A54C-A6AE-CF8A4E21C1F5}" srcOrd="0" destOrd="0" presId="urn:microsoft.com/office/officeart/2005/8/layout/process2"/>
    <dgm:cxn modelId="{10123D63-4FF5-194E-A463-222DC3B617DA}" type="presParOf" srcId="{37C666FB-FC36-414E-B2BB-ADD492E3B048}" destId="{54ECA8A7-6853-D14F-97D5-1B254AF50F6F}" srcOrd="16" destOrd="0" presId="urn:microsoft.com/office/officeart/2005/8/layout/process2"/>
  </dgm:cxnLst>
  <dgm:bg>
    <a:noFill/>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741320D-959A-474E-8697-BD7FAEDD70CD}">
      <dsp:nvSpPr>
        <dsp:cNvPr id="0" name=""/>
        <dsp:cNvSpPr/>
      </dsp:nvSpPr>
      <dsp:spPr>
        <a:xfrm>
          <a:off x="577435" y="5038"/>
          <a:ext cx="3874329" cy="503816"/>
        </a:xfrm>
        <a:prstGeom prst="roundRect">
          <a:avLst>
            <a:gd name="adj" fmla="val 10000"/>
          </a:avLst>
        </a:prstGeom>
        <a:noFill/>
        <a:ln>
          <a:solidFill>
            <a:schemeClr val="accent1"/>
          </a:solid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it-IT" sz="1200" kern="1200">
              <a:latin typeface="Times New Roman" charset="0"/>
              <a:ea typeface="Times New Roman" charset="0"/>
              <a:cs typeface="Times New Roman" charset="0"/>
            </a:rPr>
            <a:t>Screening against all </a:t>
          </a:r>
          <a:r>
            <a:rPr lang="it-IT" sz="1200" b="1" kern="1200">
              <a:latin typeface="Times New Roman" charset="0"/>
              <a:ea typeface="Times New Roman" charset="0"/>
              <a:cs typeface="Times New Roman" charset="0"/>
            </a:rPr>
            <a:t>inclusion</a:t>
          </a:r>
          <a:r>
            <a:rPr lang="it-IT" sz="1200" kern="1200">
              <a:latin typeface="Times New Roman" charset="0"/>
              <a:ea typeface="Times New Roman" charset="0"/>
              <a:cs typeface="Times New Roman" charset="0"/>
            </a:rPr>
            <a:t> and </a:t>
          </a:r>
          <a:r>
            <a:rPr lang="it-IT" sz="1200" b="1" kern="1200">
              <a:latin typeface="Times New Roman" charset="0"/>
              <a:ea typeface="Times New Roman" charset="0"/>
              <a:cs typeface="Times New Roman" charset="0"/>
            </a:rPr>
            <a:t>exclusion</a:t>
          </a:r>
          <a:r>
            <a:rPr lang="it-IT" sz="1200" kern="1200">
              <a:latin typeface="Times New Roman" charset="0"/>
              <a:ea typeface="Times New Roman" charset="0"/>
              <a:cs typeface="Times New Roman" charset="0"/>
            </a:rPr>
            <a:t> </a:t>
          </a:r>
          <a:r>
            <a:rPr lang="it-IT" sz="1200" b="1" kern="1200">
              <a:latin typeface="Times New Roman" charset="0"/>
              <a:ea typeface="Times New Roman" charset="0"/>
              <a:cs typeface="Times New Roman" charset="0"/>
            </a:rPr>
            <a:t>criteria</a:t>
          </a:r>
        </a:p>
      </dsp:txBody>
      <dsp:txXfrm>
        <a:off x="592191" y="19794"/>
        <a:ext cx="3844817" cy="474304"/>
      </dsp:txXfrm>
    </dsp:sp>
    <dsp:sp modelId="{09E64E71-4C37-B743-8EB7-DF849A1F6086}">
      <dsp:nvSpPr>
        <dsp:cNvPr id="0" name=""/>
        <dsp:cNvSpPr/>
      </dsp:nvSpPr>
      <dsp:spPr>
        <a:xfrm rot="5400000">
          <a:off x="2420134" y="521450"/>
          <a:ext cx="188931" cy="226717"/>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it-IT" sz="1000" kern="1200">
            <a:latin typeface="Times New Roman" charset="0"/>
            <a:ea typeface="Times New Roman" charset="0"/>
            <a:cs typeface="Times New Roman" charset="0"/>
          </a:endParaRPr>
        </a:p>
      </dsp:txBody>
      <dsp:txXfrm rot="-5400000">
        <a:off x="2446585" y="540343"/>
        <a:ext cx="136031" cy="132252"/>
      </dsp:txXfrm>
    </dsp:sp>
    <dsp:sp modelId="{9102BDEA-FEAB-BE45-846B-E3A6CF9B85F8}">
      <dsp:nvSpPr>
        <dsp:cNvPr id="0" name=""/>
        <dsp:cNvSpPr/>
      </dsp:nvSpPr>
      <dsp:spPr>
        <a:xfrm>
          <a:off x="577435" y="760762"/>
          <a:ext cx="3874329" cy="503816"/>
        </a:xfrm>
        <a:prstGeom prst="roundRect">
          <a:avLst>
            <a:gd name="adj" fmla="val 10000"/>
          </a:avLst>
        </a:prstGeom>
        <a:noFill/>
        <a:ln>
          <a:solidFill>
            <a:schemeClr val="accent1"/>
          </a:solid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it-IT" sz="1200" b="1" kern="1200">
              <a:latin typeface="Times New Roman" charset="0"/>
              <a:ea typeface="Times New Roman" charset="0"/>
              <a:cs typeface="Times New Roman" charset="0"/>
            </a:rPr>
            <a:t>Spontaneous breating trial </a:t>
          </a:r>
          <a:r>
            <a:rPr lang="it-IT" sz="1200" kern="1200">
              <a:latin typeface="Times New Roman" charset="0"/>
              <a:ea typeface="Times New Roman" charset="0"/>
              <a:cs typeface="Times New Roman" charset="0"/>
            </a:rPr>
            <a:t>(SBT</a:t>
          </a:r>
          <a:r>
            <a:rPr lang="it-IT" sz="1200" kern="1200" baseline="0">
              <a:latin typeface="Times New Roman" charset="0"/>
              <a:ea typeface="Times New Roman" charset="0"/>
              <a:cs typeface="Times New Roman" charset="0"/>
            </a:rPr>
            <a:t>: </a:t>
          </a:r>
          <a:r>
            <a:rPr lang="it-IT" sz="1200" kern="1200">
              <a:latin typeface="Times New Roman" charset="0"/>
              <a:ea typeface="Times New Roman" charset="0"/>
              <a:cs typeface="Times New Roman" charset="0"/>
            </a:rPr>
            <a:t>PEEP </a:t>
          </a:r>
          <a:r>
            <a:rPr lang="it-IT" sz="1200" kern="1200" baseline="0">
              <a:latin typeface="Times New Roman" charset="0"/>
              <a:ea typeface="Times New Roman" charset="0"/>
              <a:cs typeface="Times New Roman" charset="0"/>
            </a:rPr>
            <a:t>0, PS 0)</a:t>
          </a:r>
          <a:endParaRPr lang="it-IT" sz="1200" kern="1200">
            <a:latin typeface="Times New Roman" charset="0"/>
            <a:ea typeface="Times New Roman" charset="0"/>
            <a:cs typeface="Times New Roman" charset="0"/>
          </a:endParaRPr>
        </a:p>
      </dsp:txBody>
      <dsp:txXfrm>
        <a:off x="592191" y="775518"/>
        <a:ext cx="3844817" cy="474304"/>
      </dsp:txXfrm>
    </dsp:sp>
    <dsp:sp modelId="{4A9A7916-2327-784E-80B0-83A2A7E7A880}">
      <dsp:nvSpPr>
        <dsp:cNvPr id="0" name=""/>
        <dsp:cNvSpPr/>
      </dsp:nvSpPr>
      <dsp:spPr>
        <a:xfrm rot="5400000">
          <a:off x="2420134" y="1277174"/>
          <a:ext cx="188931" cy="226717"/>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it-IT" sz="1000" kern="1200">
            <a:latin typeface="Times New Roman" charset="0"/>
            <a:ea typeface="Times New Roman" charset="0"/>
            <a:cs typeface="Times New Roman" charset="0"/>
          </a:endParaRPr>
        </a:p>
      </dsp:txBody>
      <dsp:txXfrm rot="-5400000">
        <a:off x="2446585" y="1296067"/>
        <a:ext cx="136031" cy="132252"/>
      </dsp:txXfrm>
    </dsp:sp>
    <dsp:sp modelId="{83DB9E5C-5DEF-484C-8EBC-2A7ECE28F24F}">
      <dsp:nvSpPr>
        <dsp:cNvPr id="0" name=""/>
        <dsp:cNvSpPr/>
      </dsp:nvSpPr>
      <dsp:spPr>
        <a:xfrm>
          <a:off x="577435" y="1516487"/>
          <a:ext cx="3874329" cy="701262"/>
        </a:xfrm>
        <a:prstGeom prst="roundRect">
          <a:avLst>
            <a:gd name="adj" fmla="val 10000"/>
          </a:avLst>
        </a:prstGeom>
        <a:noFill/>
        <a:ln>
          <a:solidFill>
            <a:schemeClr val="accent1"/>
          </a:solid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it-IT" sz="1200" b="1" kern="1200">
              <a:latin typeface="Times New Roman" charset="0"/>
              <a:ea typeface="Times New Roman" charset="0"/>
              <a:cs typeface="Times New Roman" charset="0"/>
            </a:rPr>
            <a:t>Measurement</a:t>
          </a:r>
          <a:r>
            <a:rPr lang="it-IT" sz="1200" b="1" kern="1200" baseline="0">
              <a:latin typeface="Times New Roman" charset="0"/>
              <a:ea typeface="Times New Roman" charset="0"/>
              <a:cs typeface="Times New Roman" charset="0"/>
            </a:rPr>
            <a:t> of:</a:t>
          </a:r>
        </a:p>
        <a:p>
          <a:pPr marL="0" lvl="0" indent="0" algn="ctr" defTabSz="533400">
            <a:lnSpc>
              <a:spcPct val="90000"/>
            </a:lnSpc>
            <a:spcBef>
              <a:spcPct val="0"/>
            </a:spcBef>
            <a:spcAft>
              <a:spcPct val="35000"/>
            </a:spcAft>
            <a:buNone/>
          </a:pPr>
          <a:r>
            <a:rPr lang="it-IT" sz="1200" kern="1200" baseline="0">
              <a:latin typeface="Times New Roman" charset="0"/>
              <a:ea typeface="Times New Roman" charset="0"/>
              <a:cs typeface="Times New Roman" charset="0"/>
            </a:rPr>
            <a:t>- Mean inspiratory flow (</a:t>
          </a:r>
          <a:r>
            <a:rPr lang="it-IT" sz="1200" b="0" i="0" kern="1200" baseline="0">
              <a:latin typeface="Times New Roman" charset="0"/>
              <a:ea typeface="Times New Roman" charset="0"/>
              <a:cs typeface="Times New Roman" charset="0"/>
            </a:rPr>
            <a:t>Vt in liter</a:t>
          </a:r>
          <a:r>
            <a:rPr lang="it-IT" sz="1200" b="0" kern="1200" baseline="0">
              <a:latin typeface="Times New Roman" charset="0"/>
              <a:ea typeface="Times New Roman" charset="0"/>
              <a:cs typeface="Times New Roman" charset="0"/>
            </a:rPr>
            <a:t>/T</a:t>
          </a:r>
          <a:r>
            <a:rPr lang="it-IT" sz="1200" b="0" kern="1200" baseline="-25000">
              <a:latin typeface="Times New Roman" charset="0"/>
              <a:ea typeface="Times New Roman" charset="0"/>
              <a:cs typeface="Times New Roman" charset="0"/>
            </a:rPr>
            <a:t>i </a:t>
          </a:r>
          <a:r>
            <a:rPr lang="it-IT" sz="1200" b="0" kern="1200" baseline="0">
              <a:latin typeface="Times New Roman" charset="0"/>
              <a:ea typeface="Times New Roman" charset="0"/>
              <a:cs typeface="Times New Roman" charset="0"/>
            </a:rPr>
            <a:t>in minutes</a:t>
          </a:r>
          <a:r>
            <a:rPr lang="it-IT" sz="1200" kern="1200" baseline="0">
              <a:latin typeface="Times New Roman" charset="0"/>
              <a:ea typeface="Times New Roman" charset="0"/>
              <a:cs typeface="Times New Roman" charset="0"/>
            </a:rPr>
            <a:t>)</a:t>
          </a:r>
        </a:p>
        <a:p>
          <a:pPr marL="0" lvl="0" indent="0" algn="ctr" defTabSz="533400">
            <a:lnSpc>
              <a:spcPct val="90000"/>
            </a:lnSpc>
            <a:spcBef>
              <a:spcPct val="0"/>
            </a:spcBef>
            <a:spcAft>
              <a:spcPct val="35000"/>
            </a:spcAft>
            <a:buNone/>
          </a:pPr>
          <a:r>
            <a:rPr lang="it-IT" sz="1200" kern="1200">
              <a:latin typeface="Times New Roman" charset="0"/>
              <a:ea typeface="Times New Roman" charset="0"/>
              <a:cs typeface="Times New Roman" charset="0"/>
            </a:rPr>
            <a:t>- Peak</a:t>
          </a:r>
          <a:r>
            <a:rPr lang="it-IT" sz="1200" kern="1200" baseline="0">
              <a:latin typeface="Times New Roman" charset="0"/>
              <a:ea typeface="Times New Roman" charset="0"/>
              <a:cs typeface="Times New Roman" charset="0"/>
            </a:rPr>
            <a:t> inspiratory flow</a:t>
          </a:r>
          <a:endParaRPr lang="it-IT" sz="1200" kern="1200">
            <a:latin typeface="Times New Roman" charset="0"/>
            <a:ea typeface="Times New Roman" charset="0"/>
            <a:cs typeface="Times New Roman" charset="0"/>
          </a:endParaRPr>
        </a:p>
      </dsp:txBody>
      <dsp:txXfrm>
        <a:off x="597974" y="1537026"/>
        <a:ext cx="3833251" cy="660184"/>
      </dsp:txXfrm>
    </dsp:sp>
    <dsp:sp modelId="{4678DD6E-87FC-CA4B-B0A2-066F40C78A57}">
      <dsp:nvSpPr>
        <dsp:cNvPr id="0" name=""/>
        <dsp:cNvSpPr/>
      </dsp:nvSpPr>
      <dsp:spPr>
        <a:xfrm rot="5400000">
          <a:off x="2420134" y="2230345"/>
          <a:ext cx="188931" cy="226717"/>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it-IT" sz="1000" kern="1200">
            <a:latin typeface="Times New Roman" charset="0"/>
            <a:ea typeface="Times New Roman" charset="0"/>
            <a:cs typeface="Times New Roman" charset="0"/>
          </a:endParaRPr>
        </a:p>
      </dsp:txBody>
      <dsp:txXfrm rot="-5400000">
        <a:off x="2446585" y="2249238"/>
        <a:ext cx="136031" cy="132252"/>
      </dsp:txXfrm>
    </dsp:sp>
    <dsp:sp modelId="{5A50220E-3A2E-944F-9D42-E12B1A8A274D}">
      <dsp:nvSpPr>
        <dsp:cNvPr id="0" name=""/>
        <dsp:cNvSpPr/>
      </dsp:nvSpPr>
      <dsp:spPr>
        <a:xfrm>
          <a:off x="572256" y="2469658"/>
          <a:ext cx="3884687" cy="1095765"/>
        </a:xfrm>
        <a:prstGeom prst="roundRect">
          <a:avLst>
            <a:gd name="adj" fmla="val 10000"/>
          </a:avLst>
        </a:prstGeom>
        <a:noFill/>
        <a:ln>
          <a:solidFill>
            <a:schemeClr val="accent1"/>
          </a:solid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it-IT" sz="1200" b="1" kern="1200">
              <a:latin typeface="Times New Roman" charset="0"/>
              <a:ea typeface="Times New Roman" charset="0"/>
              <a:cs typeface="Times New Roman" charset="0"/>
            </a:rPr>
            <a:t>Measurement</a:t>
          </a:r>
          <a:r>
            <a:rPr lang="it-IT" sz="1200" b="1" kern="1200" baseline="0">
              <a:latin typeface="Times New Roman" charset="0"/>
              <a:ea typeface="Times New Roman" charset="0"/>
              <a:cs typeface="Times New Roman" charset="0"/>
            </a:rPr>
            <a:t> of:</a:t>
          </a:r>
        </a:p>
        <a:p>
          <a:pPr marL="0" lvl="0" indent="0" algn="ctr" defTabSz="533400">
            <a:lnSpc>
              <a:spcPct val="90000"/>
            </a:lnSpc>
            <a:spcBef>
              <a:spcPct val="0"/>
            </a:spcBef>
            <a:spcAft>
              <a:spcPct val="35000"/>
            </a:spcAft>
            <a:buNone/>
          </a:pPr>
          <a:r>
            <a:rPr lang="it-IT" sz="1200" kern="1200" baseline="0">
              <a:latin typeface="Times New Roman" charset="0"/>
              <a:ea typeface="Times New Roman" charset="0"/>
              <a:cs typeface="Times New Roman" charset="0"/>
            </a:rPr>
            <a:t>-</a:t>
          </a:r>
          <a:r>
            <a:rPr lang="it-IT" sz="1200" kern="1200">
              <a:latin typeface="Times New Roman" charset="0"/>
              <a:ea typeface="Times New Roman" charset="0"/>
              <a:cs typeface="Times New Roman" charset="0"/>
            </a:rPr>
            <a:t>Respiratory drive (P0.1)</a:t>
          </a:r>
          <a:endParaRPr lang="it-IT" sz="1200" u="none" kern="1200">
            <a:latin typeface="Times New Roman" charset="0"/>
            <a:ea typeface="Times New Roman" charset="0"/>
            <a:cs typeface="Times New Roman" charset="0"/>
          </a:endParaRPr>
        </a:p>
        <a:p>
          <a:pPr marL="0" lvl="0" indent="0" algn="ctr" defTabSz="533400">
            <a:lnSpc>
              <a:spcPct val="90000"/>
            </a:lnSpc>
            <a:spcBef>
              <a:spcPct val="0"/>
            </a:spcBef>
            <a:spcAft>
              <a:spcPct val="35000"/>
            </a:spcAft>
            <a:buNone/>
          </a:pPr>
          <a:r>
            <a:rPr lang="it-IT" sz="1200" kern="1200" baseline="0">
              <a:latin typeface="Times New Roman" charset="0"/>
              <a:ea typeface="Times New Roman" charset="0"/>
              <a:cs typeface="Times New Roman" charset="0"/>
            </a:rPr>
            <a:t>-</a:t>
          </a:r>
          <a:r>
            <a:rPr lang="it-IT" sz="1200" kern="1200">
              <a:latin typeface="Times New Roman" charset="0"/>
              <a:ea typeface="Times New Roman" charset="0"/>
              <a:cs typeface="Times New Roman" charset="0"/>
            </a:rPr>
            <a:t>negative inspiratory force (NIF)</a:t>
          </a:r>
          <a:r>
            <a:rPr lang="it-IT" sz="1200" u="sng" kern="1200">
              <a:latin typeface="Times New Roman" charset="0"/>
              <a:ea typeface="Times New Roman" charset="0"/>
              <a:cs typeface="Times New Roman" charset="0"/>
            </a:rPr>
            <a:t> </a:t>
          </a:r>
        </a:p>
        <a:p>
          <a:pPr marL="0" lvl="0" indent="0" algn="ctr" defTabSz="533400">
            <a:lnSpc>
              <a:spcPct val="90000"/>
            </a:lnSpc>
            <a:spcBef>
              <a:spcPct val="0"/>
            </a:spcBef>
            <a:spcAft>
              <a:spcPct val="35000"/>
            </a:spcAft>
            <a:buNone/>
          </a:pPr>
          <a:r>
            <a:rPr lang="it-IT" sz="1200" kern="1200" baseline="0">
              <a:latin typeface="Times New Roman" charset="0"/>
              <a:ea typeface="Times New Roman" charset="0"/>
              <a:cs typeface="Times New Roman" charset="0"/>
            </a:rPr>
            <a:t>-rapid shallow breathing index (RSBI) </a:t>
          </a:r>
        </a:p>
        <a:p>
          <a:pPr marL="0" lvl="0" indent="0" algn="ctr" defTabSz="533400">
            <a:lnSpc>
              <a:spcPct val="90000"/>
            </a:lnSpc>
            <a:spcBef>
              <a:spcPct val="0"/>
            </a:spcBef>
            <a:spcAft>
              <a:spcPct val="35000"/>
            </a:spcAft>
            <a:buNone/>
          </a:pPr>
          <a:r>
            <a:rPr lang="it-IT" sz="1200" kern="1200" baseline="0">
              <a:latin typeface="Times New Roman" charset="0"/>
              <a:ea typeface="Times New Roman" charset="0"/>
              <a:cs typeface="Times New Roman" charset="0"/>
            </a:rPr>
            <a:t>- P0.1/NIF</a:t>
          </a:r>
          <a:endParaRPr lang="it-IT" sz="1200" kern="1200">
            <a:latin typeface="Times New Roman" charset="0"/>
            <a:ea typeface="Times New Roman" charset="0"/>
            <a:cs typeface="Times New Roman" charset="0"/>
          </a:endParaRPr>
        </a:p>
      </dsp:txBody>
      <dsp:txXfrm>
        <a:off x="604350" y="2501752"/>
        <a:ext cx="3820499" cy="1031577"/>
      </dsp:txXfrm>
    </dsp:sp>
    <dsp:sp modelId="{C26F30BF-1BC9-9040-8796-D35EBB98DB13}">
      <dsp:nvSpPr>
        <dsp:cNvPr id="0" name=""/>
        <dsp:cNvSpPr/>
      </dsp:nvSpPr>
      <dsp:spPr>
        <a:xfrm rot="5400000">
          <a:off x="2420134" y="3578019"/>
          <a:ext cx="188931" cy="226717"/>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it-IT" sz="1000" kern="1200">
            <a:latin typeface="Times New Roman" charset="0"/>
            <a:ea typeface="Times New Roman" charset="0"/>
            <a:cs typeface="Times New Roman" charset="0"/>
          </a:endParaRPr>
        </a:p>
      </dsp:txBody>
      <dsp:txXfrm rot="-5400000">
        <a:off x="2446585" y="3596912"/>
        <a:ext cx="136031" cy="132252"/>
      </dsp:txXfrm>
    </dsp:sp>
    <dsp:sp modelId="{CC08C383-9E76-B045-899B-65EB983E2B0C}">
      <dsp:nvSpPr>
        <dsp:cNvPr id="0" name=""/>
        <dsp:cNvSpPr/>
      </dsp:nvSpPr>
      <dsp:spPr>
        <a:xfrm>
          <a:off x="586856" y="3817332"/>
          <a:ext cx="3855486" cy="503816"/>
        </a:xfrm>
        <a:prstGeom prst="roundRect">
          <a:avLst>
            <a:gd name="adj" fmla="val 10000"/>
          </a:avLst>
        </a:prstGeom>
        <a:noFill/>
        <a:ln>
          <a:solidFill>
            <a:schemeClr val="accent1"/>
          </a:solid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it-IT" sz="1200" b="1" kern="1200">
              <a:latin typeface="Times New Roman" charset="0"/>
              <a:ea typeface="Times New Roman" charset="0"/>
              <a:cs typeface="Times New Roman" charset="0"/>
            </a:rPr>
            <a:t>VAS</a:t>
          </a:r>
          <a:r>
            <a:rPr lang="it-IT" sz="1200" kern="1200">
              <a:latin typeface="Times New Roman" charset="0"/>
              <a:ea typeface="Times New Roman" charset="0"/>
              <a:cs typeface="Times New Roman" charset="0"/>
            </a:rPr>
            <a:t> of comfort </a:t>
          </a:r>
          <a:r>
            <a:rPr lang="it-IT" sz="1200" b="1" kern="1200">
              <a:latin typeface="Times New Roman" charset="0"/>
              <a:ea typeface="Times New Roman" charset="0"/>
              <a:cs typeface="Times New Roman" charset="0"/>
            </a:rPr>
            <a:t>pre extubation</a:t>
          </a:r>
        </a:p>
      </dsp:txBody>
      <dsp:txXfrm>
        <a:off x="601612" y="3832088"/>
        <a:ext cx="3825974" cy="474304"/>
      </dsp:txXfrm>
    </dsp:sp>
    <dsp:sp modelId="{D8ABA589-53AF-FC4E-B88C-B38985917473}">
      <dsp:nvSpPr>
        <dsp:cNvPr id="0" name=""/>
        <dsp:cNvSpPr/>
      </dsp:nvSpPr>
      <dsp:spPr>
        <a:xfrm rot="5400000">
          <a:off x="2420134" y="4333744"/>
          <a:ext cx="188931" cy="226717"/>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it-IT" sz="1000" kern="1200">
            <a:latin typeface="Times New Roman" charset="0"/>
            <a:ea typeface="Times New Roman" charset="0"/>
            <a:cs typeface="Times New Roman" charset="0"/>
          </a:endParaRPr>
        </a:p>
      </dsp:txBody>
      <dsp:txXfrm rot="-5400000">
        <a:off x="2446585" y="4352637"/>
        <a:ext cx="136031" cy="132252"/>
      </dsp:txXfrm>
    </dsp:sp>
    <dsp:sp modelId="{7A2D0E3F-3BB3-7B4B-8B9D-C443ADD6F2FF}">
      <dsp:nvSpPr>
        <dsp:cNvPr id="0" name=""/>
        <dsp:cNvSpPr/>
      </dsp:nvSpPr>
      <dsp:spPr>
        <a:xfrm>
          <a:off x="549503" y="4573057"/>
          <a:ext cx="3930192" cy="503816"/>
        </a:xfrm>
        <a:prstGeom prst="roundRect">
          <a:avLst>
            <a:gd name="adj" fmla="val 10000"/>
          </a:avLst>
        </a:prstGeom>
        <a:noFill/>
        <a:ln>
          <a:solidFill>
            <a:schemeClr val="accent1"/>
          </a:solidFill>
        </a:ln>
        <a:effectLst/>
      </dsp:spPr>
      <dsp:style>
        <a:lnRef idx="0">
          <a:scrgbClr r="0" g="0" b="0"/>
        </a:lnRef>
        <a:fillRef idx="3">
          <a:scrgbClr r="0" g="0" b="0"/>
        </a:fillRef>
        <a:effectRef idx="2">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it-IT" sz="1400" b="1" kern="1200">
              <a:latin typeface="Times New Roman" charset="0"/>
              <a:ea typeface="Times New Roman" charset="0"/>
              <a:cs typeface="Times New Roman" charset="0"/>
            </a:rPr>
            <a:t>EXTUBATION</a:t>
          </a:r>
          <a:r>
            <a:rPr lang="it-IT" sz="800" kern="1200">
              <a:latin typeface="Times New Roman" charset="0"/>
              <a:ea typeface="Times New Roman" charset="0"/>
              <a:cs typeface="Times New Roman" charset="0"/>
            </a:rPr>
            <a:t>.</a:t>
          </a:r>
        </a:p>
      </dsp:txBody>
      <dsp:txXfrm>
        <a:off x="564259" y="4587813"/>
        <a:ext cx="3900680" cy="474304"/>
      </dsp:txXfrm>
    </dsp:sp>
    <dsp:sp modelId="{42B2632F-1FE3-9643-9EE0-D417B72F7B11}">
      <dsp:nvSpPr>
        <dsp:cNvPr id="0" name=""/>
        <dsp:cNvSpPr/>
      </dsp:nvSpPr>
      <dsp:spPr>
        <a:xfrm rot="5400000">
          <a:off x="2420134" y="5089469"/>
          <a:ext cx="188931" cy="226717"/>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it-IT" sz="1000" kern="1200">
            <a:latin typeface="Times New Roman" charset="0"/>
            <a:ea typeface="Times New Roman" charset="0"/>
            <a:cs typeface="Times New Roman" charset="0"/>
          </a:endParaRPr>
        </a:p>
      </dsp:txBody>
      <dsp:txXfrm rot="-5400000">
        <a:off x="2446585" y="5108362"/>
        <a:ext cx="136031" cy="132252"/>
      </dsp:txXfrm>
    </dsp:sp>
    <dsp:sp modelId="{9A972669-8285-B74C-B4E6-A3DEE69A4330}">
      <dsp:nvSpPr>
        <dsp:cNvPr id="0" name=""/>
        <dsp:cNvSpPr/>
      </dsp:nvSpPr>
      <dsp:spPr>
        <a:xfrm>
          <a:off x="114236" y="5328782"/>
          <a:ext cx="4800727" cy="1038889"/>
        </a:xfrm>
        <a:prstGeom prst="roundRect">
          <a:avLst>
            <a:gd name="adj" fmla="val 10000"/>
          </a:avLst>
        </a:prstGeom>
        <a:noFill/>
        <a:ln>
          <a:solidFill>
            <a:schemeClr val="accent1"/>
          </a:solid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it-IT" sz="1200" b="1" kern="1200">
              <a:latin typeface="Times New Roman" charset="0"/>
              <a:ea typeface="Times New Roman" charset="0"/>
              <a:cs typeface="Times New Roman" charset="0"/>
            </a:rPr>
            <a:t>HFNC set </a:t>
          </a:r>
          <a:r>
            <a:rPr lang="it-IT" sz="1200" kern="1200">
              <a:latin typeface="Times New Roman" charset="0"/>
              <a:ea typeface="Times New Roman" charset="0"/>
              <a:cs typeface="Times New Roman" charset="0"/>
            </a:rPr>
            <a:t>initially at a gas flow of 20 L/min and </a:t>
          </a:r>
          <a:r>
            <a:rPr lang="it-IT" sz="1200" b="1" kern="1200">
              <a:latin typeface="Times New Roman" charset="0"/>
              <a:ea typeface="Times New Roman" charset="0"/>
              <a:cs typeface="Times New Roman" charset="0"/>
            </a:rPr>
            <a:t>then increased in steps of 10L/min up to 60 L/min </a:t>
          </a:r>
          <a:r>
            <a:rPr lang="it-IT" sz="1200" kern="1200">
              <a:latin typeface="Times New Roman" charset="0"/>
              <a:ea typeface="Times New Roman" charset="0"/>
              <a:cs typeface="Times New Roman" charset="0"/>
            </a:rPr>
            <a:t>or maximum tolerated assessed with </a:t>
          </a:r>
          <a:r>
            <a:rPr lang="it-IT" sz="1200" b="1" kern="1200">
              <a:latin typeface="Times New Roman" charset="0"/>
              <a:ea typeface="Times New Roman" charset="0"/>
              <a:cs typeface="Times New Roman" charset="0"/>
            </a:rPr>
            <a:t>VAS</a:t>
          </a:r>
          <a:r>
            <a:rPr lang="it-IT" sz="1200" kern="1200" baseline="0">
              <a:latin typeface="Times New Roman" charset="0"/>
              <a:ea typeface="Times New Roman" charset="0"/>
              <a:cs typeface="Times New Roman" charset="0"/>
            </a:rPr>
            <a:t>.</a:t>
          </a:r>
        </a:p>
        <a:p>
          <a:pPr marL="0" lvl="0" indent="0" algn="ctr" defTabSz="533400">
            <a:lnSpc>
              <a:spcPct val="90000"/>
            </a:lnSpc>
            <a:spcBef>
              <a:spcPct val="0"/>
            </a:spcBef>
            <a:spcAft>
              <a:spcPct val="35000"/>
            </a:spcAft>
            <a:buNone/>
          </a:pPr>
          <a:r>
            <a:rPr lang="it-IT" sz="1000" kern="1200" baseline="0">
              <a:latin typeface="Times New Roman" charset="0"/>
              <a:ea typeface="Times New Roman" charset="0"/>
              <a:cs typeface="Times New Roman" charset="0"/>
            </a:rPr>
            <a:t>(At every change of flow, VAS of comfort will be assessed and </a:t>
          </a:r>
          <a:r>
            <a:rPr lang="it-IT" sz="1000" kern="1200">
              <a:latin typeface="Times New Roman" charset="0"/>
              <a:ea typeface="Times New Roman" charset="0"/>
              <a:cs typeface="Times New Roman" charset="0"/>
            </a:rPr>
            <a:t>FiO</a:t>
          </a:r>
          <a:r>
            <a:rPr lang="it-IT" sz="1000" kern="1200" baseline="-25000">
              <a:latin typeface="Times New Roman" charset="0"/>
              <a:ea typeface="Times New Roman" charset="0"/>
              <a:cs typeface="Times New Roman" charset="0"/>
            </a:rPr>
            <a:t>2</a:t>
          </a:r>
          <a:r>
            <a:rPr lang="it-IT" sz="1000" kern="1200">
              <a:latin typeface="Times New Roman" charset="0"/>
              <a:ea typeface="Times New Roman" charset="0"/>
              <a:cs typeface="Times New Roman" charset="0"/>
            </a:rPr>
            <a:t> will be adjusted to maintain an SpO</a:t>
          </a:r>
          <a:r>
            <a:rPr lang="it-IT" sz="1000" kern="1200" baseline="-25000">
              <a:latin typeface="Times New Roman" charset="0"/>
              <a:ea typeface="Times New Roman" charset="0"/>
              <a:cs typeface="Times New Roman" charset="0"/>
            </a:rPr>
            <a:t>2</a:t>
          </a:r>
          <a:r>
            <a:rPr lang="it-IT" sz="1000" kern="1200">
              <a:latin typeface="Times New Roman" charset="0"/>
              <a:ea typeface="Times New Roman" charset="0"/>
              <a:cs typeface="Times New Roman" charset="0"/>
            </a:rPr>
            <a:t> &gt; 92%.</a:t>
          </a:r>
          <a:r>
            <a:rPr lang="it-IT" sz="1000" kern="1200" baseline="0">
              <a:latin typeface="Times New Roman" charset="0"/>
              <a:ea typeface="Times New Roman" charset="0"/>
              <a:cs typeface="Times New Roman" charset="0"/>
            </a:rPr>
            <a:t>)</a:t>
          </a:r>
          <a:r>
            <a:rPr lang="it-IT" sz="700" kern="1200" baseline="0">
              <a:latin typeface="Times New Roman" charset="0"/>
              <a:ea typeface="Times New Roman" charset="0"/>
              <a:cs typeface="Times New Roman" charset="0"/>
            </a:rPr>
            <a:t>.</a:t>
          </a:r>
          <a:endParaRPr lang="it-IT" sz="700" kern="1200">
            <a:latin typeface="Times New Roman" charset="0"/>
            <a:ea typeface="Times New Roman" charset="0"/>
            <a:cs typeface="Times New Roman" charset="0"/>
          </a:endParaRPr>
        </a:p>
      </dsp:txBody>
      <dsp:txXfrm>
        <a:off x="144664" y="5359210"/>
        <a:ext cx="4739871" cy="978033"/>
      </dsp:txXfrm>
    </dsp:sp>
    <dsp:sp modelId="{506D1B85-931C-EC48-B4DD-DC4B98D5FEA1}">
      <dsp:nvSpPr>
        <dsp:cNvPr id="0" name=""/>
        <dsp:cNvSpPr/>
      </dsp:nvSpPr>
      <dsp:spPr>
        <a:xfrm rot="5400000">
          <a:off x="2420134" y="6380267"/>
          <a:ext cx="188931" cy="226717"/>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it-IT" sz="1000" kern="1200">
            <a:latin typeface="Times New Roman" charset="0"/>
            <a:ea typeface="Times New Roman" charset="0"/>
            <a:cs typeface="Times New Roman" charset="0"/>
          </a:endParaRPr>
        </a:p>
      </dsp:txBody>
      <dsp:txXfrm rot="-5400000">
        <a:off x="2446585" y="6399160"/>
        <a:ext cx="136031" cy="132252"/>
      </dsp:txXfrm>
    </dsp:sp>
    <dsp:sp modelId="{883895DD-89B5-9E4A-98A1-622D4AA22CAD}">
      <dsp:nvSpPr>
        <dsp:cNvPr id="0" name=""/>
        <dsp:cNvSpPr/>
      </dsp:nvSpPr>
      <dsp:spPr>
        <a:xfrm>
          <a:off x="114236" y="6619580"/>
          <a:ext cx="4800727" cy="503816"/>
        </a:xfrm>
        <a:prstGeom prst="roundRect">
          <a:avLst>
            <a:gd name="adj" fmla="val 10000"/>
          </a:avLst>
        </a:prstGeom>
        <a:noFill/>
        <a:ln>
          <a:solidFill>
            <a:schemeClr val="accent1"/>
          </a:solid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it-IT" sz="1200" b="1" kern="1200">
              <a:latin typeface="Times New Roman" charset="0"/>
              <a:ea typeface="Times New Roman" charset="0"/>
              <a:cs typeface="Times New Roman" charset="0"/>
            </a:rPr>
            <a:t>HFNC flow will be set at gas flow best patient's comfort</a:t>
          </a:r>
        </a:p>
      </dsp:txBody>
      <dsp:txXfrm>
        <a:off x="128992" y="6634336"/>
        <a:ext cx="4771215" cy="474304"/>
      </dsp:txXfrm>
    </dsp:sp>
    <dsp:sp modelId="{CD80019F-944D-4644-8299-7AB54E1EBEBA}">
      <dsp:nvSpPr>
        <dsp:cNvPr id="0" name=""/>
        <dsp:cNvSpPr/>
      </dsp:nvSpPr>
      <dsp:spPr>
        <a:xfrm rot="5400000">
          <a:off x="2420134" y="7135992"/>
          <a:ext cx="188931" cy="226717"/>
        </a:xfrm>
        <a:prstGeom prst="rightArrow">
          <a:avLst>
            <a:gd name="adj1" fmla="val 60000"/>
            <a:gd name="adj2" fmla="val 50000"/>
          </a:avLst>
        </a:prstGeom>
        <a:gradFill rotWithShape="0">
          <a:gsLst>
            <a:gs pos="0">
              <a:schemeClr val="accent1">
                <a:tint val="60000"/>
                <a:hueOff val="0"/>
                <a:satOff val="0"/>
                <a:lumOff val="0"/>
                <a:alphaOff val="0"/>
                <a:satMod val="103000"/>
                <a:lumMod val="102000"/>
                <a:tint val="94000"/>
              </a:schemeClr>
            </a:gs>
            <a:gs pos="50000">
              <a:schemeClr val="accent1">
                <a:tint val="60000"/>
                <a:hueOff val="0"/>
                <a:satOff val="0"/>
                <a:lumOff val="0"/>
                <a:alphaOff val="0"/>
                <a:satMod val="110000"/>
                <a:lumMod val="100000"/>
                <a:shade val="100000"/>
              </a:schemeClr>
            </a:gs>
            <a:gs pos="100000">
              <a:schemeClr val="accent1">
                <a:tint val="60000"/>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None/>
          </a:pPr>
          <a:endParaRPr lang="it-IT" sz="1000" kern="1200">
            <a:latin typeface="Times New Roman" charset="0"/>
            <a:ea typeface="Times New Roman" charset="0"/>
            <a:cs typeface="Times New Roman" charset="0"/>
          </a:endParaRPr>
        </a:p>
      </dsp:txBody>
      <dsp:txXfrm rot="-5400000">
        <a:off x="2446585" y="7154885"/>
        <a:ext cx="136031" cy="132252"/>
      </dsp:txXfrm>
    </dsp:sp>
    <dsp:sp modelId="{54ECA8A7-6853-D14F-97D5-1B254AF50F6F}">
      <dsp:nvSpPr>
        <dsp:cNvPr id="0" name=""/>
        <dsp:cNvSpPr/>
      </dsp:nvSpPr>
      <dsp:spPr>
        <a:xfrm>
          <a:off x="114236" y="7375305"/>
          <a:ext cx="4800727" cy="503816"/>
        </a:xfrm>
        <a:prstGeom prst="roundRect">
          <a:avLst>
            <a:gd name="adj" fmla="val 10000"/>
          </a:avLst>
        </a:prstGeom>
        <a:noFill/>
        <a:ln>
          <a:solidFill>
            <a:schemeClr val="accent1"/>
          </a:solidFill>
        </a:ln>
        <a:effectLst/>
      </dsp:spPr>
      <dsp:style>
        <a:lnRef idx="0">
          <a:scrgbClr r="0" g="0" b="0"/>
        </a:lnRef>
        <a:fillRef idx="3">
          <a:scrgbClr r="0" g="0" b="0"/>
        </a:fillRef>
        <a:effectRef idx="2">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it-IT" sz="1200" b="1" kern="1200">
              <a:latin typeface="Times New Roman" charset="0"/>
              <a:ea typeface="Times New Roman" charset="0"/>
              <a:cs typeface="Times New Roman" charset="0"/>
            </a:rPr>
            <a:t>Peak inspiratory flow </a:t>
          </a:r>
          <a:r>
            <a:rPr lang="it-IT" sz="1200" kern="1200">
              <a:latin typeface="Times New Roman" charset="0"/>
              <a:ea typeface="Times New Roman" charset="0"/>
              <a:cs typeface="Times New Roman" charset="0"/>
            </a:rPr>
            <a:t>and </a:t>
          </a:r>
          <a:r>
            <a:rPr lang="it-IT" sz="1200" b="1" kern="1200">
              <a:latin typeface="Times New Roman" charset="0"/>
              <a:ea typeface="Times New Roman" charset="0"/>
              <a:cs typeface="Times New Roman" charset="0"/>
            </a:rPr>
            <a:t>mean inspiratory flow </a:t>
          </a:r>
          <a:r>
            <a:rPr lang="it-IT" sz="1200" kern="1200">
              <a:latin typeface="Times New Roman" charset="0"/>
              <a:ea typeface="Times New Roman" charset="0"/>
              <a:cs typeface="Times New Roman" charset="0"/>
            </a:rPr>
            <a:t>before extubation will be </a:t>
          </a:r>
          <a:r>
            <a:rPr lang="it-IT" sz="1200" b="1" kern="1200">
              <a:latin typeface="Times New Roman" charset="0"/>
              <a:ea typeface="Times New Roman" charset="0"/>
              <a:cs typeface="Times New Roman" charset="0"/>
            </a:rPr>
            <a:t>compared</a:t>
          </a:r>
          <a:r>
            <a:rPr lang="it-IT" sz="1200" kern="1200">
              <a:latin typeface="Times New Roman" charset="0"/>
              <a:ea typeface="Times New Roman" charset="0"/>
              <a:cs typeface="Times New Roman" charset="0"/>
            </a:rPr>
            <a:t> </a:t>
          </a:r>
          <a:r>
            <a:rPr lang="it-IT" sz="1200" b="1" kern="1200">
              <a:latin typeface="Times New Roman" charset="0"/>
              <a:ea typeface="Times New Roman" charset="0"/>
              <a:cs typeface="Times New Roman" charset="0"/>
            </a:rPr>
            <a:t>to HFNC flow </a:t>
          </a:r>
          <a:r>
            <a:rPr lang="it-IT" sz="1200" kern="1200">
              <a:latin typeface="Times New Roman" charset="0"/>
              <a:ea typeface="Times New Roman" charset="0"/>
              <a:cs typeface="Times New Roman" charset="0"/>
            </a:rPr>
            <a:t>associated with the </a:t>
          </a:r>
          <a:r>
            <a:rPr lang="it-IT" sz="1200" b="1" kern="1200">
              <a:latin typeface="Times New Roman" charset="0"/>
              <a:ea typeface="Times New Roman" charset="0"/>
              <a:cs typeface="Times New Roman" charset="0"/>
            </a:rPr>
            <a:t>best patient’s comfort</a:t>
          </a:r>
        </a:p>
      </dsp:txBody>
      <dsp:txXfrm>
        <a:off x="128992" y="7390061"/>
        <a:ext cx="4771215" cy="474304"/>
      </dsp:txXfrm>
    </dsp:sp>
  </dsp:spTree>
</dsp:drawing>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95F058D-AA15-234C-9C14-151BE86FB1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9712</Words>
  <Characters>55362</Characters>
  <Application>Microsoft Office Word</Application>
  <DocSecurity>0</DocSecurity>
  <Lines>461</Lines>
  <Paragraphs>129</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64945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pis</dc:creator>
  <cp:keywords/>
  <dc:description/>
  <cp:lastModifiedBy>Sophia Butt</cp:lastModifiedBy>
  <cp:revision>8</cp:revision>
  <cp:lastPrinted>2017-05-27T14:52:00Z</cp:lastPrinted>
  <dcterms:created xsi:type="dcterms:W3CDTF">2020-08-15T14:15:00Z</dcterms:created>
  <dcterms:modified xsi:type="dcterms:W3CDTF">2020-08-15T19:10:00Z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16th edition (author-date)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6612794d-778f-3dca-a8cc-9f36bc1ac1ee</vt:lpwstr>
  </property>
  <property fmtid="{D5CDD505-2E9C-101B-9397-08002B2CF9AE}" pid="24" name="Mendeley Citation Style_1">
    <vt:lpwstr>http://www.zotero.org/styles/nature</vt:lpwstr>
  </property>
</Properties>
</file>