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3147"/>
        <w:gridCol w:w="1858"/>
        <w:gridCol w:w="1858"/>
        <w:gridCol w:w="1698"/>
        <w:gridCol w:w="486"/>
        <w:gridCol w:w="1860"/>
        <w:gridCol w:w="1698"/>
        <w:gridCol w:w="1682"/>
      </w:tblGrid>
      <w:tr w:rsidR="007117DC" w:rsidRPr="00BD47E8" w:rsidTr="00F26F1B">
        <w:trPr>
          <w:trHeight w:val="31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6F1B" w:rsidRPr="00F26F1B" w:rsidRDefault="007117DC" w:rsidP="00F26F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26F1B">
              <w:rPr>
                <w:rFonts w:ascii="Calibri" w:eastAsia="Times New Roman" w:hAnsi="Calibri" w:cs="Calibri"/>
                <w:b/>
                <w:lang w:val="en-US"/>
              </w:rPr>
              <w:t>Table S</w:t>
            </w:r>
            <w:r w:rsidR="000376C5">
              <w:rPr>
                <w:rFonts w:ascii="Calibri" w:eastAsia="Times New Roman" w:hAnsi="Calibri" w:cs="Calibri"/>
                <w:b/>
                <w:lang w:val="en-US"/>
              </w:rPr>
              <w:t>2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 Proportion (%) of microbial groups based on </w:t>
            </w:r>
            <w:r w:rsidR="00DE1EA1" w:rsidRPr="00490277">
              <w:rPr>
                <w:rFonts w:ascii="Calibri" w:eastAsia="Times New Roman" w:hAnsi="Calibri" w:cs="Calibri"/>
                <w:lang w:val="en-US"/>
              </w:rPr>
              <w:t>phospholipid fatty acid (</w:t>
            </w:r>
            <w:r w:rsidR="00F26F1B" w:rsidRPr="00490277">
              <w:rPr>
                <w:rFonts w:ascii="Calibri" w:eastAsia="Times New Roman" w:hAnsi="Calibri" w:cs="Calibri"/>
                <w:lang w:val="en-US"/>
              </w:rPr>
              <w:t>PLFA</w:t>
            </w:r>
            <w:r w:rsidR="00DE1EA1">
              <w:rPr>
                <w:rFonts w:ascii="Calibri" w:eastAsia="Times New Roman" w:hAnsi="Calibri" w:cs="Calibri"/>
                <w:lang w:val="en-US"/>
              </w:rPr>
              <w:t>)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 markers</w:t>
            </w:r>
            <w:r w:rsidR="00676BEA">
              <w:rPr>
                <w:rFonts w:ascii="Calibri" w:eastAsia="Times New Roman" w:hAnsi="Calibri" w:cs="Calibri"/>
                <w:lang w:val="en-US"/>
              </w:rPr>
              <w:t>, total PLFA (</w:t>
            </w:r>
            <w:r w:rsidR="00676BEA" w:rsidRPr="00676BEA">
              <w:rPr>
                <w:lang w:val="en-US"/>
              </w:rPr>
              <w:t>nmol g</w:t>
            </w:r>
            <w:r w:rsidR="00676BEA" w:rsidRPr="00676BEA">
              <w:rPr>
                <w:vertAlign w:val="superscript"/>
                <w:lang w:val="en-US"/>
              </w:rPr>
              <w:t>-1</w:t>
            </w:r>
            <w:r w:rsidR="00676BEA" w:rsidRPr="00676BEA">
              <w:rPr>
                <w:lang w:val="en-US"/>
              </w:rPr>
              <w:t xml:space="preserve"> dry weight</w:t>
            </w:r>
            <w:r w:rsidR="00676BEA">
              <w:rPr>
                <w:lang w:val="en-US"/>
              </w:rPr>
              <w:t>)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 and trophic groups of nematodes at the experimental fields in France, Slovenia and Spain in the years 2022 and 2023</w:t>
            </w:r>
            <w:r w:rsidR="00F26F1B">
              <w:rPr>
                <w:rFonts w:ascii="Calibri" w:eastAsia="Times New Roman" w:hAnsi="Calibri" w:cs="Calibri"/>
                <w:lang w:val="en-US"/>
              </w:rPr>
              <w:t>.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 </w:t>
            </w:r>
            <w:r w:rsidR="00F26F1B"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Significant differences </w:t>
            </w:r>
            <w:r w:rsidR="00F26F1B" w:rsidRPr="00490277">
              <w:rPr>
                <w:rFonts w:ascii="Calibri" w:eastAsia="Times New Roman" w:hAnsi="Calibri" w:cs="Calibri"/>
                <w:lang w:val="en-US"/>
              </w:rPr>
              <w:t xml:space="preserve">between </w:t>
            </w:r>
            <w:r w:rsidR="0069012A" w:rsidRPr="00490277">
              <w:rPr>
                <w:rFonts w:ascii="Calibri" w:eastAsia="Times New Roman" w:hAnsi="Calibri" w:cs="Calibri"/>
                <w:lang w:val="en-US"/>
              </w:rPr>
              <w:t>regions</w:t>
            </w:r>
            <w:r w:rsidR="00F26F1B" w:rsidRPr="00490277">
              <w:rPr>
                <w:rFonts w:ascii="Calibri" w:eastAsia="Times New Roman" w:hAnsi="Calibri" w:cs="Calibri"/>
                <w:lang w:val="en-US"/>
              </w:rPr>
              <w:t xml:space="preserve"> were tested </w:t>
            </w:r>
            <w:r w:rsidR="00F26F1B">
              <w:rPr>
                <w:rFonts w:ascii="Calibri" w:eastAsia="Times New Roman" w:hAnsi="Calibri" w:cs="Calibri"/>
                <w:lang w:val="en-US"/>
              </w:rPr>
              <w:t xml:space="preserve">with 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>Dunn-Bonferroni</w:t>
            </w:r>
            <w:r w:rsidR="00F26F1B" w:rsidRPr="006D3DEB">
              <w:rPr>
                <w:rFonts w:ascii="Calibri" w:eastAsia="Times New Roman" w:hAnsi="Calibri" w:cs="Calibri"/>
                <w:color w:val="7030A0"/>
                <w:lang w:val="en-US"/>
              </w:rPr>
              <w:t xml:space="preserve">. 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Values with the same or no </w:t>
            </w:r>
            <w:r w:rsidR="00F26F1B" w:rsidRPr="00490277">
              <w:rPr>
                <w:rFonts w:ascii="Calibri" w:eastAsia="Times New Roman" w:hAnsi="Calibri" w:cs="Calibri"/>
                <w:lang w:val="en-US"/>
              </w:rPr>
              <w:t xml:space="preserve">letter </w:t>
            </w:r>
            <w:r w:rsidR="0069012A" w:rsidRPr="00490277">
              <w:rPr>
                <w:rFonts w:ascii="Calibri" w:eastAsia="Times New Roman" w:hAnsi="Calibri" w:cs="Calibri"/>
                <w:lang w:val="en-US"/>
              </w:rPr>
              <w:t xml:space="preserve">within one year </w:t>
            </w:r>
            <w:r w:rsidR="00F26F1B" w:rsidRPr="00490277">
              <w:rPr>
                <w:rFonts w:ascii="Calibri" w:eastAsia="Times New Roman" w:hAnsi="Calibri" w:cs="Calibri"/>
                <w:lang w:val="en-US"/>
              </w:rPr>
              <w:t xml:space="preserve">are not 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significantly different with </w:t>
            </w:r>
            <w:r w:rsidR="00F26F1B" w:rsidRPr="00F26F1B">
              <w:rPr>
                <w:rFonts w:ascii="Calibri" w:eastAsia="Times New Roman" w:hAnsi="Calibri" w:cs="Calibri"/>
                <w:i/>
                <w:lang w:val="en-US"/>
              </w:rPr>
              <w:t>P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 xml:space="preserve"> &lt; </w:t>
            </w:r>
            <w:r w:rsidR="00F26F1B">
              <w:rPr>
                <w:rFonts w:ascii="Calibri" w:eastAsia="Times New Roman" w:hAnsi="Calibri" w:cs="Calibri"/>
                <w:lang w:val="en-US"/>
              </w:rPr>
              <w:t>0.05</w:t>
            </w:r>
            <w:r w:rsidR="00F26F1B" w:rsidRPr="00F26F1B">
              <w:rPr>
                <w:rFonts w:ascii="Calibri" w:eastAsia="Times New Roman" w:hAnsi="Calibri" w:cs="Calibri"/>
                <w:lang w:val="en-US"/>
              </w:rPr>
              <w:t>.</w:t>
            </w:r>
            <w:r w:rsidR="00F26F1B" w:rsidRPr="00F26F1B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  <w:p w:rsidR="007117DC" w:rsidRPr="007117DC" w:rsidRDefault="007117DC" w:rsidP="007117D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7DC" w:rsidRPr="007117DC" w:rsidRDefault="007117DC" w:rsidP="007117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2022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7DC" w:rsidRPr="007117DC" w:rsidRDefault="007117DC" w:rsidP="007117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8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7DC" w:rsidRPr="007117DC" w:rsidRDefault="007117DC" w:rsidP="007117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2023</w:t>
            </w:r>
          </w:p>
        </w:tc>
      </w:tr>
      <w:tr w:rsidR="00F26F1B" w:rsidRPr="007117DC" w:rsidTr="00F26F1B">
        <w:trPr>
          <w:trHeight w:val="315"/>
        </w:trPr>
        <w:tc>
          <w:tcPr>
            <w:tcW w:w="11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France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Slovenia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Spain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France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Slovenia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Spain</w:t>
            </w:r>
          </w:p>
        </w:tc>
      </w:tr>
      <w:tr w:rsidR="00F26F1B" w:rsidRPr="007117DC" w:rsidTr="00F26F1B">
        <w:trPr>
          <w:trHeight w:val="300"/>
        </w:trPr>
        <w:tc>
          <w:tcPr>
            <w:tcW w:w="1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69012A" w:rsidP="0049027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490277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M</w:t>
            </w:r>
            <w:r w:rsidR="007117DC" w:rsidRPr="007117D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icrobial groups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General Bacteria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23.1 ± 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25.1 ± 1.1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23.6 ± 0.8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24 ± 0.3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26 ± 1.4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23.7 ± 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Gram+ Bacteria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10.9 ± 1.3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10 ± 0.6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10.7 ± 0.5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9.6 ± 0.8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9.8 ± 2.8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11.7 ± 0.7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Gram- Bacteria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18.4 ± 0.6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16 ± 0.7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11.7 ± 1.4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18.1 ± 1.3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15.6 ± 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10.4 ± 0.8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Actinobacteria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11.9 ± 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16.3 ± 1.1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15.9 ± 0.5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11.3 ± 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16 ± 1.5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15.4 ± 0.5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AM Fungi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2.1 ± 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2.9 ± 0.1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2.8 ± 0.1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2.2 ± 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3 ± 0.5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3 ± 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Saprotrophic Fungi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1.5 ± 0.4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1.5 ± 0.8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3 ± 0.6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2.2 ± 1.1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1.8 ± 1.1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4.1 ± 0.4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Microfauna</w:t>
            </w:r>
            <w:proofErr w:type="spellEnd"/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0.5 ± 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0.8 ± 0.4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0.9 ± 0.1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a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0.9 ± 0.3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0.9 ± 0.2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0.8 ± 0.2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Plant</w:t>
            </w:r>
            <w:r w:rsidR="0069012A">
              <w:rPr>
                <w:rFonts w:ascii="Calibri" w:eastAsia="Times New Roman" w:hAnsi="Calibri" w:cs="Calibri"/>
                <w:color w:val="000000"/>
                <w:lang w:val="en-US"/>
              </w:rPr>
              <w:t>s</w:t>
            </w: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1.7 ± 0.6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1.2 ± 0.7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1.6 ± 0.6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ab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2.3 ± 1.2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1.2 ± 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2.5 ± 0.3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676BEA" w:rsidRPr="00676BEA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676BEA" w:rsidRDefault="00676BEA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Total PLFA [</w:t>
            </w:r>
            <w:r w:rsidRPr="00676BEA">
              <w:rPr>
                <w:lang w:val="en-US"/>
              </w:rPr>
              <w:t>nmol g</w:t>
            </w:r>
            <w:r w:rsidRPr="00676BEA">
              <w:rPr>
                <w:vertAlign w:val="superscript"/>
                <w:lang w:val="en-US"/>
              </w:rPr>
              <w:t>-1</w:t>
            </w:r>
            <w:r w:rsidRPr="00676BEA">
              <w:rPr>
                <w:lang w:val="en-US"/>
              </w:rPr>
              <w:t xml:space="preserve"> dry weight</w:t>
            </w:r>
            <w:r>
              <w:rPr>
                <w:lang w:val="en-US"/>
              </w:rPr>
              <w:t>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 xml:space="preserve">24 ± 1.8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>120.2 ± 11.6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>25.2 ± 5.8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676BEA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>24.9 ± 2.3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>102.9 ± 17.1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6BEA" w:rsidRPr="007117DC" w:rsidRDefault="0054371F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4371F">
              <w:rPr>
                <w:rFonts w:ascii="Calibri" w:eastAsia="Times New Roman" w:hAnsi="Calibri" w:cs="Calibri"/>
                <w:color w:val="000000"/>
                <w:lang w:val="en-US"/>
              </w:rPr>
              <w:t>38.9 ± 16.7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</w:tr>
      <w:tr w:rsidR="00F26F1B" w:rsidRPr="007117DC" w:rsidTr="00F26F1B">
        <w:trPr>
          <w:trHeight w:val="300"/>
        </w:trPr>
        <w:tc>
          <w:tcPr>
            <w:tcW w:w="244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69012A" w:rsidP="007117D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490277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N</w:t>
            </w:r>
            <w:r w:rsidR="007117DC" w:rsidRPr="007117D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ematode trophic groups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Plant feeders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15.5 ± 7.6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22.1 ± 7.3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41 ± 20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17.2 ± 10.2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19.7 ± 6.7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56.4 ± 9.9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Fungal feeders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14.6 ± 8.4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21.1 ± 4.9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15.8 ± 10.4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11.2 ± 7.6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14.8 ± 7.4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24.4 ± 6.1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69012A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B</w:t>
            </w:r>
            <w:r w:rsidR="007117DC" w:rsidRPr="007117DC">
              <w:rPr>
                <w:rFonts w:ascii="Calibri" w:eastAsia="Times New Roman" w:hAnsi="Calibri" w:cs="Calibri"/>
                <w:color w:val="000000"/>
                <w:lang w:val="en-US"/>
              </w:rPr>
              <w:t>acterial feeders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65.3 ± 9.9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52.1 ± 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9.7 ± 7.7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65.7 ± 14.9 </w:t>
            </w:r>
            <w:r w:rsidR="00BD47E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53.6 ± 9 </w:t>
            </w:r>
            <w:r w:rsidR="00BD47E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17.9 ± 6.4 </w:t>
            </w:r>
            <w:r w:rsidR="00BD47E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  <w:bookmarkStart w:id="0" w:name="_GoBack"/>
            <w:bookmarkEnd w:id="0"/>
          </w:p>
        </w:tc>
      </w:tr>
      <w:tr w:rsidR="00F26F1B" w:rsidRPr="007117DC" w:rsidTr="00F26F1B">
        <w:trPr>
          <w:trHeight w:val="300"/>
        </w:trPr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Omnivores [%]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 ± 0.8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4.1 ± 1.7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1.8 ± 2.3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4 ± 2.4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10.9 ± 2.2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2.2 ± 1.9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</w:tr>
      <w:tr w:rsidR="00F26F1B" w:rsidRPr="007117DC" w:rsidTr="00F26F1B">
        <w:trPr>
          <w:trHeight w:val="315"/>
        </w:trPr>
        <w:tc>
          <w:tcPr>
            <w:tcW w:w="11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Predators [%]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0.2 ± 0.4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0.4 ± 0.6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0 ± 0</w:t>
            </w:r>
          </w:p>
        </w:tc>
        <w:tc>
          <w:tcPr>
            <w:tcW w:w="1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0.3 ± 0.4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ab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 ± 1.2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7DC" w:rsidRPr="007117DC" w:rsidRDefault="007117DC" w:rsidP="007117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117DC">
              <w:rPr>
                <w:rFonts w:ascii="Calibri" w:eastAsia="Times New Roman" w:hAnsi="Calibri" w:cs="Calibri"/>
                <w:color w:val="000000"/>
                <w:lang w:val="en-US"/>
              </w:rPr>
              <w:t xml:space="preserve">0 ± 0 </w:t>
            </w:r>
            <w:r w:rsidRPr="007117D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</w:t>
            </w:r>
          </w:p>
        </w:tc>
      </w:tr>
    </w:tbl>
    <w:p w:rsidR="00FF0498" w:rsidRDefault="00BD47E8"/>
    <w:sectPr w:rsidR="00FF0498" w:rsidSect="00F26F1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075"/>
    <w:rsid w:val="000376C5"/>
    <w:rsid w:val="00490277"/>
    <w:rsid w:val="00514407"/>
    <w:rsid w:val="0054371F"/>
    <w:rsid w:val="00562D5F"/>
    <w:rsid w:val="00676BEA"/>
    <w:rsid w:val="0069012A"/>
    <w:rsid w:val="006F2075"/>
    <w:rsid w:val="007117DC"/>
    <w:rsid w:val="007D56C5"/>
    <w:rsid w:val="00BD47E8"/>
    <w:rsid w:val="00DC0F69"/>
    <w:rsid w:val="00DE1EA1"/>
    <w:rsid w:val="00F2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5BF8"/>
  <w15:chartTrackingRefBased/>
  <w15:docId w15:val="{D1E840ED-7B88-48FE-AE92-2D9373A3A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8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7</cp:revision>
  <dcterms:created xsi:type="dcterms:W3CDTF">2024-08-16T15:20:00Z</dcterms:created>
  <dcterms:modified xsi:type="dcterms:W3CDTF">2025-03-11T08:51:00Z</dcterms:modified>
</cp:coreProperties>
</file>