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76F71" w14:textId="77777777" w:rsidR="00A96BE4" w:rsidRDefault="00A96BE4" w:rsidP="00A96BE4">
      <w:pPr>
        <w:spacing w:after="0" w:line="240" w:lineRule="auto"/>
        <w:rPr>
          <w:b/>
          <w:sz w:val="24"/>
          <w:szCs w:val="24"/>
          <w:lang w:val="en-US" w:eastAsia="de-DE"/>
        </w:rPr>
      </w:pPr>
      <w:r>
        <w:rPr>
          <w:b/>
          <w:sz w:val="24"/>
          <w:szCs w:val="24"/>
          <w:lang w:val="en-US" w:eastAsia="de-DE"/>
        </w:rPr>
        <w:t>Additional information</w:t>
      </w:r>
    </w:p>
    <w:p w14:paraId="284B04BD" w14:textId="77777777" w:rsidR="00A96BE4" w:rsidRPr="006F7EDF" w:rsidRDefault="00A96BE4" w:rsidP="00A96BE4">
      <w:pPr>
        <w:spacing w:after="0" w:line="240" w:lineRule="auto"/>
        <w:rPr>
          <w:sz w:val="24"/>
          <w:szCs w:val="24"/>
          <w:lang w:val="en-US" w:eastAsia="de-DE"/>
        </w:rPr>
      </w:pPr>
      <w:r w:rsidRPr="006F7EDF">
        <w:rPr>
          <w:b/>
          <w:sz w:val="24"/>
          <w:szCs w:val="24"/>
          <w:lang w:val="en-US" w:eastAsia="de-DE"/>
        </w:rPr>
        <w:t xml:space="preserve">Supplementary Information </w:t>
      </w:r>
      <w:r w:rsidRPr="006F7EDF">
        <w:rPr>
          <w:sz w:val="24"/>
          <w:szCs w:val="24"/>
          <w:lang w:val="en-US" w:eastAsia="de-DE"/>
        </w:rPr>
        <w:t>The online version contains supplementary material available at httgs://doi.org/###</w:t>
      </w:r>
    </w:p>
    <w:p w14:paraId="61019376" w14:textId="77777777" w:rsidR="00A96BE4" w:rsidRPr="006F7EDF" w:rsidRDefault="00A96BE4" w:rsidP="00A96BE4">
      <w:pPr>
        <w:spacing w:after="0" w:line="240" w:lineRule="auto"/>
        <w:rPr>
          <w:sz w:val="24"/>
          <w:szCs w:val="24"/>
          <w:lang w:val="en-US"/>
        </w:rPr>
      </w:pPr>
    </w:p>
    <w:p w14:paraId="1482F6AD" w14:textId="77777777" w:rsidR="00A96BE4" w:rsidRPr="006F7EDF" w:rsidRDefault="00A96BE4" w:rsidP="00A96BE4">
      <w:pPr>
        <w:spacing w:after="0" w:line="240" w:lineRule="auto"/>
        <w:rPr>
          <w:sz w:val="24"/>
          <w:szCs w:val="24"/>
          <w:lang w:val="en-US"/>
        </w:rPr>
      </w:pPr>
      <w:r w:rsidRPr="006F7EDF">
        <w:rPr>
          <w:sz w:val="24"/>
          <w:szCs w:val="24"/>
          <w:lang w:val="en-US"/>
        </w:rPr>
        <w:t>Supplementary Material 1: Supplementary Tables S1-S12 (pdf)</w:t>
      </w:r>
    </w:p>
    <w:p w14:paraId="7F3E1865" w14:textId="77777777" w:rsidR="00A96BE4" w:rsidRPr="006F7EDF" w:rsidRDefault="00A96BE4" w:rsidP="00A96BE4">
      <w:pPr>
        <w:spacing w:after="0" w:line="240" w:lineRule="auto"/>
        <w:rPr>
          <w:sz w:val="24"/>
          <w:szCs w:val="24"/>
          <w:lang w:val="en-US"/>
        </w:rPr>
      </w:pPr>
      <w:r w:rsidRPr="006F7EDF">
        <w:rPr>
          <w:sz w:val="24"/>
          <w:szCs w:val="24"/>
          <w:lang w:val="en-US"/>
        </w:rPr>
        <w:t>Supplementary Material 2: Coding sequences of gametogenic genes (txt file)</w:t>
      </w:r>
    </w:p>
    <w:p w14:paraId="0C3ADAD3" w14:textId="77777777" w:rsidR="00A96BE4" w:rsidRPr="006F7EDF" w:rsidRDefault="00A96BE4" w:rsidP="00A96BE4">
      <w:pPr>
        <w:spacing w:after="0" w:line="240" w:lineRule="auto"/>
        <w:rPr>
          <w:sz w:val="24"/>
          <w:szCs w:val="24"/>
          <w:lang w:val="en-US"/>
        </w:rPr>
      </w:pPr>
      <w:r w:rsidRPr="006F7EDF">
        <w:rPr>
          <w:sz w:val="24"/>
          <w:szCs w:val="24"/>
          <w:lang w:val="en-US"/>
        </w:rPr>
        <w:t>Supplementary Material 3: Master Table SNP  (Excel sheet)</w:t>
      </w:r>
    </w:p>
    <w:p w14:paraId="48E97524" w14:textId="77777777" w:rsidR="00A96BE4" w:rsidRPr="006F7EDF" w:rsidRDefault="00A96BE4" w:rsidP="00A96BE4">
      <w:pPr>
        <w:spacing w:after="0" w:line="240" w:lineRule="auto"/>
        <w:rPr>
          <w:sz w:val="24"/>
          <w:szCs w:val="24"/>
          <w:lang w:val="en-US"/>
        </w:rPr>
      </w:pPr>
      <w:r w:rsidRPr="006F7EDF">
        <w:rPr>
          <w:sz w:val="24"/>
          <w:szCs w:val="24"/>
          <w:lang w:val="en-US"/>
        </w:rPr>
        <w:t>Supplementary Material 4: Supplementary Figures S1-S5 (pdf)</w:t>
      </w:r>
    </w:p>
    <w:p w14:paraId="3F3FD187" w14:textId="77777777" w:rsidR="00A96BE4" w:rsidRPr="006F7EDF" w:rsidRDefault="00A96BE4" w:rsidP="00A96BE4">
      <w:pPr>
        <w:spacing w:after="0" w:line="240" w:lineRule="auto"/>
        <w:rPr>
          <w:sz w:val="24"/>
          <w:szCs w:val="24"/>
          <w:lang w:val="en-US"/>
        </w:rPr>
      </w:pPr>
      <w:r w:rsidRPr="006F7EDF">
        <w:rPr>
          <w:sz w:val="24"/>
          <w:szCs w:val="24"/>
          <w:lang w:val="en-US"/>
        </w:rPr>
        <w:t>Supplementary Material 5: Well-plates used for GT-Seq (Excel sheet)</w:t>
      </w:r>
    </w:p>
    <w:p w14:paraId="0E55EDA8" w14:textId="77777777" w:rsidR="00A96BE4" w:rsidRPr="006F7EDF" w:rsidRDefault="00A96BE4" w:rsidP="00A96BE4">
      <w:pPr>
        <w:spacing w:after="0" w:line="240" w:lineRule="auto"/>
        <w:rPr>
          <w:sz w:val="24"/>
          <w:szCs w:val="24"/>
          <w:lang w:val="en-US"/>
        </w:rPr>
      </w:pPr>
      <w:r w:rsidRPr="006F7EDF">
        <w:rPr>
          <w:sz w:val="24"/>
          <w:szCs w:val="24"/>
          <w:lang w:val="en-US"/>
        </w:rPr>
        <w:t>Supplementary Material 6: Reference sequence for Geneious (txt)</w:t>
      </w:r>
    </w:p>
    <w:p w14:paraId="118AEFB2" w14:textId="77777777" w:rsidR="00A96BE4" w:rsidRPr="006F7EDF" w:rsidRDefault="00A96BE4" w:rsidP="00A96BE4">
      <w:pPr>
        <w:spacing w:after="0" w:line="240" w:lineRule="auto"/>
        <w:rPr>
          <w:sz w:val="24"/>
          <w:szCs w:val="24"/>
          <w:lang w:val="en-US"/>
        </w:rPr>
      </w:pPr>
      <w:r w:rsidRPr="006F7EDF">
        <w:rPr>
          <w:sz w:val="24"/>
          <w:szCs w:val="24"/>
          <w:lang w:val="en-US"/>
        </w:rPr>
        <w:t>Supplementary Material 7: Pairwise comparisons of gametogenic genes (Excel sheet)</w:t>
      </w:r>
    </w:p>
    <w:p w14:paraId="1A1A32D8" w14:textId="77777777" w:rsidR="00A96BE4" w:rsidRPr="006F7EDF" w:rsidRDefault="00A96BE4" w:rsidP="00A96BE4">
      <w:pPr>
        <w:spacing w:after="0" w:line="240" w:lineRule="auto"/>
        <w:rPr>
          <w:sz w:val="24"/>
          <w:szCs w:val="24"/>
          <w:lang w:val="en-US"/>
        </w:rPr>
      </w:pPr>
      <w:r w:rsidRPr="006F7EDF">
        <w:rPr>
          <w:sz w:val="24"/>
          <w:szCs w:val="24"/>
          <w:lang w:val="en-US"/>
        </w:rPr>
        <w:t>Supplementary Material 8: Multilocus genotypes (Excel sheet)</w:t>
      </w:r>
    </w:p>
    <w:p w14:paraId="564C7983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BE4"/>
    <w:rsid w:val="00047072"/>
    <w:rsid w:val="00331A6B"/>
    <w:rsid w:val="00755780"/>
    <w:rsid w:val="00857596"/>
    <w:rsid w:val="00A96BE4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4FCF08"/>
  <w15:chartTrackingRefBased/>
  <w15:docId w15:val="{3A7EDB17-5B24-4145-AABD-3AF4262D9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6BE4"/>
    <w:pPr>
      <w:spacing w:after="200" w:line="276" w:lineRule="auto"/>
    </w:pPr>
    <w:rPr>
      <w:kern w:val="0"/>
      <w:sz w:val="22"/>
      <w:szCs w:val="22"/>
      <w:lang w:val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BE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96BE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96BE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96BE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96BE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96BE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96BE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96BE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96BE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96B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96B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96B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B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B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96B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96B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B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B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96B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96B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BE4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96B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96BE4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96B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BE4"/>
    <w:pPr>
      <w:spacing w:after="160"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96B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96B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96B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96BE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565</Characters>
  <Application>Microsoft Office Word</Application>
  <DocSecurity>0</DocSecurity>
  <Lines>4</Lines>
  <Paragraphs>1</Paragraphs>
  <ScaleCrop>false</ScaleCrop>
  <Company>Springer Nature</Company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2025-05-08T03:43:00Z</dcterms:created>
  <dcterms:modified xsi:type="dcterms:W3CDTF">2025-05-08T03:44:00Z</dcterms:modified>
</cp:coreProperties>
</file>