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D735" w14:textId="77777777" w:rsidR="00152D5A" w:rsidRPr="004156BD" w:rsidRDefault="00152D5A" w:rsidP="00152D5A">
      <w:pPr>
        <w:spacing w:line="276" w:lineRule="auto"/>
        <w:jc w:val="both"/>
        <w:rPr>
          <w:rFonts w:ascii="Arial" w:eastAsia="Calibri" w:hAnsi="Arial" w:cs="Arial"/>
          <w:b/>
          <w:bCs/>
          <w:color w:val="222222"/>
          <w:sz w:val="28"/>
          <w:szCs w:val="28"/>
          <w:shd w:val="clear" w:color="auto" w:fill="FFFFFF"/>
          <w:lang w:bidi="ar"/>
        </w:rPr>
      </w:pPr>
      <w:r w:rsidRPr="004156BD">
        <w:rPr>
          <w:rFonts w:ascii="Arial" w:eastAsia="Calibri" w:hAnsi="Arial" w:cs="Arial"/>
          <w:b/>
          <w:bCs/>
          <w:color w:val="222222"/>
          <w:sz w:val="28"/>
          <w:szCs w:val="28"/>
          <w:shd w:val="clear" w:color="auto" w:fill="FFFFFF"/>
          <w:lang w:bidi="ar"/>
        </w:rPr>
        <w:t>Supplementals materials</w:t>
      </w:r>
    </w:p>
    <w:p w14:paraId="1423D4B6" w14:textId="77777777" w:rsidR="00152D5A" w:rsidRDefault="00152D5A" w:rsidP="00152D5A">
      <w:pPr>
        <w:spacing w:line="276" w:lineRule="auto"/>
        <w:jc w:val="both"/>
        <w:rPr>
          <w:rFonts w:ascii="Arial" w:eastAsia="Calibri" w:hAnsi="Arial" w:cs="Arial"/>
          <w:b/>
          <w:sz w:val="24"/>
          <w:szCs w:val="24"/>
          <w:lang w:bidi="ar"/>
        </w:rPr>
      </w:pPr>
      <w:r>
        <w:rPr>
          <w:rFonts w:ascii="Arial" w:eastAsia="Calibri" w:hAnsi="Arial" w:cs="Arial"/>
          <w:b/>
          <w:sz w:val="24"/>
          <w:szCs w:val="24"/>
          <w:lang w:bidi="ar"/>
        </w:rPr>
        <w:t>Supplemental Table 1: Frequency of interventions reported by included studies by type of interventions.</w:t>
      </w:r>
    </w:p>
    <w:tbl>
      <w:tblPr>
        <w:tblW w:w="99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4953"/>
        <w:gridCol w:w="1350"/>
      </w:tblGrid>
      <w:tr w:rsidR="00152D5A" w:rsidRPr="0039500A" w14:paraId="1073A2B0" w14:textId="77777777" w:rsidTr="00131CDA">
        <w:tc>
          <w:tcPr>
            <w:tcW w:w="3597" w:type="dxa"/>
            <w:shd w:val="clear" w:color="auto" w:fill="auto"/>
          </w:tcPr>
          <w:p w14:paraId="3DA41665" w14:textId="77777777" w:rsidR="00152D5A" w:rsidRDefault="00152D5A" w:rsidP="00131CDA">
            <w:pPr>
              <w:rPr>
                <w:rFonts w:ascii="Arial" w:hAnsi="Arial" w:cs="Arial"/>
                <w:b/>
                <w:bCs/>
              </w:rPr>
            </w:pPr>
            <w:bookmarkStart w:id="0" w:name="_Hlk163633630"/>
            <w:r>
              <w:rPr>
                <w:rFonts w:ascii="Arial" w:hAnsi="Arial" w:cs="Arial"/>
                <w:b/>
                <w:bCs/>
              </w:rPr>
              <w:t xml:space="preserve">Type of intervention </w:t>
            </w:r>
          </w:p>
        </w:tc>
        <w:tc>
          <w:tcPr>
            <w:tcW w:w="4953" w:type="dxa"/>
            <w:shd w:val="clear" w:color="auto" w:fill="auto"/>
          </w:tcPr>
          <w:p w14:paraId="5AFBF715" w14:textId="77777777" w:rsidR="00152D5A" w:rsidRDefault="00152D5A" w:rsidP="00131CDA">
            <w:pPr>
              <w:rPr>
                <w:rFonts w:ascii="Arial" w:hAnsi="Arial" w:cs="Arial"/>
                <w:b/>
                <w:bCs/>
              </w:rPr>
            </w:pPr>
            <w:r>
              <w:rPr>
                <w:rFonts w:ascii="Arial" w:hAnsi="Arial" w:cs="Arial"/>
                <w:b/>
                <w:bCs/>
              </w:rPr>
              <w:t>Studies</w:t>
            </w:r>
          </w:p>
        </w:tc>
        <w:tc>
          <w:tcPr>
            <w:tcW w:w="1350" w:type="dxa"/>
            <w:shd w:val="clear" w:color="auto" w:fill="auto"/>
          </w:tcPr>
          <w:p w14:paraId="0F42CB08" w14:textId="77777777" w:rsidR="00152D5A" w:rsidRDefault="00152D5A" w:rsidP="00131CDA">
            <w:pPr>
              <w:rPr>
                <w:rFonts w:ascii="Arial" w:hAnsi="Arial" w:cs="Arial"/>
                <w:b/>
                <w:bCs/>
              </w:rPr>
            </w:pPr>
            <w:r>
              <w:rPr>
                <w:rFonts w:ascii="Arial" w:hAnsi="Arial" w:cs="Arial"/>
                <w:b/>
                <w:bCs/>
              </w:rPr>
              <w:t xml:space="preserve">Frequency </w:t>
            </w:r>
          </w:p>
        </w:tc>
      </w:tr>
      <w:tr w:rsidR="00152D5A" w:rsidRPr="0039500A" w14:paraId="34EA786C" w14:textId="77777777" w:rsidTr="00131CDA">
        <w:tc>
          <w:tcPr>
            <w:tcW w:w="3597" w:type="dxa"/>
            <w:shd w:val="clear" w:color="auto" w:fill="auto"/>
          </w:tcPr>
          <w:p w14:paraId="3F34F6EE" w14:textId="77777777" w:rsidR="00152D5A" w:rsidRDefault="00152D5A" w:rsidP="00131CDA">
            <w:pPr>
              <w:rPr>
                <w:rFonts w:ascii="Arial" w:hAnsi="Arial" w:cs="Arial"/>
                <w:sz w:val="24"/>
                <w:szCs w:val="24"/>
              </w:rPr>
            </w:pPr>
            <w:r>
              <w:rPr>
                <w:rFonts w:ascii="Arial" w:hAnsi="Arial" w:cs="Arial"/>
                <w:sz w:val="24"/>
                <w:szCs w:val="24"/>
              </w:rPr>
              <w:t xml:space="preserve">Education materials </w:t>
            </w:r>
          </w:p>
        </w:tc>
        <w:tc>
          <w:tcPr>
            <w:tcW w:w="4953" w:type="dxa"/>
            <w:shd w:val="clear" w:color="auto" w:fill="auto"/>
          </w:tcPr>
          <w:p w14:paraId="6DF1DCC1" w14:textId="77777777" w:rsidR="00152D5A" w:rsidRPr="00AD4EB1" w:rsidRDefault="00152D5A" w:rsidP="00131CDA">
            <w:pPr>
              <w:rPr>
                <w:rFonts w:ascii="Arial" w:hAnsi="Arial" w:cs="Arial"/>
                <w:sz w:val="24"/>
                <w:szCs w:val="24"/>
                <w:vertAlign w:val="superscript"/>
                <w:lang w:val="en-US"/>
              </w:rPr>
            </w:pPr>
            <w:r>
              <w:rPr>
                <w:rFonts w:ascii="Arial" w:hAnsi="Arial" w:cs="Arial"/>
                <w:sz w:val="24"/>
                <w:szCs w:val="24"/>
              </w:rPr>
              <w:t xml:space="preserve">Ma et al </w:t>
            </w:r>
            <w:r>
              <w:rPr>
                <w:rFonts w:ascii="Arial" w:hAnsi="Arial" w:cs="Arial"/>
                <w:sz w:val="24"/>
                <w:szCs w:val="24"/>
                <w:vertAlign w:val="superscript"/>
              </w:rPr>
              <w:t>1</w:t>
            </w:r>
            <w:r>
              <w:rPr>
                <w:rFonts w:ascii="Arial" w:hAnsi="Arial" w:cs="Arial"/>
                <w:sz w:val="24"/>
                <w:szCs w:val="24"/>
                <w:vertAlign w:val="superscript"/>
                <w:lang w:val="en-US"/>
              </w:rPr>
              <w:t>6</w:t>
            </w:r>
            <w:r>
              <w:rPr>
                <w:rFonts w:ascii="Arial" w:hAnsi="Arial" w:cs="Arial"/>
                <w:sz w:val="24"/>
                <w:szCs w:val="24"/>
              </w:rPr>
              <w:t>, Paskett et al</w:t>
            </w:r>
            <w:r>
              <w:rPr>
                <w:rFonts w:ascii="Arial" w:hAnsi="Arial" w:cs="Arial"/>
                <w:sz w:val="24"/>
                <w:szCs w:val="24"/>
                <w:vertAlign w:val="superscript"/>
              </w:rPr>
              <w:t>1</w:t>
            </w:r>
            <w:r>
              <w:rPr>
                <w:rFonts w:ascii="Arial" w:hAnsi="Arial" w:cs="Arial"/>
                <w:sz w:val="24"/>
                <w:szCs w:val="24"/>
                <w:vertAlign w:val="superscript"/>
                <w:lang w:val="en-US"/>
              </w:rPr>
              <w:t>7</w:t>
            </w:r>
            <w:r>
              <w:rPr>
                <w:rFonts w:ascii="Arial" w:hAnsi="Arial" w:cs="Arial"/>
                <w:sz w:val="24"/>
                <w:szCs w:val="24"/>
              </w:rPr>
              <w:t>, Winer et al</w:t>
            </w:r>
            <w:r>
              <w:rPr>
                <w:rFonts w:ascii="Arial" w:hAnsi="Arial" w:cs="Arial"/>
                <w:sz w:val="24"/>
                <w:szCs w:val="24"/>
                <w:vertAlign w:val="superscript"/>
              </w:rPr>
              <w:t>1</w:t>
            </w:r>
            <w:r>
              <w:rPr>
                <w:rFonts w:ascii="Arial" w:hAnsi="Arial" w:cs="Arial"/>
                <w:sz w:val="24"/>
                <w:szCs w:val="24"/>
                <w:vertAlign w:val="superscript"/>
                <w:lang w:val="en-US"/>
              </w:rPr>
              <w:t>8</w:t>
            </w:r>
            <w:r>
              <w:rPr>
                <w:rFonts w:ascii="Arial" w:hAnsi="Arial" w:cs="Arial"/>
                <w:sz w:val="24"/>
                <w:szCs w:val="24"/>
              </w:rPr>
              <w:t>, Tiro et al</w:t>
            </w:r>
            <w:r>
              <w:rPr>
                <w:rFonts w:ascii="Arial" w:hAnsi="Arial" w:cs="Arial"/>
                <w:sz w:val="24"/>
                <w:szCs w:val="24"/>
                <w:vertAlign w:val="superscript"/>
              </w:rPr>
              <w:t>1</w:t>
            </w:r>
            <w:r>
              <w:rPr>
                <w:rFonts w:ascii="Arial" w:hAnsi="Arial" w:cs="Arial"/>
                <w:sz w:val="24"/>
                <w:szCs w:val="24"/>
                <w:vertAlign w:val="superscript"/>
                <w:lang w:val="en-US"/>
              </w:rPr>
              <w:t>9</w:t>
            </w:r>
          </w:p>
        </w:tc>
        <w:tc>
          <w:tcPr>
            <w:tcW w:w="1350" w:type="dxa"/>
            <w:shd w:val="clear" w:color="auto" w:fill="auto"/>
          </w:tcPr>
          <w:p w14:paraId="72AEBF36" w14:textId="77777777" w:rsidR="00152D5A" w:rsidRDefault="00152D5A" w:rsidP="00131CDA">
            <w:pPr>
              <w:rPr>
                <w:rFonts w:ascii="Arial" w:hAnsi="Arial" w:cs="Arial"/>
                <w:sz w:val="24"/>
                <w:szCs w:val="24"/>
              </w:rPr>
            </w:pPr>
            <w:r>
              <w:rPr>
                <w:rFonts w:ascii="Arial" w:hAnsi="Arial" w:cs="Arial"/>
                <w:sz w:val="24"/>
                <w:szCs w:val="24"/>
              </w:rPr>
              <w:t>4</w:t>
            </w:r>
          </w:p>
        </w:tc>
      </w:tr>
      <w:tr w:rsidR="00152D5A" w:rsidRPr="0039500A" w14:paraId="4D9E769D" w14:textId="77777777" w:rsidTr="00131CDA">
        <w:tc>
          <w:tcPr>
            <w:tcW w:w="3597" w:type="dxa"/>
            <w:shd w:val="clear" w:color="auto" w:fill="auto"/>
          </w:tcPr>
          <w:p w14:paraId="221AA02D" w14:textId="77777777" w:rsidR="00152D5A" w:rsidRDefault="00152D5A" w:rsidP="00131CDA">
            <w:pPr>
              <w:rPr>
                <w:rFonts w:ascii="Arial" w:hAnsi="Arial" w:cs="Arial"/>
                <w:sz w:val="24"/>
                <w:szCs w:val="24"/>
              </w:rPr>
            </w:pPr>
            <w:r>
              <w:rPr>
                <w:rFonts w:ascii="Arial" w:hAnsi="Arial" w:cs="Arial"/>
                <w:sz w:val="24"/>
                <w:szCs w:val="24"/>
              </w:rPr>
              <w:t xml:space="preserve">Reminder magnets </w:t>
            </w:r>
          </w:p>
        </w:tc>
        <w:tc>
          <w:tcPr>
            <w:tcW w:w="4953" w:type="dxa"/>
            <w:shd w:val="clear" w:color="auto" w:fill="auto"/>
          </w:tcPr>
          <w:p w14:paraId="727FA920" w14:textId="77777777" w:rsidR="00152D5A" w:rsidRPr="00AD4EB1" w:rsidRDefault="00152D5A" w:rsidP="00131CDA">
            <w:pPr>
              <w:rPr>
                <w:rFonts w:ascii="Arial" w:hAnsi="Arial" w:cs="Arial"/>
                <w:sz w:val="24"/>
                <w:szCs w:val="24"/>
                <w:vertAlign w:val="superscript"/>
                <w:lang w:val="en-US"/>
              </w:rPr>
            </w:pPr>
            <w:r>
              <w:rPr>
                <w:rFonts w:ascii="Arial" w:hAnsi="Arial" w:cs="Arial"/>
                <w:sz w:val="24"/>
                <w:szCs w:val="24"/>
              </w:rPr>
              <w:t>Coley et al</w:t>
            </w:r>
            <w:r>
              <w:rPr>
                <w:rFonts w:ascii="Arial" w:hAnsi="Arial" w:cs="Arial"/>
                <w:sz w:val="24"/>
                <w:szCs w:val="24"/>
                <w:vertAlign w:val="superscript"/>
                <w:lang w:val="en-US"/>
              </w:rPr>
              <w:t>20</w:t>
            </w:r>
          </w:p>
        </w:tc>
        <w:tc>
          <w:tcPr>
            <w:tcW w:w="1350" w:type="dxa"/>
            <w:shd w:val="clear" w:color="auto" w:fill="auto"/>
          </w:tcPr>
          <w:p w14:paraId="2688151B" w14:textId="77777777" w:rsidR="00152D5A" w:rsidRDefault="00152D5A" w:rsidP="00131CDA">
            <w:pPr>
              <w:rPr>
                <w:rFonts w:ascii="Arial" w:hAnsi="Arial" w:cs="Arial"/>
                <w:sz w:val="24"/>
                <w:szCs w:val="24"/>
              </w:rPr>
            </w:pPr>
            <w:r>
              <w:rPr>
                <w:rFonts w:ascii="Arial" w:hAnsi="Arial" w:cs="Arial"/>
                <w:sz w:val="24"/>
                <w:szCs w:val="24"/>
              </w:rPr>
              <w:t>1</w:t>
            </w:r>
          </w:p>
        </w:tc>
      </w:tr>
      <w:tr w:rsidR="00152D5A" w:rsidRPr="0039500A" w14:paraId="7438FD41" w14:textId="77777777" w:rsidTr="00131CDA">
        <w:tc>
          <w:tcPr>
            <w:tcW w:w="3597" w:type="dxa"/>
            <w:shd w:val="clear" w:color="auto" w:fill="auto"/>
          </w:tcPr>
          <w:p w14:paraId="53393BA7" w14:textId="77777777" w:rsidR="00152D5A" w:rsidRDefault="00152D5A" w:rsidP="00131CDA">
            <w:pPr>
              <w:rPr>
                <w:rFonts w:ascii="Arial" w:hAnsi="Arial" w:cs="Arial"/>
                <w:sz w:val="24"/>
                <w:szCs w:val="24"/>
              </w:rPr>
            </w:pPr>
            <w:r>
              <w:rPr>
                <w:rFonts w:ascii="Arial" w:hAnsi="Arial" w:cs="Arial"/>
                <w:sz w:val="24"/>
                <w:szCs w:val="24"/>
              </w:rPr>
              <w:t xml:space="preserve">Parent health messages </w:t>
            </w:r>
          </w:p>
        </w:tc>
        <w:tc>
          <w:tcPr>
            <w:tcW w:w="4953" w:type="dxa"/>
            <w:shd w:val="clear" w:color="auto" w:fill="auto"/>
          </w:tcPr>
          <w:p w14:paraId="55B24E9B" w14:textId="77777777" w:rsidR="00152D5A" w:rsidRDefault="00152D5A" w:rsidP="00131CDA">
            <w:pPr>
              <w:rPr>
                <w:rFonts w:ascii="Arial" w:hAnsi="Arial" w:cs="Arial"/>
                <w:sz w:val="24"/>
                <w:szCs w:val="24"/>
              </w:rPr>
            </w:pPr>
            <w:r>
              <w:rPr>
                <w:rFonts w:ascii="Arial" w:hAnsi="Arial" w:cs="Arial"/>
                <w:sz w:val="24"/>
                <w:szCs w:val="24"/>
              </w:rPr>
              <w:t>Rickert et al</w:t>
            </w:r>
            <w:r>
              <w:rPr>
                <w:rFonts w:ascii="Arial" w:hAnsi="Arial" w:cs="Arial"/>
                <w:sz w:val="24"/>
                <w:szCs w:val="24"/>
                <w:vertAlign w:val="superscript"/>
                <w:lang w:val="en-US"/>
              </w:rPr>
              <w:t>21</w:t>
            </w:r>
            <w:r>
              <w:rPr>
                <w:rFonts w:ascii="Arial" w:hAnsi="Arial" w:cs="Arial"/>
                <w:sz w:val="24"/>
                <w:szCs w:val="24"/>
              </w:rPr>
              <w:t xml:space="preserve"> </w:t>
            </w:r>
          </w:p>
        </w:tc>
        <w:tc>
          <w:tcPr>
            <w:tcW w:w="1350" w:type="dxa"/>
            <w:shd w:val="clear" w:color="auto" w:fill="auto"/>
          </w:tcPr>
          <w:p w14:paraId="347E8174" w14:textId="77777777" w:rsidR="00152D5A" w:rsidRDefault="00152D5A" w:rsidP="00131CDA">
            <w:pPr>
              <w:rPr>
                <w:rFonts w:ascii="Arial" w:hAnsi="Arial" w:cs="Arial"/>
                <w:sz w:val="24"/>
                <w:szCs w:val="24"/>
              </w:rPr>
            </w:pPr>
            <w:r>
              <w:rPr>
                <w:rFonts w:ascii="Arial" w:hAnsi="Arial" w:cs="Arial"/>
                <w:sz w:val="24"/>
                <w:szCs w:val="24"/>
              </w:rPr>
              <w:t>1</w:t>
            </w:r>
          </w:p>
        </w:tc>
      </w:tr>
      <w:tr w:rsidR="00152D5A" w:rsidRPr="0039500A" w14:paraId="0C676A17" w14:textId="77777777" w:rsidTr="00131CDA">
        <w:trPr>
          <w:trHeight w:val="125"/>
        </w:trPr>
        <w:tc>
          <w:tcPr>
            <w:tcW w:w="3597" w:type="dxa"/>
            <w:shd w:val="clear" w:color="auto" w:fill="auto"/>
          </w:tcPr>
          <w:p w14:paraId="495896B5" w14:textId="77777777" w:rsidR="00152D5A" w:rsidRDefault="00152D5A" w:rsidP="00131CDA">
            <w:pPr>
              <w:rPr>
                <w:rFonts w:ascii="Arial" w:hAnsi="Arial" w:cs="Arial"/>
                <w:sz w:val="24"/>
                <w:szCs w:val="24"/>
              </w:rPr>
            </w:pPr>
            <w:r>
              <w:rPr>
                <w:rFonts w:ascii="Arial" w:hAnsi="Arial" w:cs="Arial"/>
                <w:sz w:val="24"/>
                <w:szCs w:val="24"/>
              </w:rPr>
              <w:t xml:space="preserve">Narrative intervention videos </w:t>
            </w:r>
          </w:p>
        </w:tc>
        <w:tc>
          <w:tcPr>
            <w:tcW w:w="4953" w:type="dxa"/>
            <w:shd w:val="clear" w:color="auto" w:fill="auto"/>
          </w:tcPr>
          <w:p w14:paraId="669A6D67" w14:textId="77777777" w:rsidR="00152D5A" w:rsidRDefault="00152D5A" w:rsidP="00131CDA">
            <w:pPr>
              <w:rPr>
                <w:rFonts w:ascii="Arial" w:hAnsi="Arial" w:cs="Arial"/>
                <w:sz w:val="24"/>
                <w:szCs w:val="24"/>
              </w:rPr>
            </w:pPr>
            <w:r>
              <w:rPr>
                <w:rFonts w:ascii="Arial" w:hAnsi="Arial" w:cs="Arial"/>
                <w:sz w:val="24"/>
                <w:szCs w:val="24"/>
              </w:rPr>
              <w:t>Lee et al</w:t>
            </w:r>
            <w:r>
              <w:rPr>
                <w:rFonts w:ascii="Arial" w:hAnsi="Arial" w:cs="Arial"/>
                <w:sz w:val="24"/>
                <w:szCs w:val="24"/>
                <w:vertAlign w:val="superscript"/>
                <w:lang w:val="en-US"/>
              </w:rPr>
              <w:t>22</w:t>
            </w:r>
            <w:r>
              <w:rPr>
                <w:rFonts w:ascii="Arial" w:hAnsi="Arial" w:cs="Arial"/>
                <w:sz w:val="24"/>
                <w:szCs w:val="24"/>
              </w:rPr>
              <w:t xml:space="preserve"> </w:t>
            </w:r>
          </w:p>
        </w:tc>
        <w:tc>
          <w:tcPr>
            <w:tcW w:w="1350" w:type="dxa"/>
            <w:shd w:val="clear" w:color="auto" w:fill="auto"/>
          </w:tcPr>
          <w:p w14:paraId="4D63E57A" w14:textId="77777777" w:rsidR="00152D5A" w:rsidRDefault="00152D5A" w:rsidP="00131CDA">
            <w:pPr>
              <w:rPr>
                <w:rFonts w:ascii="Arial" w:hAnsi="Arial" w:cs="Arial"/>
                <w:sz w:val="24"/>
                <w:szCs w:val="24"/>
              </w:rPr>
            </w:pPr>
            <w:r>
              <w:rPr>
                <w:rFonts w:ascii="Arial" w:hAnsi="Arial" w:cs="Arial"/>
                <w:sz w:val="24"/>
                <w:szCs w:val="24"/>
              </w:rPr>
              <w:t>1</w:t>
            </w:r>
          </w:p>
        </w:tc>
      </w:tr>
      <w:tr w:rsidR="00152D5A" w:rsidRPr="0039500A" w14:paraId="110900F5" w14:textId="77777777" w:rsidTr="00131CDA">
        <w:tc>
          <w:tcPr>
            <w:tcW w:w="3597" w:type="dxa"/>
            <w:shd w:val="clear" w:color="auto" w:fill="auto"/>
          </w:tcPr>
          <w:p w14:paraId="765DB5FD" w14:textId="77777777" w:rsidR="00152D5A" w:rsidRDefault="00152D5A" w:rsidP="00131CDA">
            <w:pPr>
              <w:rPr>
                <w:rFonts w:ascii="Arial" w:hAnsi="Arial" w:cs="Arial"/>
                <w:sz w:val="24"/>
                <w:szCs w:val="24"/>
              </w:rPr>
            </w:pPr>
            <w:r>
              <w:rPr>
                <w:rFonts w:ascii="Arial" w:hAnsi="Arial" w:cs="Arial"/>
                <w:sz w:val="24"/>
                <w:szCs w:val="24"/>
              </w:rPr>
              <w:t xml:space="preserve">Fact sheet library </w:t>
            </w:r>
          </w:p>
        </w:tc>
        <w:tc>
          <w:tcPr>
            <w:tcW w:w="4953" w:type="dxa"/>
            <w:shd w:val="clear" w:color="auto" w:fill="auto"/>
          </w:tcPr>
          <w:p w14:paraId="041BAF9D" w14:textId="77777777" w:rsidR="00152D5A" w:rsidRPr="00AD4EB1" w:rsidRDefault="00152D5A" w:rsidP="00131CDA">
            <w:pPr>
              <w:rPr>
                <w:rFonts w:ascii="Arial" w:hAnsi="Arial" w:cs="Arial"/>
                <w:sz w:val="24"/>
                <w:szCs w:val="24"/>
                <w:vertAlign w:val="superscript"/>
                <w:lang w:val="en-US"/>
              </w:rPr>
            </w:pPr>
            <w:r>
              <w:rPr>
                <w:rFonts w:ascii="Arial" w:hAnsi="Arial" w:cs="Arial"/>
                <w:sz w:val="24"/>
                <w:szCs w:val="24"/>
              </w:rPr>
              <w:t>Dempsey et al</w:t>
            </w:r>
            <w:r>
              <w:rPr>
                <w:rFonts w:ascii="Arial" w:hAnsi="Arial" w:cs="Arial"/>
                <w:sz w:val="24"/>
                <w:szCs w:val="24"/>
                <w:vertAlign w:val="superscript"/>
                <w:lang w:val="en-US"/>
              </w:rPr>
              <w:t>23</w:t>
            </w:r>
          </w:p>
        </w:tc>
        <w:tc>
          <w:tcPr>
            <w:tcW w:w="1350" w:type="dxa"/>
            <w:shd w:val="clear" w:color="auto" w:fill="auto"/>
          </w:tcPr>
          <w:p w14:paraId="352CC186" w14:textId="77777777" w:rsidR="00152D5A" w:rsidRDefault="00152D5A" w:rsidP="00131CDA">
            <w:pPr>
              <w:rPr>
                <w:rFonts w:ascii="Arial" w:hAnsi="Arial" w:cs="Arial"/>
                <w:sz w:val="24"/>
                <w:szCs w:val="24"/>
              </w:rPr>
            </w:pPr>
            <w:r>
              <w:rPr>
                <w:rFonts w:ascii="Arial" w:hAnsi="Arial" w:cs="Arial"/>
                <w:sz w:val="24"/>
                <w:szCs w:val="24"/>
              </w:rPr>
              <w:t>1</w:t>
            </w:r>
          </w:p>
        </w:tc>
      </w:tr>
      <w:tr w:rsidR="00152D5A" w:rsidRPr="0039500A" w14:paraId="30E29A41" w14:textId="77777777" w:rsidTr="00131CDA">
        <w:tc>
          <w:tcPr>
            <w:tcW w:w="3597" w:type="dxa"/>
            <w:shd w:val="clear" w:color="auto" w:fill="auto"/>
          </w:tcPr>
          <w:p w14:paraId="2176713A" w14:textId="77777777" w:rsidR="00152D5A" w:rsidRDefault="00152D5A" w:rsidP="00131CDA">
            <w:pPr>
              <w:rPr>
                <w:rFonts w:ascii="Arial" w:hAnsi="Arial" w:cs="Arial"/>
                <w:sz w:val="24"/>
                <w:szCs w:val="24"/>
              </w:rPr>
            </w:pPr>
            <w:r>
              <w:rPr>
                <w:rFonts w:ascii="Arial" w:hAnsi="Arial" w:cs="Arial"/>
                <w:sz w:val="24"/>
                <w:szCs w:val="24"/>
              </w:rPr>
              <w:t xml:space="preserve">Decision Aid </w:t>
            </w:r>
          </w:p>
        </w:tc>
        <w:tc>
          <w:tcPr>
            <w:tcW w:w="4953" w:type="dxa"/>
            <w:shd w:val="clear" w:color="auto" w:fill="auto"/>
          </w:tcPr>
          <w:p w14:paraId="57E276B7" w14:textId="77777777" w:rsidR="00152D5A" w:rsidRPr="00AD4EB1" w:rsidRDefault="00152D5A" w:rsidP="00131CDA">
            <w:pPr>
              <w:rPr>
                <w:rFonts w:ascii="Arial" w:hAnsi="Arial" w:cs="Arial"/>
                <w:sz w:val="24"/>
                <w:szCs w:val="24"/>
                <w:vertAlign w:val="superscript"/>
                <w:lang w:val="en-US"/>
              </w:rPr>
            </w:pPr>
            <w:r>
              <w:rPr>
                <w:rFonts w:ascii="Arial" w:hAnsi="Arial" w:cs="Arial"/>
                <w:sz w:val="24"/>
                <w:szCs w:val="24"/>
              </w:rPr>
              <w:t>Bennett et al</w:t>
            </w:r>
            <w:r>
              <w:rPr>
                <w:rFonts w:ascii="Arial" w:hAnsi="Arial" w:cs="Arial"/>
                <w:sz w:val="24"/>
                <w:szCs w:val="24"/>
                <w:vertAlign w:val="superscript"/>
                <w:lang w:val="en-US"/>
              </w:rPr>
              <w:t>24</w:t>
            </w:r>
          </w:p>
        </w:tc>
        <w:tc>
          <w:tcPr>
            <w:tcW w:w="1350" w:type="dxa"/>
            <w:shd w:val="clear" w:color="auto" w:fill="auto"/>
          </w:tcPr>
          <w:p w14:paraId="25F1309C" w14:textId="77777777" w:rsidR="00152D5A" w:rsidRDefault="00152D5A" w:rsidP="00131CDA">
            <w:pPr>
              <w:rPr>
                <w:rFonts w:ascii="Arial" w:hAnsi="Arial" w:cs="Arial"/>
                <w:sz w:val="24"/>
                <w:szCs w:val="24"/>
              </w:rPr>
            </w:pPr>
            <w:r>
              <w:rPr>
                <w:rFonts w:ascii="Arial" w:hAnsi="Arial" w:cs="Arial"/>
                <w:sz w:val="24"/>
                <w:szCs w:val="24"/>
              </w:rPr>
              <w:t>1</w:t>
            </w:r>
          </w:p>
        </w:tc>
      </w:tr>
      <w:bookmarkEnd w:id="0"/>
    </w:tbl>
    <w:p w14:paraId="00447154" w14:textId="77777777" w:rsidR="00152D5A" w:rsidRDefault="00152D5A" w:rsidP="00152D5A">
      <w:pPr>
        <w:spacing w:line="276" w:lineRule="auto"/>
        <w:jc w:val="both"/>
        <w:rPr>
          <w:rFonts w:ascii="Arial" w:eastAsia="Calibri" w:hAnsi="Arial" w:cs="Arial"/>
          <w:b/>
          <w:bCs/>
          <w:color w:val="222222"/>
          <w:sz w:val="24"/>
          <w:szCs w:val="24"/>
          <w:shd w:val="clear" w:color="auto" w:fill="FFFFFF"/>
          <w:lang w:bidi="ar"/>
        </w:rPr>
      </w:pPr>
    </w:p>
    <w:p w14:paraId="5CBC6274" w14:textId="77777777" w:rsidR="00152D5A" w:rsidRDefault="00152D5A" w:rsidP="00152D5A">
      <w:pPr>
        <w:spacing w:line="276" w:lineRule="auto"/>
        <w:jc w:val="both"/>
        <w:rPr>
          <w:rFonts w:ascii="Arial" w:hAnsi="Arial" w:cs="Arial"/>
          <w:b/>
          <w:sz w:val="24"/>
          <w:szCs w:val="24"/>
        </w:rPr>
      </w:pPr>
    </w:p>
    <w:p w14:paraId="4219EC29" w14:textId="77777777" w:rsidR="00152D5A" w:rsidRDefault="00152D5A" w:rsidP="00152D5A">
      <w:pPr>
        <w:spacing w:line="276" w:lineRule="auto"/>
        <w:jc w:val="both"/>
        <w:rPr>
          <w:rFonts w:ascii="Arial" w:hAnsi="Arial" w:cs="Arial"/>
          <w:b/>
          <w:sz w:val="24"/>
          <w:szCs w:val="24"/>
        </w:rPr>
      </w:pPr>
      <w:r>
        <w:rPr>
          <w:rFonts w:ascii="Arial" w:eastAsia="Calibri" w:hAnsi="Arial" w:cs="Arial"/>
          <w:b/>
          <w:sz w:val="24"/>
          <w:szCs w:val="24"/>
          <w:lang w:bidi="ar"/>
        </w:rPr>
        <w:t>Supplemental Table 2: Meta-regression</w:t>
      </w:r>
      <w:r>
        <w:rPr>
          <w:rFonts w:ascii="Arial" w:eastAsia="Calibri" w:hAnsi="Arial" w:cs="Arial"/>
          <w:sz w:val="24"/>
          <w:szCs w:val="24"/>
          <w:lang w:bidi="ar"/>
        </w:rPr>
        <w:t xml:space="preserve"> </w:t>
      </w:r>
      <w:r>
        <w:rPr>
          <w:rFonts w:ascii="Arial" w:eastAsia="Calibri" w:hAnsi="Arial" w:cs="Arial"/>
          <w:b/>
          <w:bCs/>
          <w:sz w:val="24"/>
          <w:szCs w:val="24"/>
          <w:lang w:bidi="ar"/>
        </w:rPr>
        <w:t>of factors associated with HPV vaccine uptake.</w:t>
      </w:r>
    </w:p>
    <w:p w14:paraId="7785B7F5" w14:textId="77777777" w:rsidR="00152D5A" w:rsidRDefault="00152D5A" w:rsidP="00152D5A">
      <w:pPr>
        <w:spacing w:line="276" w:lineRule="auto"/>
        <w:jc w:val="both"/>
        <w:rPr>
          <w:rFonts w:ascii="Arial" w:hAnsi="Arial" w:cs="Arial"/>
          <w:sz w:val="24"/>
          <w:szCs w:val="24"/>
        </w:rPr>
      </w:pPr>
    </w:p>
    <w:tbl>
      <w:tblPr>
        <w:tblW w:w="10183" w:type="dxa"/>
        <w:tblInd w:w="-935" w:type="dxa"/>
        <w:tblBorders>
          <w:top w:val="single" w:sz="2" w:space="0" w:color="7F7F7F"/>
          <w:bottom w:val="single" w:sz="2" w:space="0" w:color="7F7F7F"/>
        </w:tblBorders>
        <w:tblLook w:val="0000" w:firstRow="0" w:lastRow="0" w:firstColumn="0" w:lastColumn="0" w:noHBand="0" w:noVBand="0"/>
      </w:tblPr>
      <w:tblGrid>
        <w:gridCol w:w="1640"/>
        <w:gridCol w:w="1932"/>
        <w:gridCol w:w="1105"/>
        <w:gridCol w:w="1311"/>
        <w:gridCol w:w="1378"/>
        <w:gridCol w:w="1529"/>
        <w:gridCol w:w="1288"/>
      </w:tblGrid>
      <w:tr w:rsidR="00152D5A" w14:paraId="13BA3E2B" w14:textId="77777777" w:rsidTr="00131CDA">
        <w:trPr>
          <w:trHeight w:val="654"/>
        </w:trPr>
        <w:tc>
          <w:tcPr>
            <w:tcW w:w="1640" w:type="dxa"/>
            <w:tcBorders>
              <w:top w:val="single" w:sz="18" w:space="0" w:color="auto"/>
              <w:left w:val="nil"/>
              <w:bottom w:val="single" w:sz="18" w:space="0" w:color="auto"/>
              <w:right w:val="nil"/>
            </w:tcBorders>
            <w:shd w:val="clear" w:color="auto" w:fill="auto"/>
          </w:tcPr>
          <w:p w14:paraId="5FEF34C1" w14:textId="77777777" w:rsidR="00152D5A" w:rsidRDefault="00152D5A" w:rsidP="00131CDA">
            <w:pPr>
              <w:spacing w:after="0" w:line="276" w:lineRule="auto"/>
              <w:jc w:val="both"/>
              <w:rPr>
                <w:rFonts w:ascii="Arial" w:hAnsi="Arial" w:cs="Arial"/>
                <w:b/>
                <w:sz w:val="24"/>
                <w:szCs w:val="24"/>
              </w:rPr>
            </w:pPr>
            <w:r>
              <w:rPr>
                <w:rFonts w:ascii="Arial" w:eastAsia="Calibri" w:hAnsi="Arial" w:cs="Arial"/>
                <w:b/>
                <w:sz w:val="24"/>
                <w:szCs w:val="24"/>
                <w:lang w:bidi="ar"/>
              </w:rPr>
              <w:t>Variables</w:t>
            </w:r>
          </w:p>
        </w:tc>
        <w:tc>
          <w:tcPr>
            <w:tcW w:w="1932" w:type="dxa"/>
            <w:tcBorders>
              <w:top w:val="single" w:sz="18" w:space="0" w:color="auto"/>
              <w:left w:val="nil"/>
              <w:bottom w:val="single" w:sz="18" w:space="0" w:color="auto"/>
              <w:right w:val="nil"/>
            </w:tcBorders>
            <w:shd w:val="clear" w:color="auto" w:fill="auto"/>
          </w:tcPr>
          <w:p w14:paraId="76C7A89A" w14:textId="77777777" w:rsidR="00152D5A" w:rsidRDefault="00152D5A" w:rsidP="00131CDA">
            <w:pPr>
              <w:spacing w:after="0" w:line="276" w:lineRule="auto"/>
              <w:jc w:val="both"/>
              <w:rPr>
                <w:rFonts w:ascii="Arial" w:hAnsi="Arial" w:cs="Arial"/>
                <w:b/>
                <w:sz w:val="24"/>
                <w:szCs w:val="24"/>
              </w:rPr>
            </w:pPr>
            <w:r>
              <w:rPr>
                <w:rFonts w:ascii="Arial" w:eastAsia="Calibri" w:hAnsi="Arial" w:cs="Arial"/>
                <w:b/>
                <w:sz w:val="24"/>
                <w:szCs w:val="24"/>
                <w:lang w:bidi="ar"/>
              </w:rPr>
              <w:t>Coefficients</w:t>
            </w:r>
          </w:p>
        </w:tc>
        <w:tc>
          <w:tcPr>
            <w:tcW w:w="1105" w:type="dxa"/>
            <w:tcBorders>
              <w:top w:val="single" w:sz="18" w:space="0" w:color="auto"/>
              <w:left w:val="nil"/>
              <w:bottom w:val="single" w:sz="18" w:space="0" w:color="auto"/>
              <w:right w:val="nil"/>
            </w:tcBorders>
            <w:shd w:val="clear" w:color="auto" w:fill="auto"/>
          </w:tcPr>
          <w:p w14:paraId="649C09A3" w14:textId="77777777" w:rsidR="00152D5A" w:rsidRDefault="00152D5A" w:rsidP="00131CDA">
            <w:pPr>
              <w:spacing w:after="0" w:line="276" w:lineRule="auto"/>
              <w:jc w:val="both"/>
              <w:rPr>
                <w:rFonts w:ascii="Arial" w:hAnsi="Arial" w:cs="Arial"/>
                <w:b/>
                <w:sz w:val="24"/>
                <w:szCs w:val="24"/>
              </w:rPr>
            </w:pPr>
            <w:r>
              <w:rPr>
                <w:rFonts w:ascii="Arial" w:eastAsia="Calibri" w:hAnsi="Arial" w:cs="Arial"/>
                <w:b/>
                <w:sz w:val="24"/>
                <w:szCs w:val="24"/>
                <w:lang w:bidi="ar"/>
              </w:rPr>
              <w:t>Std errors</w:t>
            </w:r>
          </w:p>
        </w:tc>
        <w:tc>
          <w:tcPr>
            <w:tcW w:w="1311" w:type="dxa"/>
            <w:tcBorders>
              <w:top w:val="single" w:sz="18" w:space="0" w:color="auto"/>
              <w:left w:val="nil"/>
              <w:bottom w:val="single" w:sz="18" w:space="0" w:color="auto"/>
              <w:right w:val="nil"/>
            </w:tcBorders>
            <w:shd w:val="clear" w:color="auto" w:fill="auto"/>
          </w:tcPr>
          <w:p w14:paraId="512AAF6B" w14:textId="77777777" w:rsidR="00152D5A" w:rsidRDefault="00152D5A" w:rsidP="00131CDA">
            <w:pPr>
              <w:spacing w:after="0" w:line="276" w:lineRule="auto"/>
              <w:jc w:val="both"/>
              <w:rPr>
                <w:rFonts w:ascii="Arial" w:hAnsi="Arial" w:cs="Arial"/>
                <w:b/>
                <w:sz w:val="24"/>
                <w:szCs w:val="24"/>
              </w:rPr>
            </w:pPr>
            <w:r>
              <w:rPr>
                <w:rFonts w:ascii="Arial" w:eastAsia="Calibri" w:hAnsi="Arial" w:cs="Arial"/>
                <w:b/>
                <w:sz w:val="24"/>
                <w:szCs w:val="24"/>
                <w:lang w:bidi="ar"/>
              </w:rPr>
              <w:t>Z-test</w:t>
            </w:r>
          </w:p>
        </w:tc>
        <w:tc>
          <w:tcPr>
            <w:tcW w:w="1378" w:type="dxa"/>
            <w:tcBorders>
              <w:top w:val="single" w:sz="18" w:space="0" w:color="auto"/>
              <w:left w:val="nil"/>
              <w:bottom w:val="single" w:sz="18" w:space="0" w:color="auto"/>
              <w:right w:val="nil"/>
            </w:tcBorders>
            <w:shd w:val="clear" w:color="auto" w:fill="auto"/>
          </w:tcPr>
          <w:p w14:paraId="6D9889B7" w14:textId="77777777" w:rsidR="00152D5A" w:rsidRDefault="00152D5A" w:rsidP="00131CDA">
            <w:pPr>
              <w:spacing w:after="0" w:line="276" w:lineRule="auto"/>
              <w:jc w:val="both"/>
              <w:rPr>
                <w:rFonts w:ascii="Arial" w:hAnsi="Arial" w:cs="Arial"/>
                <w:b/>
                <w:sz w:val="24"/>
                <w:szCs w:val="24"/>
              </w:rPr>
            </w:pPr>
            <w:r>
              <w:rPr>
                <w:rFonts w:ascii="Arial" w:eastAsia="Calibri" w:hAnsi="Arial" w:cs="Arial"/>
                <w:b/>
                <w:sz w:val="24"/>
                <w:szCs w:val="24"/>
                <w:lang w:bidi="ar"/>
              </w:rPr>
              <w:t>P-value</w:t>
            </w:r>
          </w:p>
        </w:tc>
        <w:tc>
          <w:tcPr>
            <w:tcW w:w="1529" w:type="dxa"/>
            <w:tcBorders>
              <w:top w:val="single" w:sz="18" w:space="0" w:color="auto"/>
              <w:left w:val="nil"/>
              <w:bottom w:val="single" w:sz="18" w:space="0" w:color="auto"/>
              <w:right w:val="nil"/>
            </w:tcBorders>
            <w:shd w:val="clear" w:color="auto" w:fill="auto"/>
          </w:tcPr>
          <w:p w14:paraId="0FE81643" w14:textId="77777777" w:rsidR="00152D5A" w:rsidRDefault="00152D5A" w:rsidP="00131CDA">
            <w:pPr>
              <w:spacing w:after="0" w:line="276" w:lineRule="auto"/>
              <w:jc w:val="both"/>
              <w:rPr>
                <w:rFonts w:ascii="Arial" w:hAnsi="Arial" w:cs="Arial"/>
                <w:b/>
                <w:sz w:val="24"/>
                <w:szCs w:val="24"/>
              </w:rPr>
            </w:pPr>
            <w:r>
              <w:rPr>
                <w:rFonts w:ascii="Arial" w:eastAsia="Calibri" w:hAnsi="Arial" w:cs="Arial"/>
                <w:b/>
                <w:sz w:val="24"/>
                <w:szCs w:val="24"/>
                <w:lang w:bidi="ar"/>
              </w:rPr>
              <w:t>Lower 95%CI</w:t>
            </w:r>
          </w:p>
        </w:tc>
        <w:tc>
          <w:tcPr>
            <w:tcW w:w="1288" w:type="dxa"/>
            <w:tcBorders>
              <w:top w:val="single" w:sz="18" w:space="0" w:color="auto"/>
              <w:left w:val="nil"/>
              <w:bottom w:val="single" w:sz="18" w:space="0" w:color="auto"/>
              <w:right w:val="nil"/>
            </w:tcBorders>
            <w:shd w:val="clear" w:color="auto" w:fill="auto"/>
          </w:tcPr>
          <w:p w14:paraId="55AAC7A7" w14:textId="77777777" w:rsidR="00152D5A" w:rsidRDefault="00152D5A" w:rsidP="00131CDA">
            <w:pPr>
              <w:spacing w:after="0" w:line="276" w:lineRule="auto"/>
              <w:jc w:val="both"/>
              <w:rPr>
                <w:rFonts w:ascii="Arial" w:hAnsi="Arial" w:cs="Arial"/>
                <w:b/>
                <w:sz w:val="24"/>
                <w:szCs w:val="24"/>
              </w:rPr>
            </w:pPr>
            <w:r>
              <w:rPr>
                <w:rFonts w:ascii="Arial" w:eastAsia="Calibri" w:hAnsi="Arial" w:cs="Arial"/>
                <w:b/>
                <w:sz w:val="24"/>
                <w:szCs w:val="24"/>
                <w:lang w:bidi="ar"/>
              </w:rPr>
              <w:t>Upper 95%CI</w:t>
            </w:r>
          </w:p>
        </w:tc>
      </w:tr>
      <w:tr w:rsidR="00152D5A" w14:paraId="7A76448B" w14:textId="77777777" w:rsidTr="00131CDA">
        <w:trPr>
          <w:trHeight w:val="654"/>
        </w:trPr>
        <w:tc>
          <w:tcPr>
            <w:tcW w:w="1640" w:type="dxa"/>
            <w:tcBorders>
              <w:top w:val="single" w:sz="18" w:space="0" w:color="auto"/>
              <w:left w:val="nil"/>
              <w:bottom w:val="single" w:sz="2" w:space="0" w:color="7F7F7F"/>
              <w:right w:val="nil"/>
            </w:tcBorders>
            <w:shd w:val="clear" w:color="auto" w:fill="auto"/>
          </w:tcPr>
          <w:p w14:paraId="6AEFABB2" w14:textId="77777777" w:rsidR="00152D5A" w:rsidRDefault="00152D5A" w:rsidP="00131CDA">
            <w:pPr>
              <w:spacing w:after="0" w:line="276" w:lineRule="auto"/>
              <w:jc w:val="both"/>
              <w:rPr>
                <w:rFonts w:ascii="Arial" w:hAnsi="Arial" w:cs="Arial"/>
                <w:sz w:val="24"/>
                <w:szCs w:val="24"/>
              </w:rPr>
            </w:pPr>
            <w:r>
              <w:rPr>
                <w:rFonts w:ascii="Arial" w:eastAsia="Calibri" w:hAnsi="Arial" w:cs="Arial"/>
                <w:b/>
                <w:bCs/>
                <w:sz w:val="24"/>
                <w:szCs w:val="24"/>
                <w:lang w:bidi="ar"/>
              </w:rPr>
              <w:t>Age</w:t>
            </w:r>
          </w:p>
        </w:tc>
        <w:tc>
          <w:tcPr>
            <w:tcW w:w="1932" w:type="dxa"/>
            <w:tcBorders>
              <w:top w:val="single" w:sz="18" w:space="0" w:color="auto"/>
              <w:left w:val="nil"/>
              <w:bottom w:val="single" w:sz="2" w:space="0" w:color="7F7F7F"/>
              <w:right w:val="nil"/>
            </w:tcBorders>
            <w:shd w:val="clear" w:color="auto" w:fill="auto"/>
          </w:tcPr>
          <w:p w14:paraId="079AAEB9"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-0.042</w:t>
            </w:r>
          </w:p>
        </w:tc>
        <w:tc>
          <w:tcPr>
            <w:tcW w:w="1105" w:type="dxa"/>
            <w:tcBorders>
              <w:top w:val="single" w:sz="18" w:space="0" w:color="auto"/>
              <w:left w:val="nil"/>
              <w:bottom w:val="single" w:sz="2" w:space="0" w:color="7F7F7F"/>
              <w:right w:val="nil"/>
            </w:tcBorders>
            <w:shd w:val="clear" w:color="auto" w:fill="auto"/>
          </w:tcPr>
          <w:p w14:paraId="542DA7C7"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 xml:space="preserve">0.125 </w:t>
            </w:r>
          </w:p>
        </w:tc>
        <w:tc>
          <w:tcPr>
            <w:tcW w:w="1311" w:type="dxa"/>
            <w:tcBorders>
              <w:top w:val="single" w:sz="18" w:space="0" w:color="auto"/>
              <w:left w:val="nil"/>
              <w:bottom w:val="single" w:sz="2" w:space="0" w:color="7F7F7F"/>
              <w:right w:val="nil"/>
            </w:tcBorders>
            <w:shd w:val="clear" w:color="auto" w:fill="auto"/>
          </w:tcPr>
          <w:p w14:paraId="768A5C73"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-0.34</w:t>
            </w:r>
          </w:p>
        </w:tc>
        <w:tc>
          <w:tcPr>
            <w:tcW w:w="1378" w:type="dxa"/>
            <w:tcBorders>
              <w:top w:val="single" w:sz="18" w:space="0" w:color="auto"/>
              <w:left w:val="nil"/>
              <w:bottom w:val="single" w:sz="2" w:space="0" w:color="7F7F7F"/>
              <w:right w:val="nil"/>
            </w:tcBorders>
            <w:shd w:val="clear" w:color="auto" w:fill="auto"/>
          </w:tcPr>
          <w:p w14:paraId="35099BD8"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0.736</w:t>
            </w:r>
          </w:p>
        </w:tc>
        <w:tc>
          <w:tcPr>
            <w:tcW w:w="1529" w:type="dxa"/>
            <w:tcBorders>
              <w:top w:val="single" w:sz="18" w:space="0" w:color="auto"/>
              <w:left w:val="nil"/>
              <w:bottom w:val="single" w:sz="2" w:space="0" w:color="7F7F7F"/>
              <w:right w:val="nil"/>
            </w:tcBorders>
            <w:shd w:val="clear" w:color="auto" w:fill="auto"/>
          </w:tcPr>
          <w:p w14:paraId="4CAC6EE1"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 xml:space="preserve">-0.286  </w:t>
            </w:r>
          </w:p>
        </w:tc>
        <w:tc>
          <w:tcPr>
            <w:tcW w:w="1288" w:type="dxa"/>
            <w:tcBorders>
              <w:top w:val="single" w:sz="18" w:space="0" w:color="auto"/>
              <w:left w:val="nil"/>
              <w:bottom w:val="single" w:sz="2" w:space="0" w:color="7F7F7F"/>
              <w:right w:val="nil"/>
            </w:tcBorders>
            <w:shd w:val="clear" w:color="auto" w:fill="auto"/>
          </w:tcPr>
          <w:p w14:paraId="0E269D89"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0.202</w:t>
            </w:r>
          </w:p>
        </w:tc>
      </w:tr>
      <w:tr w:rsidR="00152D5A" w14:paraId="6E84EF8B" w14:textId="77777777" w:rsidTr="00131CDA">
        <w:trPr>
          <w:trHeight w:val="981"/>
        </w:trPr>
        <w:tc>
          <w:tcPr>
            <w:tcW w:w="1640" w:type="dxa"/>
            <w:tcBorders>
              <w:top w:val="nil"/>
              <w:left w:val="nil"/>
              <w:bottom w:val="nil"/>
              <w:right w:val="nil"/>
            </w:tcBorders>
            <w:shd w:val="clear" w:color="auto" w:fill="auto"/>
          </w:tcPr>
          <w:p w14:paraId="2630760B" w14:textId="77777777" w:rsidR="00152D5A" w:rsidRDefault="00152D5A" w:rsidP="00131CDA">
            <w:pPr>
              <w:spacing w:after="0" w:line="276" w:lineRule="auto"/>
              <w:jc w:val="both"/>
              <w:rPr>
                <w:rFonts w:ascii="Arial" w:hAnsi="Arial" w:cs="Arial"/>
                <w:sz w:val="24"/>
                <w:szCs w:val="24"/>
              </w:rPr>
            </w:pPr>
            <w:r>
              <w:rPr>
                <w:rFonts w:ascii="Arial" w:eastAsia="Calibri" w:hAnsi="Arial" w:cs="Arial"/>
                <w:b/>
                <w:bCs/>
                <w:sz w:val="24"/>
                <w:szCs w:val="24"/>
                <w:lang w:bidi="ar"/>
              </w:rPr>
              <w:t>HPV dose timing</w:t>
            </w:r>
          </w:p>
        </w:tc>
        <w:tc>
          <w:tcPr>
            <w:tcW w:w="1932" w:type="dxa"/>
            <w:tcBorders>
              <w:top w:val="nil"/>
              <w:left w:val="nil"/>
              <w:bottom w:val="nil"/>
              <w:right w:val="nil"/>
            </w:tcBorders>
            <w:shd w:val="clear" w:color="auto" w:fill="auto"/>
          </w:tcPr>
          <w:p w14:paraId="2C2D4D0D"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 xml:space="preserve"> -0.818</w:t>
            </w:r>
          </w:p>
        </w:tc>
        <w:tc>
          <w:tcPr>
            <w:tcW w:w="1105" w:type="dxa"/>
            <w:tcBorders>
              <w:top w:val="nil"/>
              <w:left w:val="nil"/>
              <w:bottom w:val="nil"/>
              <w:right w:val="nil"/>
            </w:tcBorders>
            <w:shd w:val="clear" w:color="auto" w:fill="auto"/>
          </w:tcPr>
          <w:p w14:paraId="60F1C962"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0.335</w:t>
            </w:r>
          </w:p>
        </w:tc>
        <w:tc>
          <w:tcPr>
            <w:tcW w:w="1311" w:type="dxa"/>
            <w:tcBorders>
              <w:top w:val="nil"/>
              <w:left w:val="nil"/>
              <w:bottom w:val="nil"/>
              <w:right w:val="nil"/>
            </w:tcBorders>
            <w:shd w:val="clear" w:color="auto" w:fill="auto"/>
          </w:tcPr>
          <w:p w14:paraId="36C79064"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-2.44</w:t>
            </w:r>
          </w:p>
        </w:tc>
        <w:tc>
          <w:tcPr>
            <w:tcW w:w="1378" w:type="dxa"/>
            <w:tcBorders>
              <w:top w:val="nil"/>
              <w:left w:val="nil"/>
              <w:bottom w:val="nil"/>
              <w:right w:val="nil"/>
            </w:tcBorders>
            <w:shd w:val="clear" w:color="auto" w:fill="auto"/>
          </w:tcPr>
          <w:p w14:paraId="20FB135D"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0.015</w:t>
            </w:r>
          </w:p>
        </w:tc>
        <w:tc>
          <w:tcPr>
            <w:tcW w:w="1529" w:type="dxa"/>
            <w:tcBorders>
              <w:top w:val="nil"/>
              <w:left w:val="nil"/>
              <w:bottom w:val="nil"/>
              <w:right w:val="nil"/>
            </w:tcBorders>
            <w:shd w:val="clear" w:color="auto" w:fill="auto"/>
          </w:tcPr>
          <w:p w14:paraId="5B2291C1"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-1.475</w:t>
            </w:r>
          </w:p>
        </w:tc>
        <w:tc>
          <w:tcPr>
            <w:tcW w:w="1288" w:type="dxa"/>
            <w:tcBorders>
              <w:top w:val="nil"/>
              <w:left w:val="nil"/>
              <w:bottom w:val="nil"/>
              <w:right w:val="nil"/>
            </w:tcBorders>
            <w:shd w:val="clear" w:color="auto" w:fill="auto"/>
          </w:tcPr>
          <w:p w14:paraId="583E7114"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-0.162</w:t>
            </w:r>
          </w:p>
        </w:tc>
      </w:tr>
      <w:tr w:rsidR="00152D5A" w14:paraId="0A8F0ABB" w14:textId="77777777" w:rsidTr="00131CDA">
        <w:trPr>
          <w:trHeight w:val="634"/>
        </w:trPr>
        <w:tc>
          <w:tcPr>
            <w:tcW w:w="1640" w:type="dxa"/>
            <w:tcBorders>
              <w:top w:val="single" w:sz="2" w:space="0" w:color="7F7F7F"/>
              <w:left w:val="nil"/>
              <w:bottom w:val="single" w:sz="2" w:space="0" w:color="7F7F7F"/>
              <w:right w:val="nil"/>
            </w:tcBorders>
            <w:shd w:val="clear" w:color="auto" w:fill="auto"/>
          </w:tcPr>
          <w:p w14:paraId="7CE69B2F" w14:textId="77777777" w:rsidR="00152D5A" w:rsidRPr="00F77355" w:rsidRDefault="00152D5A" w:rsidP="00131CDA">
            <w:pPr>
              <w:spacing w:after="0" w:line="276" w:lineRule="auto"/>
              <w:jc w:val="both"/>
              <w:rPr>
                <w:rFonts w:ascii="Arial" w:hAnsi="Arial" w:cs="Arial"/>
                <w:sz w:val="24"/>
                <w:szCs w:val="24"/>
                <w:lang w:val="en-US"/>
              </w:rPr>
            </w:pPr>
            <w:r>
              <w:rPr>
                <w:rFonts w:ascii="Arial" w:eastAsia="Calibri" w:hAnsi="Arial" w:cs="Arial"/>
                <w:b/>
                <w:bCs/>
                <w:sz w:val="24"/>
                <w:szCs w:val="24"/>
                <w:lang w:val="en-US" w:bidi="ar"/>
              </w:rPr>
              <w:t>High school or above</w:t>
            </w:r>
          </w:p>
        </w:tc>
        <w:tc>
          <w:tcPr>
            <w:tcW w:w="1932" w:type="dxa"/>
            <w:tcBorders>
              <w:top w:val="single" w:sz="2" w:space="0" w:color="7F7F7F"/>
              <w:left w:val="nil"/>
              <w:bottom w:val="single" w:sz="2" w:space="0" w:color="7F7F7F"/>
              <w:right w:val="nil"/>
            </w:tcBorders>
            <w:shd w:val="clear" w:color="auto" w:fill="auto"/>
          </w:tcPr>
          <w:p w14:paraId="35DC454C"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0.231</w:t>
            </w:r>
          </w:p>
        </w:tc>
        <w:tc>
          <w:tcPr>
            <w:tcW w:w="1105" w:type="dxa"/>
            <w:tcBorders>
              <w:top w:val="single" w:sz="2" w:space="0" w:color="7F7F7F"/>
              <w:left w:val="nil"/>
              <w:bottom w:val="single" w:sz="2" w:space="0" w:color="7F7F7F"/>
              <w:right w:val="nil"/>
            </w:tcBorders>
            <w:shd w:val="clear" w:color="auto" w:fill="auto"/>
          </w:tcPr>
          <w:p w14:paraId="5E5B4BC0"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0.073</w:t>
            </w:r>
          </w:p>
        </w:tc>
        <w:tc>
          <w:tcPr>
            <w:tcW w:w="1311" w:type="dxa"/>
            <w:tcBorders>
              <w:top w:val="single" w:sz="2" w:space="0" w:color="7F7F7F"/>
              <w:left w:val="nil"/>
              <w:bottom w:val="single" w:sz="2" w:space="0" w:color="7F7F7F"/>
              <w:right w:val="nil"/>
            </w:tcBorders>
            <w:shd w:val="clear" w:color="auto" w:fill="auto"/>
          </w:tcPr>
          <w:p w14:paraId="6F75E81A"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3.16</w:t>
            </w:r>
          </w:p>
        </w:tc>
        <w:tc>
          <w:tcPr>
            <w:tcW w:w="1378" w:type="dxa"/>
            <w:tcBorders>
              <w:top w:val="single" w:sz="2" w:space="0" w:color="7F7F7F"/>
              <w:left w:val="nil"/>
              <w:bottom w:val="single" w:sz="2" w:space="0" w:color="7F7F7F"/>
              <w:right w:val="nil"/>
            </w:tcBorders>
            <w:shd w:val="clear" w:color="auto" w:fill="auto"/>
          </w:tcPr>
          <w:p w14:paraId="1956281B"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0.002</w:t>
            </w:r>
          </w:p>
        </w:tc>
        <w:tc>
          <w:tcPr>
            <w:tcW w:w="1529" w:type="dxa"/>
            <w:tcBorders>
              <w:top w:val="single" w:sz="2" w:space="0" w:color="7F7F7F"/>
              <w:left w:val="nil"/>
              <w:bottom w:val="single" w:sz="2" w:space="0" w:color="7F7F7F"/>
              <w:right w:val="nil"/>
            </w:tcBorders>
            <w:shd w:val="clear" w:color="auto" w:fill="auto"/>
          </w:tcPr>
          <w:p w14:paraId="194D54A0"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0.086</w:t>
            </w:r>
          </w:p>
        </w:tc>
        <w:tc>
          <w:tcPr>
            <w:tcW w:w="1288" w:type="dxa"/>
            <w:tcBorders>
              <w:top w:val="single" w:sz="2" w:space="0" w:color="7F7F7F"/>
              <w:left w:val="nil"/>
              <w:bottom w:val="single" w:sz="2" w:space="0" w:color="7F7F7F"/>
              <w:right w:val="nil"/>
            </w:tcBorders>
            <w:shd w:val="clear" w:color="auto" w:fill="auto"/>
          </w:tcPr>
          <w:p w14:paraId="46B4362C"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0.374</w:t>
            </w:r>
          </w:p>
        </w:tc>
      </w:tr>
      <w:tr w:rsidR="00152D5A" w14:paraId="5C0BB5DF" w14:textId="77777777" w:rsidTr="00131CDA">
        <w:trPr>
          <w:trHeight w:val="654"/>
        </w:trPr>
        <w:tc>
          <w:tcPr>
            <w:tcW w:w="1640" w:type="dxa"/>
            <w:tcBorders>
              <w:top w:val="single" w:sz="2" w:space="0" w:color="7F7F7F"/>
              <w:left w:val="nil"/>
              <w:bottom w:val="single" w:sz="18" w:space="0" w:color="auto"/>
              <w:right w:val="nil"/>
            </w:tcBorders>
            <w:shd w:val="clear" w:color="auto" w:fill="auto"/>
          </w:tcPr>
          <w:p w14:paraId="2C9B6C1F" w14:textId="77777777" w:rsidR="00152D5A" w:rsidRDefault="00152D5A" w:rsidP="00131CDA">
            <w:pPr>
              <w:spacing w:after="0" w:line="276" w:lineRule="auto"/>
              <w:jc w:val="both"/>
              <w:rPr>
                <w:rFonts w:ascii="Arial" w:hAnsi="Arial" w:cs="Arial"/>
                <w:sz w:val="24"/>
                <w:szCs w:val="24"/>
              </w:rPr>
            </w:pPr>
            <w:r>
              <w:rPr>
                <w:rFonts w:ascii="Arial" w:eastAsia="Calibri" w:hAnsi="Arial" w:cs="Arial"/>
                <w:b/>
                <w:bCs/>
                <w:sz w:val="24"/>
                <w:szCs w:val="24"/>
                <w:lang w:bidi="ar"/>
              </w:rPr>
              <w:t>Health insurance</w:t>
            </w:r>
          </w:p>
        </w:tc>
        <w:tc>
          <w:tcPr>
            <w:tcW w:w="1932" w:type="dxa"/>
            <w:tcBorders>
              <w:top w:val="single" w:sz="2" w:space="0" w:color="7F7F7F"/>
              <w:left w:val="nil"/>
              <w:bottom w:val="single" w:sz="18" w:space="0" w:color="auto"/>
              <w:right w:val="nil"/>
            </w:tcBorders>
            <w:shd w:val="clear" w:color="auto" w:fill="auto"/>
          </w:tcPr>
          <w:p w14:paraId="618F9FFA"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-0.069</w:t>
            </w:r>
          </w:p>
        </w:tc>
        <w:tc>
          <w:tcPr>
            <w:tcW w:w="1105" w:type="dxa"/>
            <w:tcBorders>
              <w:top w:val="single" w:sz="2" w:space="0" w:color="7F7F7F"/>
              <w:left w:val="nil"/>
              <w:bottom w:val="single" w:sz="18" w:space="0" w:color="auto"/>
              <w:right w:val="nil"/>
            </w:tcBorders>
            <w:shd w:val="clear" w:color="auto" w:fill="auto"/>
          </w:tcPr>
          <w:p w14:paraId="5DF914EE"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0.037</w:t>
            </w:r>
          </w:p>
        </w:tc>
        <w:tc>
          <w:tcPr>
            <w:tcW w:w="1311" w:type="dxa"/>
            <w:tcBorders>
              <w:top w:val="single" w:sz="2" w:space="0" w:color="7F7F7F"/>
              <w:left w:val="nil"/>
              <w:bottom w:val="single" w:sz="18" w:space="0" w:color="auto"/>
              <w:right w:val="nil"/>
            </w:tcBorders>
            <w:shd w:val="clear" w:color="auto" w:fill="auto"/>
          </w:tcPr>
          <w:p w14:paraId="37A4E9DE"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-1.89</w:t>
            </w:r>
          </w:p>
        </w:tc>
        <w:tc>
          <w:tcPr>
            <w:tcW w:w="1378" w:type="dxa"/>
            <w:tcBorders>
              <w:top w:val="single" w:sz="2" w:space="0" w:color="7F7F7F"/>
              <w:left w:val="nil"/>
              <w:bottom w:val="single" w:sz="18" w:space="0" w:color="auto"/>
              <w:right w:val="nil"/>
            </w:tcBorders>
            <w:shd w:val="clear" w:color="auto" w:fill="auto"/>
          </w:tcPr>
          <w:p w14:paraId="4CACC9B5"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0.059</w:t>
            </w:r>
          </w:p>
        </w:tc>
        <w:tc>
          <w:tcPr>
            <w:tcW w:w="1529" w:type="dxa"/>
            <w:tcBorders>
              <w:top w:val="single" w:sz="2" w:space="0" w:color="7F7F7F"/>
              <w:left w:val="nil"/>
              <w:bottom w:val="single" w:sz="18" w:space="0" w:color="auto"/>
              <w:right w:val="nil"/>
            </w:tcBorders>
            <w:shd w:val="clear" w:color="auto" w:fill="auto"/>
          </w:tcPr>
          <w:p w14:paraId="1BC2F95A"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-.141</w:t>
            </w:r>
          </w:p>
        </w:tc>
        <w:tc>
          <w:tcPr>
            <w:tcW w:w="1288" w:type="dxa"/>
            <w:tcBorders>
              <w:top w:val="single" w:sz="2" w:space="0" w:color="7F7F7F"/>
              <w:left w:val="nil"/>
              <w:bottom w:val="single" w:sz="18" w:space="0" w:color="auto"/>
              <w:right w:val="nil"/>
            </w:tcBorders>
            <w:shd w:val="clear" w:color="auto" w:fill="auto"/>
          </w:tcPr>
          <w:p w14:paraId="21E4A7F2" w14:textId="77777777" w:rsidR="00152D5A" w:rsidRDefault="00152D5A" w:rsidP="00131CDA">
            <w:pPr>
              <w:spacing w:after="0" w:line="276" w:lineRule="auto"/>
              <w:jc w:val="both"/>
              <w:rPr>
                <w:rFonts w:ascii="Arial" w:hAnsi="Arial" w:cs="Arial"/>
                <w:sz w:val="24"/>
                <w:szCs w:val="24"/>
              </w:rPr>
            </w:pPr>
            <w:r>
              <w:rPr>
                <w:rFonts w:ascii="Arial" w:eastAsia="Calibri" w:hAnsi="Arial" w:cs="Arial"/>
                <w:sz w:val="24"/>
                <w:szCs w:val="24"/>
                <w:lang w:bidi="ar"/>
              </w:rPr>
              <w:t>.003</w:t>
            </w:r>
          </w:p>
        </w:tc>
      </w:tr>
    </w:tbl>
    <w:p w14:paraId="484D0660" w14:textId="77777777" w:rsidR="00152D5A" w:rsidRDefault="00152D5A" w:rsidP="00152D5A">
      <w:pPr>
        <w:spacing w:line="276" w:lineRule="auto"/>
        <w:jc w:val="both"/>
        <w:rPr>
          <w:rFonts w:ascii="Arial" w:hAnsi="Arial" w:cs="Arial"/>
          <w:sz w:val="24"/>
          <w:szCs w:val="24"/>
        </w:rPr>
      </w:pPr>
    </w:p>
    <w:p w14:paraId="4DFA6CF6" w14:textId="77777777" w:rsidR="00152D5A" w:rsidRDefault="00152D5A" w:rsidP="00152D5A">
      <w:pPr>
        <w:spacing w:line="276" w:lineRule="auto"/>
        <w:jc w:val="both"/>
        <w:rPr>
          <w:rFonts w:ascii="Arial" w:hAnsi="Arial" w:cs="Arial"/>
          <w:sz w:val="24"/>
          <w:szCs w:val="24"/>
        </w:rPr>
      </w:pPr>
    </w:p>
    <w:p w14:paraId="1B32FC46" w14:textId="77777777" w:rsidR="00152D5A" w:rsidRDefault="00152D5A" w:rsidP="00152D5A">
      <w:pPr>
        <w:spacing w:line="276" w:lineRule="auto"/>
        <w:jc w:val="both"/>
        <w:rPr>
          <w:rFonts w:ascii="Arial" w:hAnsi="Arial" w:cs="Arial"/>
          <w:sz w:val="24"/>
          <w:szCs w:val="24"/>
        </w:rPr>
      </w:pPr>
    </w:p>
    <w:p w14:paraId="0E04DA48" w14:textId="77777777" w:rsidR="00152D5A" w:rsidRDefault="00152D5A" w:rsidP="00152D5A">
      <w:pPr>
        <w:spacing w:line="276" w:lineRule="auto"/>
        <w:jc w:val="both"/>
        <w:rPr>
          <w:rFonts w:ascii="Arial" w:hAnsi="Arial" w:cs="Arial"/>
          <w:color w:val="222222"/>
          <w:sz w:val="24"/>
          <w:szCs w:val="24"/>
          <w:shd w:val="clear" w:color="auto" w:fill="FFFFFF"/>
        </w:rPr>
      </w:pPr>
    </w:p>
    <w:p w14:paraId="6B36AF41" w14:textId="77777777" w:rsidR="00152D5A" w:rsidRDefault="00152D5A" w:rsidP="00152D5A">
      <w:pPr>
        <w:spacing w:line="276" w:lineRule="auto"/>
        <w:jc w:val="both"/>
        <w:rPr>
          <w:rFonts w:ascii="Arial" w:hAnsi="Arial" w:cs="Arial"/>
          <w:b/>
          <w:bCs/>
          <w:color w:val="222222"/>
          <w:sz w:val="24"/>
          <w:szCs w:val="24"/>
          <w:shd w:val="clear" w:color="auto" w:fill="FFFFFF"/>
        </w:rPr>
      </w:pPr>
    </w:p>
    <w:p w14:paraId="2BEE4C2C" w14:textId="77777777" w:rsidR="00152D5A" w:rsidRDefault="00152D5A" w:rsidP="00152D5A">
      <w:pPr>
        <w:spacing w:line="276" w:lineRule="auto"/>
        <w:jc w:val="both"/>
        <w:rPr>
          <w:rFonts w:ascii="Arial" w:hAnsi="Arial" w:cs="Arial"/>
          <w:b/>
          <w:bCs/>
          <w:color w:val="222222"/>
          <w:sz w:val="24"/>
          <w:szCs w:val="24"/>
          <w:shd w:val="clear" w:color="auto" w:fill="FFFFFF"/>
        </w:rPr>
      </w:pPr>
    </w:p>
    <w:p w14:paraId="6FECFBB0" w14:textId="77777777" w:rsidR="00152D5A" w:rsidRDefault="00152D5A" w:rsidP="00152D5A">
      <w:pPr>
        <w:spacing w:line="276" w:lineRule="auto"/>
        <w:jc w:val="both"/>
        <w:rPr>
          <w:rFonts w:ascii="Arial" w:eastAsia="Calibri" w:hAnsi="Arial" w:cs="Arial"/>
          <w:b/>
          <w:bCs/>
          <w:sz w:val="24"/>
          <w:szCs w:val="24"/>
          <w:lang w:bidi="ar"/>
        </w:rPr>
      </w:pPr>
    </w:p>
    <w:p w14:paraId="7180889E" w14:textId="77777777" w:rsidR="00152D5A" w:rsidRDefault="00152D5A" w:rsidP="00152D5A">
      <w:pPr>
        <w:spacing w:line="276" w:lineRule="auto"/>
        <w:jc w:val="both"/>
        <w:rPr>
          <w:rFonts w:ascii="Arial" w:eastAsia="Calibri" w:hAnsi="Arial" w:cs="Arial"/>
          <w:b/>
          <w:bCs/>
          <w:sz w:val="24"/>
          <w:szCs w:val="24"/>
          <w:lang w:bidi="ar"/>
        </w:rPr>
      </w:pPr>
      <w:r w:rsidRPr="00400757">
        <w:rPr>
          <w:rFonts w:ascii="Arial" w:eastAsia="Calibri" w:hAnsi="Arial" w:cs="Arial"/>
          <w:b/>
          <w:bCs/>
          <w:sz w:val="24"/>
          <w:szCs w:val="24"/>
          <w:lang w:bidi="ar"/>
        </w:rPr>
        <w:t>Risk of Bias in Included Studies</w:t>
      </w:r>
    </w:p>
    <w:p w14:paraId="6B061500" w14:textId="77777777" w:rsidR="00152D5A" w:rsidRDefault="00152D5A" w:rsidP="00152D5A">
      <w:pPr>
        <w:spacing w:line="276" w:lineRule="auto"/>
        <w:jc w:val="both"/>
      </w:pPr>
      <w:r>
        <w:rPr>
          <w:noProof/>
          <w:lang w:eastAsia="en-ZA" w:bidi="ar-SA"/>
        </w:rPr>
        <w:drawing>
          <wp:inline distT="0" distB="0" distL="0" distR="0" wp14:anchorId="2B2750B9" wp14:editId="1E508706">
            <wp:extent cx="4457700" cy="3322320"/>
            <wp:effectExtent l="0" t="0" r="0" b="0"/>
            <wp:docPr id="15484644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57700" cy="3322320"/>
                    </a:xfrm>
                    <a:prstGeom prst="rect">
                      <a:avLst/>
                    </a:prstGeom>
                    <a:noFill/>
                    <a:ln>
                      <a:noFill/>
                    </a:ln>
                  </pic:spPr>
                </pic:pic>
              </a:graphicData>
            </a:graphic>
          </wp:inline>
        </w:drawing>
      </w:r>
    </w:p>
    <w:p w14:paraId="636087BA" w14:textId="77777777" w:rsidR="00152D5A" w:rsidRDefault="00152D5A" w:rsidP="00152D5A">
      <w:pPr>
        <w:spacing w:line="276" w:lineRule="auto"/>
        <w:jc w:val="both"/>
        <w:rPr>
          <w:rFonts w:ascii="Arial" w:eastAsia="Calibri" w:hAnsi="Arial" w:cs="Arial"/>
          <w:b/>
          <w:bCs/>
          <w:sz w:val="24"/>
          <w:szCs w:val="24"/>
          <w:lang w:bidi="ar"/>
        </w:rPr>
      </w:pPr>
      <w:r>
        <w:rPr>
          <w:rFonts w:ascii="Arial" w:eastAsia="Calibri" w:hAnsi="Arial" w:cs="Arial"/>
          <w:b/>
          <w:bCs/>
          <w:iCs/>
          <w:sz w:val="24"/>
          <w:szCs w:val="24"/>
          <w:lang w:bidi="ar"/>
        </w:rPr>
        <w:t xml:space="preserve">Supplementals Figure 1: </w:t>
      </w:r>
      <w:r w:rsidRPr="00400757">
        <w:rPr>
          <w:rFonts w:ascii="Arial" w:eastAsia="Calibri" w:hAnsi="Arial" w:cs="Arial"/>
          <w:b/>
          <w:bCs/>
          <w:sz w:val="24"/>
          <w:szCs w:val="24"/>
          <w:lang w:bidi="ar"/>
        </w:rPr>
        <w:t>Risk of Bias in Included Studies</w:t>
      </w:r>
    </w:p>
    <w:p w14:paraId="0943C59D" w14:textId="77777777" w:rsidR="00152D5A" w:rsidRPr="00B04737" w:rsidRDefault="00152D5A" w:rsidP="00152D5A">
      <w:pPr>
        <w:spacing w:line="276" w:lineRule="auto"/>
        <w:jc w:val="both"/>
        <w:rPr>
          <w:rFonts w:ascii="Arial" w:eastAsia="Calibri" w:hAnsi="Arial" w:cs="Arial"/>
          <w:sz w:val="24"/>
          <w:szCs w:val="24"/>
          <w:vertAlign w:val="superscript"/>
          <w:lang w:bidi="ar"/>
        </w:rPr>
      </w:pPr>
      <w:r w:rsidRPr="00400757">
        <w:rPr>
          <w:rFonts w:ascii="Arial" w:eastAsia="Calibri" w:hAnsi="Arial" w:cs="Arial"/>
          <w:sz w:val="24"/>
          <w:szCs w:val="24"/>
          <w:lang w:bidi="ar"/>
        </w:rPr>
        <w:t xml:space="preserve">The risk of bias in the included studies is summarized </w:t>
      </w:r>
      <w:r>
        <w:rPr>
          <w:rFonts w:ascii="Arial" w:eastAsia="Calibri" w:hAnsi="Arial" w:cs="Arial"/>
          <w:sz w:val="24"/>
          <w:szCs w:val="24"/>
          <w:lang w:bidi="ar"/>
        </w:rPr>
        <w:t>in Supplemental Figure 1</w:t>
      </w:r>
      <w:r w:rsidRPr="00400757">
        <w:rPr>
          <w:rFonts w:ascii="Arial" w:eastAsia="Calibri" w:hAnsi="Arial" w:cs="Arial"/>
          <w:sz w:val="24"/>
          <w:szCs w:val="24"/>
          <w:lang w:bidi="ar"/>
        </w:rPr>
        <w:t>.</w:t>
      </w:r>
      <w:r>
        <w:rPr>
          <w:rFonts w:ascii="Arial" w:eastAsia="Calibri" w:hAnsi="Arial" w:cs="Arial"/>
          <w:sz w:val="24"/>
          <w:szCs w:val="24"/>
          <w:lang w:bidi="ar"/>
        </w:rPr>
        <w:t xml:space="preserve"> B</w:t>
      </w:r>
      <w:r w:rsidRPr="00400757">
        <w:rPr>
          <w:rFonts w:ascii="Arial" w:eastAsia="Calibri" w:hAnsi="Arial" w:cs="Arial"/>
          <w:sz w:val="24"/>
          <w:szCs w:val="24"/>
          <w:lang w:bidi="ar"/>
        </w:rPr>
        <w:t>riefly</w:t>
      </w:r>
      <w:r>
        <w:rPr>
          <w:rFonts w:ascii="Arial" w:eastAsia="Calibri" w:hAnsi="Arial" w:cs="Arial"/>
          <w:sz w:val="24"/>
          <w:szCs w:val="24"/>
          <w:lang w:bidi="ar"/>
        </w:rPr>
        <w:t xml:space="preserve"> </w:t>
      </w:r>
      <w:r w:rsidRPr="00400757">
        <w:rPr>
          <w:rFonts w:ascii="Arial" w:eastAsia="Calibri" w:hAnsi="Arial" w:cs="Arial"/>
          <w:sz w:val="24"/>
          <w:szCs w:val="24"/>
          <w:lang w:bidi="ar"/>
        </w:rPr>
        <w:t xml:space="preserve">the risk related to </w:t>
      </w:r>
      <w:r>
        <w:rPr>
          <w:rFonts w:ascii="Arial" w:eastAsia="Calibri" w:hAnsi="Arial" w:cs="Arial"/>
          <w:sz w:val="24"/>
          <w:szCs w:val="24"/>
          <w:lang w:bidi="ar"/>
        </w:rPr>
        <w:t>randomization were found in 1 study</w:t>
      </w:r>
      <w:r>
        <w:rPr>
          <w:rFonts w:ascii="Arial" w:eastAsia="Calibri" w:hAnsi="Arial" w:cs="Arial"/>
          <w:sz w:val="24"/>
          <w:szCs w:val="24"/>
          <w:vertAlign w:val="superscript"/>
          <w:lang w:bidi="ar"/>
        </w:rPr>
        <w:t>12</w:t>
      </w:r>
      <w:r>
        <w:rPr>
          <w:rFonts w:ascii="Arial" w:eastAsia="Calibri" w:hAnsi="Arial" w:cs="Arial"/>
          <w:sz w:val="24"/>
          <w:szCs w:val="24"/>
          <w:lang w:bidi="ar"/>
        </w:rPr>
        <w:t xml:space="preserve">. </w:t>
      </w:r>
      <w:r w:rsidRPr="00400757">
        <w:rPr>
          <w:rFonts w:ascii="Arial" w:eastAsia="Calibri" w:hAnsi="Arial" w:cs="Arial"/>
          <w:sz w:val="24"/>
          <w:szCs w:val="24"/>
          <w:lang w:bidi="ar"/>
        </w:rPr>
        <w:t xml:space="preserve">The risk of bias </w:t>
      </w:r>
      <w:r>
        <w:rPr>
          <w:rFonts w:ascii="Arial" w:eastAsia="Calibri" w:hAnsi="Arial" w:cs="Arial"/>
          <w:sz w:val="24"/>
          <w:szCs w:val="24"/>
          <w:lang w:bidi="ar"/>
        </w:rPr>
        <w:t>related to</w:t>
      </w:r>
      <w:r w:rsidRPr="00400757">
        <w:rPr>
          <w:rFonts w:ascii="Arial" w:eastAsia="Calibri" w:hAnsi="Arial" w:cs="Arial"/>
          <w:sz w:val="24"/>
          <w:szCs w:val="24"/>
          <w:lang w:bidi="ar"/>
        </w:rPr>
        <w:t xml:space="preserve"> </w:t>
      </w:r>
      <w:r>
        <w:rPr>
          <w:rFonts w:ascii="Arial" w:eastAsia="Calibri" w:hAnsi="Arial" w:cs="Arial"/>
          <w:sz w:val="24"/>
          <w:szCs w:val="24"/>
          <w:lang w:bidi="ar"/>
        </w:rPr>
        <w:t>protocol deviations was not found, risk of bias due to missing outcome data was found in 3 studies</w:t>
      </w:r>
      <w:r w:rsidRPr="00B04737">
        <w:rPr>
          <w:rFonts w:ascii="Arial" w:eastAsia="Calibri" w:hAnsi="Arial" w:cs="Arial"/>
          <w:sz w:val="24"/>
          <w:szCs w:val="24"/>
          <w:vertAlign w:val="superscript"/>
          <w:lang w:bidi="ar"/>
        </w:rPr>
        <w:t>12</w:t>
      </w:r>
      <w:r>
        <w:rPr>
          <w:rFonts w:ascii="Arial" w:eastAsia="Calibri" w:hAnsi="Arial" w:cs="Arial"/>
          <w:sz w:val="24"/>
          <w:szCs w:val="24"/>
          <w:vertAlign w:val="superscript"/>
          <w:lang w:bidi="ar"/>
        </w:rPr>
        <w:t>,13,17,</w:t>
      </w:r>
      <w:r>
        <w:rPr>
          <w:rFonts w:ascii="Arial" w:eastAsia="Calibri" w:hAnsi="Arial" w:cs="Arial"/>
          <w:sz w:val="24"/>
          <w:szCs w:val="24"/>
          <w:lang w:bidi="ar"/>
        </w:rPr>
        <w:t xml:space="preserve"> and risk of bias due to measurement of outcome and selective reporting of outcomes was found in one study. </w:t>
      </w:r>
      <w:r>
        <w:rPr>
          <w:rFonts w:ascii="Arial" w:eastAsia="Calibri" w:hAnsi="Arial" w:cs="Arial"/>
          <w:sz w:val="24"/>
          <w:szCs w:val="24"/>
          <w:vertAlign w:val="superscript"/>
          <w:lang w:bidi="ar"/>
        </w:rPr>
        <w:t>13,</w:t>
      </w:r>
    </w:p>
    <w:p w14:paraId="0800BFC0" w14:textId="77777777" w:rsidR="00152D5A" w:rsidRDefault="00152D5A" w:rsidP="00152D5A">
      <w:pPr>
        <w:spacing w:line="276" w:lineRule="auto"/>
        <w:jc w:val="both"/>
        <w:rPr>
          <w:rFonts w:ascii="Arial" w:eastAsia="Calibri" w:hAnsi="Arial" w:cs="Arial"/>
          <w:b/>
          <w:bCs/>
          <w:sz w:val="24"/>
          <w:szCs w:val="24"/>
          <w:lang w:bidi="ar"/>
        </w:rPr>
      </w:pPr>
    </w:p>
    <w:p w14:paraId="1FC8E691" w14:textId="77777777" w:rsidR="00152D5A" w:rsidRDefault="00152D5A" w:rsidP="00152D5A">
      <w:pPr>
        <w:spacing w:line="276" w:lineRule="auto"/>
        <w:jc w:val="both"/>
        <w:rPr>
          <w:rFonts w:ascii="Arial" w:eastAsia="Calibri" w:hAnsi="Arial" w:cs="Arial"/>
          <w:b/>
          <w:bCs/>
          <w:sz w:val="24"/>
          <w:szCs w:val="24"/>
          <w:lang w:bidi="ar"/>
        </w:rPr>
      </w:pPr>
    </w:p>
    <w:p w14:paraId="79421CE4" w14:textId="77777777" w:rsidR="00152D5A" w:rsidRDefault="00152D5A" w:rsidP="00152D5A">
      <w:pPr>
        <w:spacing w:line="276" w:lineRule="auto"/>
        <w:jc w:val="both"/>
        <w:rPr>
          <w:rFonts w:ascii="Arial" w:eastAsia="Calibri" w:hAnsi="Arial" w:cs="Arial"/>
          <w:b/>
          <w:bCs/>
          <w:sz w:val="24"/>
          <w:szCs w:val="24"/>
          <w:lang w:bidi="ar"/>
        </w:rPr>
      </w:pPr>
    </w:p>
    <w:p w14:paraId="785B5D52" w14:textId="77777777" w:rsidR="00152D5A" w:rsidRDefault="00152D5A" w:rsidP="00152D5A">
      <w:pPr>
        <w:spacing w:line="276" w:lineRule="auto"/>
        <w:jc w:val="both"/>
        <w:rPr>
          <w:rFonts w:ascii="Arial" w:hAnsi="Arial" w:cs="Arial"/>
          <w:b/>
          <w:bCs/>
          <w:sz w:val="24"/>
          <w:szCs w:val="24"/>
        </w:rPr>
      </w:pPr>
      <w:r>
        <w:rPr>
          <w:rFonts w:ascii="Arial" w:eastAsia="Calibri" w:hAnsi="Arial" w:cs="Arial"/>
          <w:b/>
          <w:bCs/>
          <w:sz w:val="24"/>
          <w:szCs w:val="24"/>
          <w:lang w:bidi="ar"/>
        </w:rPr>
        <w:t>Effectiveness of parent and adolescent dyadic interventions on the initiation of second dose by time and gender with study by Ma et al included.</w:t>
      </w:r>
    </w:p>
    <w:p w14:paraId="641814CA" w14:textId="77777777" w:rsidR="00152D5A" w:rsidRDefault="00152D5A" w:rsidP="00152D5A">
      <w:pPr>
        <w:spacing w:line="276" w:lineRule="auto"/>
        <w:jc w:val="both"/>
        <w:rPr>
          <w:rFonts w:ascii="Arial" w:hAnsi="Arial" w:cs="Arial"/>
          <w:sz w:val="24"/>
          <w:szCs w:val="24"/>
        </w:rPr>
      </w:pPr>
    </w:p>
    <w:p w14:paraId="0AE268EC" w14:textId="77777777" w:rsidR="00152D5A" w:rsidRDefault="00152D5A" w:rsidP="00152D5A">
      <w:pPr>
        <w:spacing w:line="276" w:lineRule="auto"/>
        <w:jc w:val="both"/>
        <w:rPr>
          <w:rFonts w:ascii="Arial" w:hAnsi="Arial" w:cs="Arial"/>
          <w:b/>
          <w:bCs/>
          <w:sz w:val="24"/>
          <w:szCs w:val="24"/>
        </w:rPr>
      </w:pPr>
      <w:r>
        <w:rPr>
          <w:rFonts w:ascii="Arial" w:eastAsia="Calibri" w:hAnsi="Arial" w:cs="Arial"/>
          <w:sz w:val="24"/>
          <w:szCs w:val="24"/>
          <w:lang w:bidi="ar"/>
        </w:rPr>
        <w:t xml:space="preserve">Considering the gender-specific impact of interventions on the initiation of the second dose of the HPV vaccine, the data suggests a variation in effect sizes over time (Figure 3). At 6 months, females showed a greater, though not statistically significant, inclination towards vaccine uptake with an odds ratio (OR) of 1.16 (95% CI: 0.56, 2.38) as compared to males. By the 12-month benchmark, there was a slight but statistically significant increase in vaccine uptake among females (OR: 1.10, 95% CI: 1.02 to 1.19) as compared to males. </w:t>
      </w:r>
      <w:r>
        <w:rPr>
          <w:rFonts w:ascii="Arial" w:eastAsia="Calibri" w:hAnsi="Arial" w:cs="Arial"/>
          <w:sz w:val="24"/>
          <w:szCs w:val="24"/>
          <w:lang w:bidi="ar"/>
        </w:rPr>
        <w:lastRenderedPageBreak/>
        <w:t>When considering the overall pooled effect size, the combined OR was 1.03 (95% CI: 0.83, 1.27), reflecting a negligible overall effect with no significant difference in the initiation of the second dose across both genders and all time points. This suggests that while there were initial indications of effectiveness, particularly at the 12-month milestone, these did not translate into a statistically significant increase in uptake when considering the overall timeframe and gender combined.</w:t>
      </w:r>
    </w:p>
    <w:p w14:paraId="2ADFC98D" w14:textId="77777777" w:rsidR="00152D5A" w:rsidRDefault="00152D5A" w:rsidP="00152D5A">
      <w:pPr>
        <w:spacing w:line="276" w:lineRule="auto"/>
        <w:jc w:val="both"/>
        <w:rPr>
          <w:rFonts w:ascii="Arial" w:hAnsi="Arial" w:cs="Arial"/>
          <w:sz w:val="24"/>
          <w:szCs w:val="24"/>
        </w:rPr>
      </w:pPr>
    </w:p>
    <w:p w14:paraId="6643F951" w14:textId="77777777" w:rsidR="00152D5A" w:rsidRDefault="00152D5A" w:rsidP="00152D5A">
      <w:pPr>
        <w:spacing w:line="276" w:lineRule="auto"/>
        <w:jc w:val="both"/>
        <w:rPr>
          <w:rFonts w:ascii="Arial" w:hAnsi="Arial" w:cs="Arial"/>
          <w:i/>
          <w:sz w:val="24"/>
          <w:szCs w:val="24"/>
        </w:rPr>
      </w:pPr>
      <w:r>
        <w:rPr>
          <w:rFonts w:ascii="Arial" w:eastAsia="Calibri" w:hAnsi="Arial" w:cs="Arial"/>
          <w:noProof/>
          <w:sz w:val="24"/>
          <w:szCs w:val="24"/>
          <w:lang w:eastAsia="en-ZA" w:bidi="ar-SA"/>
        </w:rPr>
        <w:drawing>
          <wp:inline distT="0" distB="0" distL="0" distR="0" wp14:anchorId="1258C567" wp14:editId="7299BA2F">
            <wp:extent cx="5274310" cy="3477895"/>
            <wp:effectExtent l="0" t="0" r="2540" b="8255"/>
            <wp:docPr id="555554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3799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477895"/>
                    </a:xfrm>
                    <a:prstGeom prst="rect">
                      <a:avLst/>
                    </a:prstGeom>
                    <a:noFill/>
                    <a:ln>
                      <a:noFill/>
                    </a:ln>
                  </pic:spPr>
                </pic:pic>
              </a:graphicData>
            </a:graphic>
          </wp:inline>
        </w:drawing>
      </w:r>
    </w:p>
    <w:p w14:paraId="58C0831F" w14:textId="77777777" w:rsidR="00152D5A" w:rsidRDefault="00152D5A" w:rsidP="00152D5A">
      <w:pPr>
        <w:spacing w:line="276" w:lineRule="auto"/>
        <w:jc w:val="both"/>
        <w:rPr>
          <w:rFonts w:ascii="Arial" w:hAnsi="Arial" w:cs="Arial"/>
          <w:b/>
          <w:bCs/>
          <w:iCs/>
          <w:sz w:val="24"/>
          <w:szCs w:val="24"/>
        </w:rPr>
      </w:pPr>
      <w:r>
        <w:rPr>
          <w:rFonts w:ascii="Arial" w:eastAsia="Calibri" w:hAnsi="Arial" w:cs="Arial"/>
          <w:b/>
          <w:bCs/>
          <w:iCs/>
          <w:sz w:val="24"/>
          <w:szCs w:val="24"/>
          <w:lang w:bidi="ar"/>
        </w:rPr>
        <w:t>Supplementals Figure 2: Effectiveness of parent-centered or parent-adolescent dyad interventions in improving dose 2 of HPV vaccination over time and by gender.</w:t>
      </w:r>
    </w:p>
    <w:p w14:paraId="6C732F46" w14:textId="77777777" w:rsidR="00152D5A" w:rsidRDefault="00152D5A" w:rsidP="00152D5A">
      <w:pPr>
        <w:spacing w:line="276" w:lineRule="auto"/>
        <w:jc w:val="both"/>
        <w:rPr>
          <w:rFonts w:ascii="Arial" w:hAnsi="Arial" w:cs="Arial"/>
          <w:b/>
          <w:bCs/>
          <w:sz w:val="24"/>
          <w:szCs w:val="24"/>
        </w:rPr>
      </w:pPr>
      <w:r>
        <w:rPr>
          <w:rFonts w:ascii="Arial" w:eastAsia="Calibri" w:hAnsi="Arial" w:cs="Arial"/>
          <w:b/>
          <w:bCs/>
          <w:sz w:val="24"/>
          <w:szCs w:val="24"/>
          <w:lang w:bidi="ar"/>
        </w:rPr>
        <w:t>Effectiveness of parent and adolescent dyadic interventions on HPV vaccination uptake with Ma et al. included.</w:t>
      </w:r>
    </w:p>
    <w:p w14:paraId="19E989AB" w14:textId="77777777" w:rsidR="00152D5A" w:rsidRDefault="00152D5A" w:rsidP="00152D5A">
      <w:pPr>
        <w:spacing w:line="276" w:lineRule="auto"/>
        <w:jc w:val="both"/>
        <w:rPr>
          <w:rFonts w:ascii="Arial" w:hAnsi="Arial" w:cs="Arial"/>
          <w:iCs/>
          <w:sz w:val="24"/>
          <w:szCs w:val="24"/>
        </w:rPr>
      </w:pPr>
      <w:r>
        <w:rPr>
          <w:rFonts w:ascii="Arial" w:eastAsia="Calibri" w:hAnsi="Arial" w:cs="Arial"/>
          <w:b/>
          <w:bCs/>
          <w:iCs/>
          <w:sz w:val="24"/>
          <w:szCs w:val="24"/>
          <w:lang w:bidi="ar"/>
        </w:rPr>
        <w:t>Supplemental Figure 2</w:t>
      </w:r>
      <w:r>
        <w:rPr>
          <w:rFonts w:ascii="Arial" w:eastAsia="Calibri" w:hAnsi="Arial" w:cs="Arial"/>
          <w:iCs/>
          <w:sz w:val="24"/>
          <w:szCs w:val="24"/>
          <w:lang w:bidi="ar"/>
        </w:rPr>
        <w:t xml:space="preserve"> presents a forest plot that examines the differential impact of interventions on the uptake of various doses of the HPV vaccine. For the first dose, the estimated effect of the interventions is not statistically significant, with an odds ratio (OR) of 1.85 (95% CI: 0.91, 3.79). Regarding the second dose, while the OR increases to 2.32 (95% CI: 0.65, 8.28), indicating a potentially higher effect size, the wide confidence interval suggests a lack of statistical significance and considerable uncertainty. For the uptake of at least three doses, the interventions demonstrate a statistically significant effect, with an OR of 1.13 (95% CI: 1.07, 1.20), indicating a meaningful increase in vaccine completion rates. Aggregating the effect across all doses, the interventions show a consistent and statistically significant positive influence, with an overall </w:t>
      </w:r>
      <w:r>
        <w:rPr>
          <w:rFonts w:ascii="Arial" w:eastAsia="Calibri" w:hAnsi="Arial" w:cs="Arial"/>
          <w:iCs/>
          <w:sz w:val="24"/>
          <w:szCs w:val="24"/>
          <w:lang w:bidi="ar"/>
        </w:rPr>
        <w:lastRenderedPageBreak/>
        <w:t>OR of 1.14 (95% CI: 1.10, 1.18), reinforcing the efficacy of the interventions across the full course of the HPV vaccination schedule.</w:t>
      </w:r>
    </w:p>
    <w:p w14:paraId="2F5314B4" w14:textId="77777777" w:rsidR="00152D5A" w:rsidRDefault="00152D5A" w:rsidP="00152D5A">
      <w:pPr>
        <w:spacing w:line="276" w:lineRule="auto"/>
        <w:jc w:val="both"/>
        <w:rPr>
          <w:rFonts w:ascii="Arial" w:hAnsi="Arial" w:cs="Arial"/>
          <w:iCs/>
          <w:sz w:val="24"/>
          <w:szCs w:val="24"/>
        </w:rPr>
      </w:pPr>
    </w:p>
    <w:p w14:paraId="214DFDFB" w14:textId="77777777" w:rsidR="00152D5A" w:rsidRDefault="00152D5A" w:rsidP="00152D5A">
      <w:pPr>
        <w:spacing w:line="276" w:lineRule="auto"/>
        <w:jc w:val="both"/>
        <w:rPr>
          <w:rFonts w:ascii="Arial" w:hAnsi="Arial" w:cs="Arial"/>
          <w:sz w:val="24"/>
          <w:szCs w:val="24"/>
        </w:rPr>
      </w:pPr>
      <w:r>
        <w:rPr>
          <w:rFonts w:ascii="Arial" w:eastAsia="Calibri" w:hAnsi="Arial" w:cs="Arial"/>
          <w:noProof/>
          <w:sz w:val="24"/>
          <w:szCs w:val="24"/>
          <w:lang w:eastAsia="en-ZA" w:bidi="ar-SA"/>
        </w:rPr>
        <w:drawing>
          <wp:inline distT="0" distB="0" distL="0" distR="0" wp14:anchorId="0E889F01" wp14:editId="2A489BA4">
            <wp:extent cx="4960620" cy="6477000"/>
            <wp:effectExtent l="0" t="0" r="0" b="0"/>
            <wp:docPr id="13921093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6304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0620" cy="6477000"/>
                    </a:xfrm>
                    <a:prstGeom prst="rect">
                      <a:avLst/>
                    </a:prstGeom>
                    <a:noFill/>
                    <a:ln>
                      <a:noFill/>
                    </a:ln>
                  </pic:spPr>
                </pic:pic>
              </a:graphicData>
            </a:graphic>
          </wp:inline>
        </w:drawing>
      </w:r>
    </w:p>
    <w:p w14:paraId="48154FB0" w14:textId="77777777" w:rsidR="00152D5A" w:rsidRDefault="00152D5A" w:rsidP="00152D5A">
      <w:pPr>
        <w:spacing w:line="276" w:lineRule="auto"/>
        <w:jc w:val="both"/>
        <w:rPr>
          <w:rFonts w:ascii="Arial" w:hAnsi="Arial" w:cs="Arial"/>
          <w:b/>
          <w:bCs/>
          <w:iCs/>
          <w:sz w:val="24"/>
          <w:szCs w:val="24"/>
        </w:rPr>
      </w:pPr>
      <w:r>
        <w:rPr>
          <w:rFonts w:ascii="Arial" w:eastAsia="Calibri" w:hAnsi="Arial" w:cs="Arial"/>
          <w:b/>
          <w:bCs/>
          <w:iCs/>
          <w:sz w:val="24"/>
          <w:szCs w:val="24"/>
          <w:lang w:bidi="ar"/>
        </w:rPr>
        <w:t>Supplemental Figure 3: Effectiveness of parent-centered or parent-adolescent dyad interventions in improving all dose of HPV vaccination</w:t>
      </w:r>
    </w:p>
    <w:p w14:paraId="749EF40B" w14:textId="77777777" w:rsidR="00152D5A" w:rsidRDefault="00152D5A" w:rsidP="00152D5A">
      <w:pPr>
        <w:spacing w:line="276" w:lineRule="auto"/>
        <w:jc w:val="both"/>
        <w:rPr>
          <w:rFonts w:ascii="Arial" w:hAnsi="Arial" w:cs="Arial"/>
          <w:i/>
          <w:sz w:val="24"/>
          <w:szCs w:val="24"/>
        </w:rPr>
      </w:pPr>
    </w:p>
    <w:p w14:paraId="1105336C" w14:textId="77777777" w:rsidR="00152D5A" w:rsidRDefault="00152D5A" w:rsidP="00152D5A">
      <w:pPr>
        <w:spacing w:line="276" w:lineRule="auto"/>
        <w:jc w:val="both"/>
        <w:rPr>
          <w:rFonts w:ascii="Arial" w:hAnsi="Arial" w:cs="Arial"/>
          <w:b/>
          <w:sz w:val="24"/>
          <w:szCs w:val="24"/>
        </w:rPr>
      </w:pPr>
      <w:r>
        <w:rPr>
          <w:rFonts w:ascii="Arial" w:eastAsia="Calibri" w:hAnsi="Arial" w:cs="Arial"/>
          <w:b/>
          <w:sz w:val="24"/>
          <w:szCs w:val="24"/>
          <w:lang w:bidi="ar"/>
        </w:rPr>
        <w:t>Publication bias with inclusion of Ma et al. study</w:t>
      </w:r>
    </w:p>
    <w:p w14:paraId="0F927F98" w14:textId="77777777" w:rsidR="00152D5A" w:rsidRDefault="00152D5A" w:rsidP="00152D5A">
      <w:pPr>
        <w:spacing w:line="276" w:lineRule="auto"/>
        <w:jc w:val="both"/>
        <w:rPr>
          <w:rFonts w:ascii="Arial" w:hAnsi="Arial" w:cs="Arial"/>
          <w:sz w:val="24"/>
          <w:szCs w:val="24"/>
        </w:rPr>
      </w:pPr>
    </w:p>
    <w:p w14:paraId="02359708" w14:textId="77777777" w:rsidR="00152D5A" w:rsidRDefault="00152D5A" w:rsidP="00152D5A">
      <w:pPr>
        <w:spacing w:line="276" w:lineRule="auto"/>
        <w:jc w:val="both"/>
        <w:rPr>
          <w:rFonts w:ascii="Arial" w:eastAsia="Calibri" w:hAnsi="Arial" w:cs="Arial"/>
          <w:sz w:val="24"/>
          <w:szCs w:val="24"/>
          <w:lang w:bidi="ar"/>
        </w:rPr>
      </w:pPr>
      <w:r>
        <w:rPr>
          <w:rFonts w:ascii="Arial" w:eastAsia="Calibri" w:hAnsi="Arial" w:cs="Arial"/>
          <w:sz w:val="24"/>
          <w:szCs w:val="24"/>
          <w:lang w:bidi="ar"/>
        </w:rPr>
        <w:lastRenderedPageBreak/>
        <w:t xml:space="preserve">The Galbraith and L'Abbé plots, illustrated in </w:t>
      </w:r>
      <w:r>
        <w:rPr>
          <w:rFonts w:ascii="Arial" w:eastAsia="Calibri" w:hAnsi="Arial" w:cs="Arial"/>
          <w:b/>
          <w:bCs/>
          <w:sz w:val="24"/>
          <w:szCs w:val="24"/>
          <w:lang w:bidi="ar"/>
        </w:rPr>
        <w:t>Supplemental figures 4 and 5</w:t>
      </w:r>
      <w:r>
        <w:rPr>
          <w:rFonts w:ascii="Arial" w:eastAsia="Calibri" w:hAnsi="Arial" w:cs="Arial"/>
          <w:sz w:val="24"/>
          <w:szCs w:val="24"/>
          <w:lang w:bidi="ar"/>
        </w:rPr>
        <w:t>, have been instrumental in evaluating heterogeneity and potential biases and thus exclusion of some studies for sensitivity analysis. The Galbraith plot for (</w:t>
      </w:r>
      <w:r>
        <w:rPr>
          <w:rFonts w:ascii="Arial" w:eastAsia="Calibri" w:hAnsi="Arial" w:cs="Arial"/>
          <w:b/>
          <w:bCs/>
          <w:sz w:val="24"/>
          <w:szCs w:val="24"/>
          <w:lang w:bidi="ar"/>
        </w:rPr>
        <w:t>Supplemental figure</w:t>
      </w:r>
      <w:r>
        <w:rPr>
          <w:rFonts w:ascii="Arial" w:eastAsia="Calibri" w:hAnsi="Arial" w:cs="Arial"/>
          <w:sz w:val="24"/>
          <w:szCs w:val="24"/>
          <w:lang w:bidi="ar"/>
        </w:rPr>
        <w:t xml:space="preserve"> </w:t>
      </w:r>
      <w:r>
        <w:rPr>
          <w:rFonts w:ascii="Arial" w:eastAsia="Calibri" w:hAnsi="Arial" w:cs="Arial"/>
          <w:b/>
          <w:bCs/>
          <w:sz w:val="24"/>
          <w:szCs w:val="24"/>
          <w:lang w:bidi="ar"/>
        </w:rPr>
        <w:t>4</w:t>
      </w:r>
      <w:r>
        <w:rPr>
          <w:rFonts w:ascii="Arial" w:eastAsia="Calibri" w:hAnsi="Arial" w:cs="Arial"/>
          <w:sz w:val="24"/>
          <w:szCs w:val="24"/>
          <w:lang w:bidi="ar"/>
        </w:rPr>
        <w:t>) reveals that studies with higher precision tend to report larger effect sizes, suggesting heterogeneity and potential small-study effects that could indicate publication bias or systematic methodological variances. Complementing this, the L'Abbé plot for the first dose and all doses combined (</w:t>
      </w:r>
      <w:r>
        <w:rPr>
          <w:rFonts w:ascii="Arial" w:eastAsia="Calibri" w:hAnsi="Arial" w:cs="Arial"/>
          <w:b/>
          <w:bCs/>
          <w:sz w:val="24"/>
          <w:szCs w:val="24"/>
          <w:lang w:bidi="ar"/>
        </w:rPr>
        <w:t>Supplemental figure 5</w:t>
      </w:r>
      <w:r>
        <w:rPr>
          <w:rFonts w:ascii="Arial" w:eastAsia="Calibri" w:hAnsi="Arial" w:cs="Arial"/>
          <w:sz w:val="24"/>
          <w:szCs w:val="24"/>
          <w:lang w:bidi="ar"/>
        </w:rPr>
        <w:t>) displays variability in study outcomes, with a general positive consensus on the intervention's effect, yet individual study results vary. This variability may be attributed to differences in study design, population, and intervention strategies, highlighting the significance of individual study contexts in the synthesis of meta-analytic findings. Together, these plots underscore the complexity of drawing conclusions from pooled data and the importance of a nuanced interpretation that considers both the collective trends and the individual study characteristics.</w:t>
      </w:r>
    </w:p>
    <w:p w14:paraId="5CEFB2D8" w14:textId="77777777" w:rsidR="00152D5A" w:rsidRPr="00B563A8" w:rsidRDefault="00152D5A" w:rsidP="00152D5A">
      <w:pPr>
        <w:spacing w:line="276" w:lineRule="auto"/>
        <w:jc w:val="both"/>
        <w:rPr>
          <w:rFonts w:ascii="Arial" w:hAnsi="Arial" w:cs="Arial"/>
          <w:b/>
          <w:bCs/>
          <w:sz w:val="24"/>
          <w:szCs w:val="24"/>
        </w:rPr>
      </w:pPr>
    </w:p>
    <w:p w14:paraId="72ACF75D" w14:textId="77777777" w:rsidR="00152D5A" w:rsidRDefault="00152D5A" w:rsidP="00152D5A">
      <w:pPr>
        <w:spacing w:line="276" w:lineRule="auto"/>
        <w:jc w:val="both"/>
        <w:rPr>
          <w:rFonts w:ascii="Arial" w:hAnsi="Arial" w:cs="Arial"/>
          <w:b/>
          <w:bCs/>
          <w:color w:val="222222"/>
          <w:sz w:val="24"/>
          <w:szCs w:val="24"/>
          <w:shd w:val="clear" w:color="auto" w:fill="FFFFFF"/>
        </w:rPr>
      </w:pPr>
      <w:r>
        <w:rPr>
          <w:rFonts w:ascii="Arial" w:eastAsia="Calibri" w:hAnsi="Arial" w:cs="Arial"/>
          <w:b/>
          <w:bCs/>
          <w:color w:val="222222"/>
          <w:sz w:val="24"/>
          <w:szCs w:val="24"/>
          <w:shd w:val="clear" w:color="auto" w:fill="FFFFFF"/>
          <w:lang w:bidi="ar"/>
        </w:rPr>
        <w:t xml:space="preserve">Supplemental figures </w:t>
      </w:r>
    </w:p>
    <w:p w14:paraId="709A9508" w14:textId="77777777" w:rsidR="00152D5A" w:rsidRDefault="00152D5A" w:rsidP="00152D5A">
      <w:pPr>
        <w:spacing w:line="276" w:lineRule="auto"/>
        <w:jc w:val="both"/>
        <w:rPr>
          <w:rFonts w:ascii="Arial" w:hAnsi="Arial" w:cs="Arial"/>
          <w:color w:val="222222"/>
          <w:sz w:val="24"/>
          <w:szCs w:val="24"/>
          <w:shd w:val="clear" w:color="auto" w:fill="FFFFFF"/>
        </w:rPr>
      </w:pPr>
    </w:p>
    <w:p w14:paraId="7554439F" w14:textId="77777777" w:rsidR="00152D5A" w:rsidRDefault="00152D5A" w:rsidP="00152D5A">
      <w:pPr>
        <w:spacing w:line="276" w:lineRule="auto"/>
        <w:jc w:val="both"/>
        <w:rPr>
          <w:rFonts w:ascii="Arial" w:hAnsi="Arial" w:cs="Arial"/>
          <w:sz w:val="24"/>
          <w:szCs w:val="24"/>
        </w:rPr>
      </w:pPr>
    </w:p>
    <w:p w14:paraId="3CB3245F" w14:textId="77777777" w:rsidR="00152D5A" w:rsidRDefault="00152D5A" w:rsidP="00152D5A">
      <w:pPr>
        <w:spacing w:line="276" w:lineRule="auto"/>
        <w:jc w:val="both"/>
        <w:rPr>
          <w:rFonts w:ascii="Arial" w:hAnsi="Arial" w:cs="Arial"/>
          <w:sz w:val="24"/>
          <w:szCs w:val="24"/>
        </w:rPr>
      </w:pPr>
    </w:p>
    <w:p w14:paraId="3F8722DC" w14:textId="77777777" w:rsidR="00152D5A" w:rsidRDefault="00152D5A" w:rsidP="00152D5A">
      <w:pPr>
        <w:spacing w:line="276" w:lineRule="auto"/>
        <w:jc w:val="both"/>
        <w:rPr>
          <w:rFonts w:ascii="Arial" w:hAnsi="Arial" w:cs="Arial"/>
          <w:sz w:val="24"/>
          <w:szCs w:val="24"/>
        </w:rPr>
      </w:pPr>
      <w:r>
        <w:rPr>
          <w:rFonts w:ascii="Arial" w:eastAsia="Calibri" w:hAnsi="Arial" w:cs="Arial"/>
          <w:noProof/>
          <w:sz w:val="24"/>
          <w:szCs w:val="24"/>
          <w:lang w:eastAsia="en-ZA" w:bidi="ar-SA"/>
        </w:rPr>
        <w:drawing>
          <wp:inline distT="0" distB="0" distL="0" distR="0" wp14:anchorId="3E87B7D9" wp14:editId="77A4CE6E">
            <wp:extent cx="5273040" cy="3162300"/>
            <wp:effectExtent l="0" t="0" r="3810" b="0"/>
            <wp:docPr id="1366639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78658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040" cy="3162300"/>
                    </a:xfrm>
                    <a:prstGeom prst="rect">
                      <a:avLst/>
                    </a:prstGeom>
                    <a:noFill/>
                    <a:ln>
                      <a:noFill/>
                    </a:ln>
                  </pic:spPr>
                </pic:pic>
              </a:graphicData>
            </a:graphic>
          </wp:inline>
        </w:drawing>
      </w:r>
    </w:p>
    <w:p w14:paraId="3E511D4D" w14:textId="77777777" w:rsidR="00152D5A" w:rsidRDefault="00152D5A" w:rsidP="00152D5A">
      <w:pPr>
        <w:spacing w:line="276" w:lineRule="auto"/>
        <w:jc w:val="both"/>
        <w:rPr>
          <w:rFonts w:ascii="Arial" w:hAnsi="Arial" w:cs="Arial"/>
          <w:b/>
          <w:bCs/>
          <w:iCs/>
          <w:sz w:val="24"/>
          <w:szCs w:val="24"/>
        </w:rPr>
      </w:pPr>
      <w:r>
        <w:rPr>
          <w:rFonts w:ascii="Arial" w:eastAsia="Calibri" w:hAnsi="Arial" w:cs="Arial"/>
          <w:b/>
          <w:bCs/>
          <w:iCs/>
          <w:sz w:val="24"/>
          <w:szCs w:val="24"/>
          <w:lang w:bidi="ar"/>
        </w:rPr>
        <w:t>Supplemental Figure 4</w:t>
      </w:r>
      <w:r>
        <w:rPr>
          <w:rFonts w:ascii="Arial" w:eastAsia="Calibri" w:hAnsi="Arial" w:cs="Arial"/>
          <w:i/>
          <w:sz w:val="24"/>
          <w:szCs w:val="24"/>
          <w:lang w:bidi="ar"/>
        </w:rPr>
        <w:t xml:space="preserve">: </w:t>
      </w:r>
      <w:r>
        <w:rPr>
          <w:rFonts w:ascii="Arial" w:eastAsia="Calibri" w:hAnsi="Arial" w:cs="Arial"/>
          <w:b/>
          <w:bCs/>
          <w:iCs/>
          <w:sz w:val="24"/>
          <w:szCs w:val="24"/>
          <w:lang w:bidi="ar"/>
        </w:rPr>
        <w:t>Galbraith plot of HPV vaccination of all the doses</w:t>
      </w:r>
    </w:p>
    <w:p w14:paraId="48DDE279" w14:textId="77777777" w:rsidR="00152D5A" w:rsidRDefault="00152D5A" w:rsidP="00152D5A">
      <w:pPr>
        <w:spacing w:line="276" w:lineRule="auto"/>
        <w:jc w:val="both"/>
        <w:rPr>
          <w:rFonts w:ascii="Arial" w:hAnsi="Arial" w:cs="Arial"/>
          <w:sz w:val="24"/>
          <w:szCs w:val="24"/>
        </w:rPr>
      </w:pPr>
    </w:p>
    <w:p w14:paraId="03460B16" w14:textId="77777777" w:rsidR="00152D5A" w:rsidRDefault="00152D5A" w:rsidP="00152D5A">
      <w:pPr>
        <w:tabs>
          <w:tab w:val="left" w:pos="5820"/>
          <w:tab w:val="right" w:pos="8300"/>
        </w:tabs>
        <w:spacing w:line="276" w:lineRule="auto"/>
        <w:jc w:val="both"/>
        <w:rPr>
          <w:rFonts w:ascii="Arial" w:hAnsi="Arial" w:cs="Arial"/>
          <w:b/>
          <w:bCs/>
          <w:iCs/>
          <w:sz w:val="24"/>
          <w:szCs w:val="24"/>
        </w:rPr>
      </w:pPr>
      <w:r>
        <w:rPr>
          <w:rFonts w:ascii="Arial" w:eastAsia="Calibri" w:hAnsi="Arial" w:cs="Arial"/>
          <w:b/>
          <w:bCs/>
          <w:iCs/>
          <w:sz w:val="24"/>
          <w:szCs w:val="24"/>
          <w:lang w:bidi="ar"/>
        </w:rPr>
        <w:tab/>
      </w:r>
      <w:r>
        <w:rPr>
          <w:rFonts w:ascii="Arial" w:eastAsia="Calibri" w:hAnsi="Arial" w:cs="Arial"/>
          <w:b/>
          <w:bCs/>
          <w:iCs/>
          <w:sz w:val="24"/>
          <w:szCs w:val="24"/>
          <w:lang w:bidi="ar"/>
        </w:rPr>
        <w:tab/>
      </w:r>
    </w:p>
    <w:p w14:paraId="3123F747" w14:textId="77777777" w:rsidR="00152D5A" w:rsidRDefault="00152D5A" w:rsidP="00152D5A">
      <w:pPr>
        <w:spacing w:line="276" w:lineRule="auto"/>
        <w:jc w:val="both"/>
        <w:rPr>
          <w:rFonts w:ascii="Arial" w:hAnsi="Arial" w:cs="Arial"/>
          <w:sz w:val="24"/>
          <w:szCs w:val="24"/>
        </w:rPr>
      </w:pPr>
    </w:p>
    <w:p w14:paraId="4BD21FAF" w14:textId="77777777" w:rsidR="00152D5A" w:rsidRDefault="00152D5A" w:rsidP="00152D5A">
      <w:pPr>
        <w:spacing w:line="276" w:lineRule="auto"/>
        <w:jc w:val="both"/>
        <w:rPr>
          <w:rFonts w:ascii="Arial" w:hAnsi="Arial" w:cs="Arial"/>
          <w:sz w:val="24"/>
          <w:szCs w:val="24"/>
        </w:rPr>
      </w:pPr>
      <w:r>
        <w:rPr>
          <w:rFonts w:ascii="Arial" w:eastAsia="Calibri" w:hAnsi="Arial" w:cs="Arial"/>
          <w:noProof/>
          <w:sz w:val="24"/>
          <w:szCs w:val="24"/>
          <w:lang w:eastAsia="en-ZA" w:bidi="ar-SA"/>
        </w:rPr>
        <w:drawing>
          <wp:inline distT="0" distB="0" distL="0" distR="0" wp14:anchorId="0890408F" wp14:editId="21096553">
            <wp:extent cx="5273040" cy="3162300"/>
            <wp:effectExtent l="0" t="0" r="3810" b="0"/>
            <wp:docPr id="1235773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0655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040" cy="3162300"/>
                    </a:xfrm>
                    <a:prstGeom prst="rect">
                      <a:avLst/>
                    </a:prstGeom>
                    <a:noFill/>
                    <a:ln>
                      <a:noFill/>
                    </a:ln>
                  </pic:spPr>
                </pic:pic>
              </a:graphicData>
            </a:graphic>
          </wp:inline>
        </w:drawing>
      </w:r>
    </w:p>
    <w:p w14:paraId="57165297" w14:textId="77777777" w:rsidR="00152D5A" w:rsidRDefault="00152D5A" w:rsidP="00152D5A">
      <w:pPr>
        <w:spacing w:line="276" w:lineRule="auto"/>
        <w:jc w:val="both"/>
        <w:rPr>
          <w:rFonts w:ascii="Arial" w:hAnsi="Arial" w:cs="Arial"/>
          <w:b/>
          <w:bCs/>
          <w:iCs/>
          <w:sz w:val="24"/>
          <w:szCs w:val="24"/>
        </w:rPr>
      </w:pPr>
      <w:r>
        <w:rPr>
          <w:rFonts w:ascii="Arial" w:eastAsia="Calibri" w:hAnsi="Arial" w:cs="Arial"/>
          <w:b/>
          <w:bCs/>
          <w:iCs/>
          <w:sz w:val="24"/>
          <w:szCs w:val="24"/>
          <w:lang w:bidi="ar"/>
        </w:rPr>
        <w:t>Supplemental Figure 5: Abbe plot of HPV vaccination of all the doses</w:t>
      </w:r>
    </w:p>
    <w:p w14:paraId="0E6B58C7" w14:textId="77777777" w:rsidR="00152D5A" w:rsidRDefault="00152D5A" w:rsidP="00152D5A">
      <w:pPr>
        <w:spacing w:line="276" w:lineRule="auto"/>
        <w:jc w:val="both"/>
        <w:rPr>
          <w:rFonts w:ascii="Arial" w:hAnsi="Arial" w:cs="Arial"/>
          <w:sz w:val="24"/>
          <w:szCs w:val="24"/>
        </w:rPr>
      </w:pPr>
      <w:r>
        <w:rPr>
          <w:rFonts w:ascii="Arial" w:eastAsia="Calibri" w:hAnsi="Arial" w:cs="Arial"/>
          <w:sz w:val="24"/>
          <w:szCs w:val="24"/>
          <w:lang w:bidi="ar"/>
        </w:rPr>
        <w:br/>
      </w:r>
    </w:p>
    <w:p w14:paraId="47398FAD" w14:textId="77777777" w:rsidR="00152D5A" w:rsidRDefault="00152D5A" w:rsidP="00152D5A">
      <w:pPr>
        <w:pStyle w:val="msolistparagraph0"/>
        <w:spacing w:line="276" w:lineRule="auto"/>
        <w:jc w:val="both"/>
        <w:rPr>
          <w:rFonts w:ascii="Arial" w:hAnsi="Arial" w:cs="Arial" w:hint="default"/>
          <w:color w:val="222222"/>
          <w:sz w:val="24"/>
          <w:szCs w:val="24"/>
          <w:shd w:val="clear" w:color="auto" w:fill="FFFFFF"/>
        </w:rPr>
      </w:pPr>
    </w:p>
    <w:p w14:paraId="0649C155" w14:textId="77777777" w:rsidR="00152D5A" w:rsidRDefault="00152D5A" w:rsidP="00152D5A">
      <w:pPr>
        <w:tabs>
          <w:tab w:val="left" w:pos="1020"/>
        </w:tabs>
        <w:spacing w:line="276" w:lineRule="auto"/>
        <w:jc w:val="both"/>
        <w:rPr>
          <w:rFonts w:ascii="Arial" w:hAnsi="Arial" w:cs="Arial"/>
          <w:sz w:val="24"/>
          <w:szCs w:val="24"/>
        </w:rPr>
      </w:pPr>
    </w:p>
    <w:p w14:paraId="568A996B" w14:textId="77777777" w:rsidR="00152D5A" w:rsidRDefault="00152D5A" w:rsidP="00152D5A"/>
    <w:p w14:paraId="1E2C78E9" w14:textId="77777777" w:rsidR="00152D5A" w:rsidRPr="00181F26" w:rsidRDefault="00152D5A" w:rsidP="00152D5A"/>
    <w:p w14:paraId="16033D40" w14:textId="77777777" w:rsidR="00755780" w:rsidRDefault="00755780"/>
    <w:sectPr w:rsidR="00755780" w:rsidSect="00152D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5A"/>
    <w:rsid w:val="00152D5A"/>
    <w:rsid w:val="00331A6B"/>
    <w:rsid w:val="00755780"/>
    <w:rsid w:val="00756AA9"/>
    <w:rsid w:val="0085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74EF"/>
  <w15:chartTrackingRefBased/>
  <w15:docId w15:val="{BAEDF9F1-4787-464C-B59F-20978400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D5A"/>
    <w:rPr>
      <w:lang w:val="en-ZA" w:bidi="he-IL"/>
    </w:rPr>
  </w:style>
  <w:style w:type="paragraph" w:styleId="Heading1">
    <w:name w:val="heading 1"/>
    <w:basedOn w:val="Normal"/>
    <w:next w:val="Normal"/>
    <w:link w:val="Heading1Char"/>
    <w:uiPriority w:val="9"/>
    <w:qFormat/>
    <w:rsid w:val="00152D5A"/>
    <w:pPr>
      <w:keepNext/>
      <w:keepLines/>
      <w:spacing w:before="360" w:after="80"/>
      <w:outlineLvl w:val="0"/>
    </w:pPr>
    <w:rPr>
      <w:rFonts w:asciiTheme="majorHAnsi" w:eastAsiaTheme="majorEastAsia" w:hAnsiTheme="majorHAnsi" w:cstheme="majorBidi"/>
      <w:color w:val="0F4761" w:themeColor="accent1" w:themeShade="BF"/>
      <w:sz w:val="40"/>
      <w:szCs w:val="40"/>
      <w:lang w:val="en-US" w:bidi="ar-SA"/>
    </w:rPr>
  </w:style>
  <w:style w:type="paragraph" w:styleId="Heading2">
    <w:name w:val="heading 2"/>
    <w:basedOn w:val="Normal"/>
    <w:next w:val="Normal"/>
    <w:link w:val="Heading2Char"/>
    <w:uiPriority w:val="9"/>
    <w:semiHidden/>
    <w:unhideWhenUsed/>
    <w:qFormat/>
    <w:rsid w:val="00152D5A"/>
    <w:pPr>
      <w:keepNext/>
      <w:keepLines/>
      <w:spacing w:before="160" w:after="80"/>
      <w:outlineLvl w:val="1"/>
    </w:pPr>
    <w:rPr>
      <w:rFonts w:asciiTheme="majorHAnsi" w:eastAsiaTheme="majorEastAsia" w:hAnsiTheme="majorHAnsi" w:cstheme="majorBidi"/>
      <w:color w:val="0F4761" w:themeColor="accent1" w:themeShade="BF"/>
      <w:sz w:val="32"/>
      <w:szCs w:val="32"/>
      <w:lang w:val="en-US" w:bidi="ar-SA"/>
    </w:rPr>
  </w:style>
  <w:style w:type="paragraph" w:styleId="Heading3">
    <w:name w:val="heading 3"/>
    <w:basedOn w:val="Normal"/>
    <w:next w:val="Normal"/>
    <w:link w:val="Heading3Char"/>
    <w:uiPriority w:val="9"/>
    <w:semiHidden/>
    <w:unhideWhenUsed/>
    <w:qFormat/>
    <w:rsid w:val="00152D5A"/>
    <w:pPr>
      <w:keepNext/>
      <w:keepLines/>
      <w:spacing w:before="160" w:after="80"/>
      <w:outlineLvl w:val="2"/>
    </w:pPr>
    <w:rPr>
      <w:rFonts w:eastAsiaTheme="majorEastAsia" w:cstheme="majorBidi"/>
      <w:color w:val="0F4761" w:themeColor="accent1" w:themeShade="BF"/>
      <w:sz w:val="28"/>
      <w:szCs w:val="28"/>
      <w:lang w:val="en-US" w:bidi="ar-SA"/>
    </w:rPr>
  </w:style>
  <w:style w:type="paragraph" w:styleId="Heading4">
    <w:name w:val="heading 4"/>
    <w:basedOn w:val="Normal"/>
    <w:next w:val="Normal"/>
    <w:link w:val="Heading4Char"/>
    <w:uiPriority w:val="9"/>
    <w:semiHidden/>
    <w:unhideWhenUsed/>
    <w:qFormat/>
    <w:rsid w:val="00152D5A"/>
    <w:pPr>
      <w:keepNext/>
      <w:keepLines/>
      <w:spacing w:before="80" w:after="40"/>
      <w:outlineLvl w:val="3"/>
    </w:pPr>
    <w:rPr>
      <w:rFonts w:eastAsiaTheme="majorEastAsia" w:cstheme="majorBidi"/>
      <w:i/>
      <w:iCs/>
      <w:color w:val="0F4761" w:themeColor="accent1" w:themeShade="BF"/>
      <w:lang w:val="en-US" w:bidi="ar-SA"/>
    </w:rPr>
  </w:style>
  <w:style w:type="paragraph" w:styleId="Heading5">
    <w:name w:val="heading 5"/>
    <w:basedOn w:val="Normal"/>
    <w:next w:val="Normal"/>
    <w:link w:val="Heading5Char"/>
    <w:uiPriority w:val="9"/>
    <w:semiHidden/>
    <w:unhideWhenUsed/>
    <w:qFormat/>
    <w:rsid w:val="00152D5A"/>
    <w:pPr>
      <w:keepNext/>
      <w:keepLines/>
      <w:spacing w:before="80" w:after="40"/>
      <w:outlineLvl w:val="4"/>
    </w:pPr>
    <w:rPr>
      <w:rFonts w:eastAsiaTheme="majorEastAsia" w:cstheme="majorBidi"/>
      <w:color w:val="0F4761" w:themeColor="accent1" w:themeShade="BF"/>
      <w:lang w:val="en-US" w:bidi="ar-SA"/>
    </w:rPr>
  </w:style>
  <w:style w:type="paragraph" w:styleId="Heading6">
    <w:name w:val="heading 6"/>
    <w:basedOn w:val="Normal"/>
    <w:next w:val="Normal"/>
    <w:link w:val="Heading6Char"/>
    <w:uiPriority w:val="9"/>
    <w:semiHidden/>
    <w:unhideWhenUsed/>
    <w:qFormat/>
    <w:rsid w:val="00152D5A"/>
    <w:pPr>
      <w:keepNext/>
      <w:keepLines/>
      <w:spacing w:before="40" w:after="0"/>
      <w:outlineLvl w:val="5"/>
    </w:pPr>
    <w:rPr>
      <w:rFonts w:eastAsiaTheme="majorEastAsia" w:cstheme="majorBidi"/>
      <w:i/>
      <w:iCs/>
      <w:color w:val="595959" w:themeColor="text1" w:themeTint="A6"/>
      <w:lang w:val="en-US" w:bidi="ar-SA"/>
    </w:rPr>
  </w:style>
  <w:style w:type="paragraph" w:styleId="Heading7">
    <w:name w:val="heading 7"/>
    <w:basedOn w:val="Normal"/>
    <w:next w:val="Normal"/>
    <w:link w:val="Heading7Char"/>
    <w:uiPriority w:val="9"/>
    <w:semiHidden/>
    <w:unhideWhenUsed/>
    <w:qFormat/>
    <w:rsid w:val="00152D5A"/>
    <w:pPr>
      <w:keepNext/>
      <w:keepLines/>
      <w:spacing w:before="40" w:after="0"/>
      <w:outlineLvl w:val="6"/>
    </w:pPr>
    <w:rPr>
      <w:rFonts w:eastAsiaTheme="majorEastAsia" w:cstheme="majorBidi"/>
      <w:color w:val="595959" w:themeColor="text1" w:themeTint="A6"/>
      <w:lang w:val="en-US" w:bidi="ar-SA"/>
    </w:rPr>
  </w:style>
  <w:style w:type="paragraph" w:styleId="Heading8">
    <w:name w:val="heading 8"/>
    <w:basedOn w:val="Normal"/>
    <w:next w:val="Normal"/>
    <w:link w:val="Heading8Char"/>
    <w:uiPriority w:val="9"/>
    <w:semiHidden/>
    <w:unhideWhenUsed/>
    <w:qFormat/>
    <w:rsid w:val="00152D5A"/>
    <w:pPr>
      <w:keepNext/>
      <w:keepLines/>
      <w:spacing w:after="0"/>
      <w:outlineLvl w:val="7"/>
    </w:pPr>
    <w:rPr>
      <w:rFonts w:eastAsiaTheme="majorEastAsia" w:cstheme="majorBidi"/>
      <w:i/>
      <w:iCs/>
      <w:color w:val="272727" w:themeColor="text1" w:themeTint="D8"/>
      <w:lang w:val="en-US" w:bidi="ar-SA"/>
    </w:rPr>
  </w:style>
  <w:style w:type="paragraph" w:styleId="Heading9">
    <w:name w:val="heading 9"/>
    <w:basedOn w:val="Normal"/>
    <w:next w:val="Normal"/>
    <w:link w:val="Heading9Char"/>
    <w:uiPriority w:val="9"/>
    <w:semiHidden/>
    <w:unhideWhenUsed/>
    <w:qFormat/>
    <w:rsid w:val="00152D5A"/>
    <w:pPr>
      <w:keepNext/>
      <w:keepLines/>
      <w:spacing w:after="0"/>
      <w:outlineLvl w:val="8"/>
    </w:pPr>
    <w:rPr>
      <w:rFonts w:eastAsiaTheme="majorEastAsia" w:cstheme="majorBidi"/>
      <w:color w:val="272727" w:themeColor="text1" w:themeTint="D8"/>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D5A"/>
    <w:rPr>
      <w:rFonts w:eastAsiaTheme="majorEastAsia" w:cstheme="majorBidi"/>
      <w:color w:val="272727" w:themeColor="text1" w:themeTint="D8"/>
    </w:rPr>
  </w:style>
  <w:style w:type="paragraph" w:styleId="Title">
    <w:name w:val="Title"/>
    <w:basedOn w:val="Normal"/>
    <w:next w:val="Normal"/>
    <w:link w:val="TitleChar"/>
    <w:uiPriority w:val="10"/>
    <w:qFormat/>
    <w:rsid w:val="00152D5A"/>
    <w:pPr>
      <w:spacing w:after="80" w:line="240" w:lineRule="auto"/>
      <w:contextualSpacing/>
    </w:pPr>
    <w:rPr>
      <w:rFonts w:asciiTheme="majorHAnsi" w:eastAsiaTheme="majorEastAsia" w:hAnsiTheme="majorHAnsi" w:cstheme="majorBidi"/>
      <w:spacing w:val="-10"/>
      <w:kern w:val="28"/>
      <w:sz w:val="56"/>
      <w:szCs w:val="56"/>
      <w:lang w:val="en-US" w:bidi="ar-SA"/>
    </w:rPr>
  </w:style>
  <w:style w:type="character" w:customStyle="1" w:styleId="TitleChar">
    <w:name w:val="Title Char"/>
    <w:basedOn w:val="DefaultParagraphFont"/>
    <w:link w:val="Title"/>
    <w:uiPriority w:val="10"/>
    <w:rsid w:val="00152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D5A"/>
    <w:pPr>
      <w:numPr>
        <w:ilvl w:val="1"/>
      </w:numPr>
    </w:pPr>
    <w:rPr>
      <w:rFonts w:eastAsiaTheme="majorEastAsia" w:cstheme="majorBidi"/>
      <w:color w:val="595959" w:themeColor="text1" w:themeTint="A6"/>
      <w:spacing w:val="15"/>
      <w:sz w:val="28"/>
      <w:szCs w:val="28"/>
      <w:lang w:val="en-US" w:bidi="ar-SA"/>
    </w:rPr>
  </w:style>
  <w:style w:type="character" w:customStyle="1" w:styleId="SubtitleChar">
    <w:name w:val="Subtitle Char"/>
    <w:basedOn w:val="DefaultParagraphFont"/>
    <w:link w:val="Subtitle"/>
    <w:uiPriority w:val="11"/>
    <w:rsid w:val="00152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D5A"/>
    <w:pPr>
      <w:spacing w:before="160"/>
      <w:jc w:val="center"/>
    </w:pPr>
    <w:rPr>
      <w:i/>
      <w:iCs/>
      <w:color w:val="404040" w:themeColor="text1" w:themeTint="BF"/>
      <w:lang w:val="en-US" w:bidi="ar-SA"/>
    </w:rPr>
  </w:style>
  <w:style w:type="character" w:customStyle="1" w:styleId="QuoteChar">
    <w:name w:val="Quote Char"/>
    <w:basedOn w:val="DefaultParagraphFont"/>
    <w:link w:val="Quote"/>
    <w:uiPriority w:val="29"/>
    <w:rsid w:val="00152D5A"/>
    <w:rPr>
      <w:i/>
      <w:iCs/>
      <w:color w:val="404040" w:themeColor="text1" w:themeTint="BF"/>
    </w:rPr>
  </w:style>
  <w:style w:type="paragraph" w:styleId="ListParagraph">
    <w:name w:val="List Paragraph"/>
    <w:basedOn w:val="Normal"/>
    <w:uiPriority w:val="34"/>
    <w:qFormat/>
    <w:rsid w:val="00152D5A"/>
    <w:pPr>
      <w:ind w:left="720"/>
      <w:contextualSpacing/>
    </w:pPr>
    <w:rPr>
      <w:lang w:val="en-US" w:bidi="ar-SA"/>
    </w:rPr>
  </w:style>
  <w:style w:type="character" w:styleId="IntenseEmphasis">
    <w:name w:val="Intense Emphasis"/>
    <w:basedOn w:val="DefaultParagraphFont"/>
    <w:uiPriority w:val="21"/>
    <w:qFormat/>
    <w:rsid w:val="00152D5A"/>
    <w:rPr>
      <w:i/>
      <w:iCs/>
      <w:color w:val="0F4761" w:themeColor="accent1" w:themeShade="BF"/>
    </w:rPr>
  </w:style>
  <w:style w:type="paragraph" w:styleId="IntenseQuote">
    <w:name w:val="Intense Quote"/>
    <w:basedOn w:val="Normal"/>
    <w:next w:val="Normal"/>
    <w:link w:val="IntenseQuoteChar"/>
    <w:uiPriority w:val="30"/>
    <w:qFormat/>
    <w:rsid w:val="00152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bidi="ar-SA"/>
    </w:rPr>
  </w:style>
  <w:style w:type="character" w:customStyle="1" w:styleId="IntenseQuoteChar">
    <w:name w:val="Intense Quote Char"/>
    <w:basedOn w:val="DefaultParagraphFont"/>
    <w:link w:val="IntenseQuote"/>
    <w:uiPriority w:val="30"/>
    <w:rsid w:val="00152D5A"/>
    <w:rPr>
      <w:i/>
      <w:iCs/>
      <w:color w:val="0F4761" w:themeColor="accent1" w:themeShade="BF"/>
    </w:rPr>
  </w:style>
  <w:style w:type="character" w:styleId="IntenseReference">
    <w:name w:val="Intense Reference"/>
    <w:basedOn w:val="DefaultParagraphFont"/>
    <w:uiPriority w:val="32"/>
    <w:qFormat/>
    <w:rsid w:val="00152D5A"/>
    <w:rPr>
      <w:b/>
      <w:bCs/>
      <w:smallCaps/>
      <w:color w:val="0F4761" w:themeColor="accent1" w:themeShade="BF"/>
      <w:spacing w:val="5"/>
    </w:rPr>
  </w:style>
  <w:style w:type="paragraph" w:customStyle="1" w:styleId="msolistparagraph0">
    <w:name w:val="msolistparagraph"/>
    <w:rsid w:val="00152D5A"/>
    <w:pPr>
      <w:spacing w:line="256" w:lineRule="auto"/>
      <w:ind w:left="720"/>
      <w:contextualSpacing/>
    </w:pPr>
    <w:rPr>
      <w:rFonts w:ascii="Calibri" w:eastAsia="Calibri" w:hAnsi="Calibri" w:cs="Times New Roman" w:hint="eastAsia"/>
      <w:kern w:val="0"/>
      <w:lang w:eastAsia="zh-CN"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793</Words>
  <Characters>4522</Characters>
  <Application>Microsoft Office Word</Application>
  <DocSecurity>0</DocSecurity>
  <Lines>37</Lines>
  <Paragraphs>10</Paragraphs>
  <ScaleCrop>false</ScaleCrop>
  <Company>Springer Nature</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1</cp:revision>
  <dcterms:created xsi:type="dcterms:W3CDTF">2025-03-17T02:56:00Z</dcterms:created>
  <dcterms:modified xsi:type="dcterms:W3CDTF">2025-03-17T02:56:00Z</dcterms:modified>
</cp:coreProperties>
</file>