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5EC60" w14:textId="77777777" w:rsidR="00430017" w:rsidRPr="00430017" w:rsidRDefault="00430017" w:rsidP="00430017">
      <w:pPr>
        <w:rPr>
          <w:b/>
          <w:bCs/>
          <w:lang w:val="en-GB"/>
        </w:rPr>
      </w:pPr>
      <w:r w:rsidRPr="00430017">
        <w:rPr>
          <w:b/>
          <w:bCs/>
          <w:lang w:val="en-GB"/>
        </w:rPr>
        <w:t>Supplementary information</w:t>
      </w:r>
    </w:p>
    <w:p w14:paraId="31D9E802" w14:textId="77777777" w:rsidR="00430017" w:rsidRPr="00430017" w:rsidRDefault="00430017" w:rsidP="00430017">
      <w:pPr>
        <w:rPr>
          <w:b/>
          <w:bCs/>
          <w:lang w:val="en-GB"/>
        </w:rPr>
      </w:pPr>
    </w:p>
    <w:p w14:paraId="0FA652FF" w14:textId="1817C0E8" w:rsidR="00430017" w:rsidRPr="00430017" w:rsidRDefault="00430017" w:rsidP="00430017">
      <w:pPr>
        <w:rPr>
          <w:lang w:val="en-GB"/>
        </w:rPr>
      </w:pPr>
      <w:r w:rsidRPr="00430017">
        <w:rPr>
          <w:lang w:val="en-GB"/>
        </w:rPr>
        <w:drawing>
          <wp:inline distT="0" distB="0" distL="0" distR="0" wp14:anchorId="2E5A0DA8" wp14:editId="289C87F0">
            <wp:extent cx="5943600" cy="2058670"/>
            <wp:effectExtent l="0" t="0" r="0" b="0"/>
            <wp:docPr id="44645269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1118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058670"/>
                    </a:xfrm>
                    <a:prstGeom prst="rect">
                      <a:avLst/>
                    </a:prstGeom>
                    <a:noFill/>
                    <a:ln>
                      <a:noFill/>
                    </a:ln>
                  </pic:spPr>
                </pic:pic>
              </a:graphicData>
            </a:graphic>
          </wp:inline>
        </w:drawing>
      </w:r>
    </w:p>
    <w:p w14:paraId="7ACAB1F0" w14:textId="77777777" w:rsidR="00430017" w:rsidRPr="00430017" w:rsidRDefault="00430017" w:rsidP="00430017">
      <w:pPr>
        <w:rPr>
          <w:lang w:val="en-GB"/>
        </w:rPr>
      </w:pPr>
      <w:r w:rsidRPr="00430017">
        <w:rPr>
          <w:b/>
          <w:bCs/>
          <w:lang w:val="en-GB"/>
        </w:rPr>
        <w:t>Figure S1</w:t>
      </w:r>
      <w:r w:rsidRPr="00430017">
        <w:rPr>
          <w:lang w:val="en-GB"/>
        </w:rPr>
        <w:t xml:space="preserve"> Phenotypes observed in the F2 (LA 0750) four weeks post ToBRFV inoculation. One representative F2 plant of each phenotype [47 plants Susceptible (S), 47 plants Intermediate (I) and 6 plants Resistant (R)] after ToBRFV inoculation evaluated with disease severity index (DSI). Below each plant, the ToBRFV immunostick test result is shown, with two red lines indicating presence of ToBRFV coat protein while one red line indicates absence of coat protein. </w:t>
      </w:r>
    </w:p>
    <w:p w14:paraId="4D1931F5" w14:textId="77777777" w:rsidR="00430017" w:rsidRPr="00430017" w:rsidRDefault="00430017" w:rsidP="00430017">
      <w:pPr>
        <w:rPr>
          <w:u w:val="single"/>
          <w:lang w:val="en-GB"/>
        </w:rPr>
      </w:pPr>
    </w:p>
    <w:p w14:paraId="5A9E61E3" w14:textId="53CC9C1B" w:rsidR="00430017" w:rsidRPr="00430017" w:rsidRDefault="00430017" w:rsidP="00430017">
      <w:pPr>
        <w:rPr>
          <w:lang w:val="en-GB"/>
        </w:rPr>
      </w:pPr>
      <w:r w:rsidRPr="00430017">
        <w:rPr>
          <w:lang w:val="en-GB"/>
        </w:rPr>
        <w:lastRenderedPageBreak/>
        <w:drawing>
          <wp:inline distT="0" distB="0" distL="0" distR="0" wp14:anchorId="4FCABBAC" wp14:editId="1002BB00">
            <wp:extent cx="3790950" cy="6438900"/>
            <wp:effectExtent l="0" t="0" r="0" b="0"/>
            <wp:docPr id="146468868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90950" cy="6438900"/>
                    </a:xfrm>
                    <a:prstGeom prst="rect">
                      <a:avLst/>
                    </a:prstGeom>
                    <a:noFill/>
                    <a:ln>
                      <a:noFill/>
                    </a:ln>
                  </pic:spPr>
                </pic:pic>
              </a:graphicData>
            </a:graphic>
          </wp:inline>
        </w:drawing>
      </w:r>
    </w:p>
    <w:p w14:paraId="091E3229" w14:textId="77777777" w:rsidR="00430017" w:rsidRPr="00430017" w:rsidRDefault="00430017" w:rsidP="00430017">
      <w:pPr>
        <w:rPr>
          <w:lang w:val="en-GB"/>
        </w:rPr>
      </w:pPr>
      <w:r w:rsidRPr="00430017">
        <w:rPr>
          <w:b/>
          <w:bCs/>
          <w:lang w:val="en-GB"/>
        </w:rPr>
        <w:t>Figure S2</w:t>
      </w:r>
      <w:r w:rsidRPr="00430017">
        <w:rPr>
          <w:i/>
          <w:iCs/>
          <w:lang w:val="en-GB"/>
        </w:rPr>
        <w:t xml:space="preserve"> </w:t>
      </w:r>
      <w:r w:rsidRPr="00430017">
        <w:rPr>
          <w:lang w:val="en-GB"/>
        </w:rPr>
        <w:t>Gel image of the CAPS markers. The three bands to the right of the DNA ladder (GeneRuler 1 kb Plus DNA Ladder, ThermoFisher Scientific) represent PCR products amplified using specific primers for each locus. To the left of the 1kb+ ladder are the corresponding PCR products digested with specific restriction enzymes. Primers and restriction enzymes are provided in Table 1.</w:t>
      </w:r>
    </w:p>
    <w:p w14:paraId="66770990" w14:textId="77777777" w:rsidR="00430017" w:rsidRPr="00430017" w:rsidRDefault="00430017" w:rsidP="00430017">
      <w:pPr>
        <w:rPr>
          <w:lang w:val="en-GB"/>
        </w:rPr>
      </w:pPr>
      <w:r w:rsidRPr="00430017">
        <w:rPr>
          <w:i/>
          <w:iCs/>
          <w:lang w:val="en-GB"/>
        </w:rPr>
        <w:br w:type="page"/>
      </w:r>
    </w:p>
    <w:p w14:paraId="7FB6BBC4" w14:textId="03BD6C68" w:rsidR="00430017" w:rsidRPr="00430017" w:rsidRDefault="00430017" w:rsidP="00430017">
      <w:pPr>
        <w:rPr>
          <w:lang w:val="en-GB"/>
        </w:rPr>
      </w:pPr>
      <w:r w:rsidRPr="00430017">
        <w:rPr>
          <w:lang w:val="en-GB"/>
        </w:rPr>
        <w:lastRenderedPageBreak/>
        <w:drawing>
          <wp:inline distT="0" distB="0" distL="0" distR="0" wp14:anchorId="2F8EA6ED" wp14:editId="3BE96466">
            <wp:extent cx="2952750" cy="6877050"/>
            <wp:effectExtent l="0" t="0" r="0" b="0"/>
            <wp:docPr id="34003527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2750" cy="6877050"/>
                    </a:xfrm>
                    <a:prstGeom prst="rect">
                      <a:avLst/>
                    </a:prstGeom>
                    <a:noFill/>
                    <a:ln>
                      <a:noFill/>
                    </a:ln>
                  </pic:spPr>
                </pic:pic>
              </a:graphicData>
            </a:graphic>
          </wp:inline>
        </w:drawing>
      </w:r>
    </w:p>
    <w:p w14:paraId="204E41F8" w14:textId="77777777" w:rsidR="00430017" w:rsidRPr="00430017" w:rsidRDefault="00430017" w:rsidP="00430017">
      <w:pPr>
        <w:rPr>
          <w:lang w:val="en-GB"/>
        </w:rPr>
      </w:pPr>
      <w:r w:rsidRPr="00430017">
        <w:rPr>
          <w:b/>
          <w:bCs/>
          <w:lang w:val="en-GB"/>
        </w:rPr>
        <w:t>Figure S3</w:t>
      </w:r>
      <w:r w:rsidRPr="00430017">
        <w:rPr>
          <w:lang w:val="en-GB"/>
        </w:rPr>
        <w:t xml:space="preserve"> Distribution of F2 (LA 0716) individuals with CAPS marker in homozygous state for the MM or the </w:t>
      </w:r>
      <w:r w:rsidRPr="00430017">
        <w:rPr>
          <w:i/>
          <w:iCs/>
          <w:lang w:val="en-GB"/>
        </w:rPr>
        <w:t>S.p.</w:t>
      </w:r>
      <w:r w:rsidRPr="00430017">
        <w:rPr>
          <w:lang w:val="en-GB"/>
        </w:rPr>
        <w:t xml:space="preserve"> allele or heterozygous in five different phenotypic groups, DSI (Disease Severity Index) 0/no Coat Protein (CP) ( 0/-), DSI 0/ detected CP (0/+), DSI 1/ detected CP (1/+), DSI 2/ detected CP (2/+), and DSI 3/detected CP (3/+). </w:t>
      </w:r>
      <w:r w:rsidRPr="00430017">
        <w:rPr>
          <w:b/>
          <w:bCs/>
          <w:lang w:val="en-GB"/>
        </w:rPr>
        <w:t>A</w:t>
      </w:r>
      <w:r w:rsidRPr="00430017">
        <w:rPr>
          <w:lang w:val="en-GB"/>
        </w:rPr>
        <w:t xml:space="preserve"> CAPS marker </w:t>
      </w:r>
      <w:r w:rsidRPr="00430017">
        <w:rPr>
          <w:i/>
          <w:iCs/>
          <w:lang w:val="en-GB"/>
        </w:rPr>
        <w:t xml:space="preserve">Tm-1, </w:t>
      </w:r>
      <w:r w:rsidRPr="00430017">
        <w:rPr>
          <w:b/>
          <w:bCs/>
          <w:lang w:val="en-GB"/>
        </w:rPr>
        <w:t>B</w:t>
      </w:r>
      <w:r w:rsidRPr="00430017">
        <w:rPr>
          <w:lang w:val="en-GB"/>
        </w:rPr>
        <w:t xml:space="preserve"> CAPS marker </w:t>
      </w:r>
      <w:r w:rsidRPr="00430017">
        <w:rPr>
          <w:i/>
          <w:iCs/>
          <w:lang w:val="en-GB"/>
        </w:rPr>
        <w:t>Tm-2,</w:t>
      </w:r>
      <w:r w:rsidRPr="00430017">
        <w:rPr>
          <w:lang w:val="en-GB"/>
        </w:rPr>
        <w:t xml:space="preserve"> </w:t>
      </w:r>
      <w:r w:rsidRPr="00430017">
        <w:rPr>
          <w:b/>
          <w:bCs/>
          <w:lang w:val="en-GB"/>
        </w:rPr>
        <w:t>C</w:t>
      </w:r>
      <w:r w:rsidRPr="00430017">
        <w:rPr>
          <w:lang w:val="en-GB"/>
        </w:rPr>
        <w:t xml:space="preserve"> CAPS marker QTL.</w:t>
      </w:r>
    </w:p>
    <w:p w14:paraId="754592FE" w14:textId="77777777" w:rsidR="00430017" w:rsidRPr="00430017" w:rsidRDefault="00430017" w:rsidP="00430017">
      <w:pPr>
        <w:rPr>
          <w:lang w:val="en-GB"/>
        </w:rPr>
      </w:pPr>
    </w:p>
    <w:p w14:paraId="09251A8E" w14:textId="21159195" w:rsidR="00430017" w:rsidRPr="00430017" w:rsidRDefault="00430017" w:rsidP="00430017">
      <w:pPr>
        <w:rPr>
          <w:u w:val="single"/>
          <w:lang w:val="en-GB"/>
        </w:rPr>
      </w:pPr>
      <w:r w:rsidRPr="00430017">
        <w:rPr>
          <w:i/>
          <w:iCs/>
          <w:lang w:val="en-GB"/>
        </w:rPr>
        <w:lastRenderedPageBreak/>
        <w:drawing>
          <wp:inline distT="0" distB="0" distL="0" distR="0" wp14:anchorId="0EA6AC17" wp14:editId="55AE76EF">
            <wp:extent cx="5876925" cy="5353050"/>
            <wp:effectExtent l="0" t="0" r="9525" b="0"/>
            <wp:docPr id="5558874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r="10535" b="3348"/>
                    <a:stretch>
                      <a:fillRect/>
                    </a:stretch>
                  </pic:blipFill>
                  <pic:spPr bwMode="auto">
                    <a:xfrm>
                      <a:off x="0" y="0"/>
                      <a:ext cx="5876925" cy="5353050"/>
                    </a:xfrm>
                    <a:prstGeom prst="rect">
                      <a:avLst/>
                    </a:prstGeom>
                    <a:noFill/>
                    <a:ln>
                      <a:noFill/>
                    </a:ln>
                  </pic:spPr>
                </pic:pic>
              </a:graphicData>
            </a:graphic>
          </wp:inline>
        </w:drawing>
      </w:r>
    </w:p>
    <w:p w14:paraId="6F786BDC" w14:textId="77777777" w:rsidR="00430017" w:rsidRPr="00430017" w:rsidRDefault="00430017" w:rsidP="00430017">
      <w:pPr>
        <w:rPr>
          <w:lang w:val="en-GB"/>
        </w:rPr>
      </w:pPr>
      <w:r w:rsidRPr="00430017">
        <w:rPr>
          <w:b/>
          <w:bCs/>
          <w:lang w:val="en-GB"/>
        </w:rPr>
        <w:t>Figure S4</w:t>
      </w:r>
      <w:r w:rsidRPr="00430017">
        <w:rPr>
          <w:lang w:val="en-GB"/>
        </w:rPr>
        <w:t xml:space="preserve"> </w:t>
      </w:r>
      <w:r w:rsidRPr="00430017">
        <w:rPr>
          <w:i/>
          <w:iCs/>
          <w:lang w:val="en-GB"/>
        </w:rPr>
        <w:t xml:space="preserve"> </w:t>
      </w:r>
      <w:r w:rsidRPr="00430017">
        <w:rPr>
          <w:lang w:val="en-GB"/>
        </w:rPr>
        <w:t xml:space="preserve">Protein sequence alignment of </w:t>
      </w:r>
      <w:r w:rsidRPr="00430017">
        <w:rPr>
          <w:i/>
          <w:iCs/>
          <w:lang w:val="en-GB"/>
        </w:rPr>
        <w:t xml:space="preserve">S. pennellii </w:t>
      </w:r>
      <w:r w:rsidRPr="00430017">
        <w:rPr>
          <w:lang w:val="en-GB"/>
        </w:rPr>
        <w:t>LA 0716 Tm-2 (</w:t>
      </w:r>
      <w:r w:rsidRPr="00430017">
        <w:rPr>
          <w:i/>
          <w:iCs/>
          <w:lang w:val="en-GB"/>
        </w:rPr>
        <w:t>S.p.</w:t>
      </w:r>
      <w:r w:rsidRPr="00430017">
        <w:rPr>
          <w:lang w:val="en-GB"/>
        </w:rPr>
        <w:t xml:space="preserve"> Tm-2, Sopen09g035210), the ToMV resistance Tm-2 (</w:t>
      </w:r>
      <w:r w:rsidRPr="00430017">
        <w:rPr>
          <w:i/>
          <w:iCs/>
          <w:lang w:val="en-GB"/>
        </w:rPr>
        <w:t>S.l.</w:t>
      </w:r>
      <w:r w:rsidRPr="00430017">
        <w:rPr>
          <w:lang w:val="en-GB"/>
        </w:rPr>
        <w:t xml:space="preserve"> Tm-2, NCBI: </w:t>
      </w:r>
      <w:r w:rsidRPr="00430017">
        <w:t>AF536200</w:t>
      </w:r>
      <w:r w:rsidRPr="00430017">
        <w:rPr>
          <w:lang w:val="en-GB"/>
        </w:rPr>
        <w:t>), allelic variant Tm-2</w:t>
      </w:r>
      <w:r w:rsidRPr="00430017">
        <w:rPr>
          <w:vertAlign w:val="superscript"/>
          <w:lang w:val="en-GB"/>
        </w:rPr>
        <w:t>2</w:t>
      </w:r>
      <w:r w:rsidRPr="00430017">
        <w:rPr>
          <w:lang w:val="en-GB"/>
        </w:rPr>
        <w:t xml:space="preserve"> (</w:t>
      </w:r>
      <w:r w:rsidRPr="00430017">
        <w:rPr>
          <w:i/>
          <w:iCs/>
          <w:lang w:val="en-GB"/>
        </w:rPr>
        <w:t>S.l.</w:t>
      </w:r>
      <w:r w:rsidRPr="00430017">
        <w:rPr>
          <w:lang w:val="en-GB"/>
        </w:rPr>
        <w:t xml:space="preserve"> Tm-22, NCBI: </w:t>
      </w:r>
      <w:r w:rsidRPr="00430017">
        <w:t>AF536201</w:t>
      </w:r>
      <w:r w:rsidRPr="00430017">
        <w:rPr>
          <w:lang w:val="en-GB"/>
        </w:rPr>
        <w:t>), and the ToMV susceptible tm-2 (</w:t>
      </w:r>
      <w:r w:rsidRPr="00430017">
        <w:rPr>
          <w:i/>
          <w:iCs/>
          <w:lang w:val="en-GB"/>
        </w:rPr>
        <w:t>S.l.</w:t>
      </w:r>
      <w:r w:rsidRPr="00430017">
        <w:rPr>
          <w:lang w:val="en-GB"/>
        </w:rPr>
        <w:t xml:space="preserve"> tm-2, NCBI: </w:t>
      </w:r>
      <w:bookmarkStart w:id="0" w:name="_Hlk115787385"/>
      <w:r w:rsidRPr="00430017">
        <w:t>AF536199</w:t>
      </w:r>
      <w:bookmarkEnd w:id="0"/>
      <w:r w:rsidRPr="00430017">
        <w:rPr>
          <w:lang w:val="en-GB"/>
        </w:rPr>
        <w:t>). Amino acids highlighted in red (S822, G825 and F848) indicate the positions of the engineered substitutions in Tm-2</w:t>
      </w:r>
      <w:r w:rsidRPr="00430017">
        <w:rPr>
          <w:vertAlign w:val="superscript"/>
          <w:lang w:val="en-GB"/>
        </w:rPr>
        <w:t>2</w:t>
      </w:r>
      <w:r w:rsidRPr="00430017">
        <w:rPr>
          <w:lang w:val="en-GB"/>
        </w:rPr>
        <w:t>, which can confer resistance to ToBRFV (Lindbo 2022).</w:t>
      </w:r>
    </w:p>
    <w:p w14:paraId="79CED28D" w14:textId="77777777" w:rsidR="00430017" w:rsidRPr="00430017" w:rsidRDefault="00430017" w:rsidP="00430017">
      <w:pPr>
        <w:rPr>
          <w:lang w:val="en-GB"/>
        </w:rPr>
      </w:pPr>
      <w:r w:rsidRPr="00430017">
        <w:rPr>
          <w:i/>
          <w:iCs/>
          <w:lang w:val="en-GB"/>
        </w:rPr>
        <w:br w:type="page"/>
      </w:r>
    </w:p>
    <w:p w14:paraId="0E706057" w14:textId="4A4AA7B1" w:rsidR="00430017" w:rsidRPr="00430017" w:rsidRDefault="00430017" w:rsidP="00430017">
      <w:pPr>
        <w:rPr>
          <w:lang w:val="en-GB"/>
        </w:rPr>
      </w:pPr>
      <w:r w:rsidRPr="00430017">
        <w:rPr>
          <w:lang w:val="en-GB"/>
        </w:rPr>
        <w:lastRenderedPageBreak/>
        <w:drawing>
          <wp:inline distT="0" distB="0" distL="0" distR="0" wp14:anchorId="2B24A79A" wp14:editId="43526071">
            <wp:extent cx="5819775" cy="933450"/>
            <wp:effectExtent l="0" t="0" r="9525" b="0"/>
            <wp:docPr id="182743920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9775" cy="933450"/>
                    </a:xfrm>
                    <a:prstGeom prst="rect">
                      <a:avLst/>
                    </a:prstGeom>
                    <a:noFill/>
                    <a:ln>
                      <a:noFill/>
                    </a:ln>
                  </pic:spPr>
                </pic:pic>
              </a:graphicData>
            </a:graphic>
          </wp:inline>
        </w:drawing>
      </w:r>
    </w:p>
    <w:p w14:paraId="082C997D" w14:textId="77777777" w:rsidR="00430017" w:rsidRPr="00430017" w:rsidRDefault="00430017" w:rsidP="00430017">
      <w:pPr>
        <w:rPr>
          <w:lang w:val="en-GB"/>
        </w:rPr>
      </w:pPr>
      <w:r w:rsidRPr="00430017">
        <w:rPr>
          <w:b/>
          <w:bCs/>
          <w:lang w:val="en-GB"/>
        </w:rPr>
        <w:t xml:space="preserve">Figure S5 </w:t>
      </w:r>
      <w:r w:rsidRPr="00430017">
        <w:rPr>
          <w:lang w:val="en-GB"/>
        </w:rPr>
        <w:t xml:space="preserve">Coat protein sequence alignment of ToBRFV isolates </w:t>
      </w:r>
      <w:bookmarkStart w:id="1" w:name="_Hlk191300345"/>
      <w:r w:rsidRPr="00430017">
        <w:rPr>
          <w:lang w:val="en-GB"/>
        </w:rPr>
        <w:t xml:space="preserve">NVWA  </w:t>
      </w:r>
      <w:bookmarkEnd w:id="1"/>
      <w:r w:rsidRPr="00430017">
        <w:rPr>
          <w:lang w:val="en-GB"/>
        </w:rPr>
        <w:t>(NCBI: MN882011.1), CA18( NCBI: MT002973.1) and Ant-TOM (NCBI: MT107885.1).</w:t>
      </w:r>
    </w:p>
    <w:p w14:paraId="32090682" w14:textId="77777777" w:rsidR="00430017" w:rsidRPr="00430017" w:rsidRDefault="00430017" w:rsidP="00430017">
      <w:pPr>
        <w:rPr>
          <w:lang w:val="en-GB"/>
        </w:rPr>
      </w:pPr>
    </w:p>
    <w:p w14:paraId="1F4B889D" w14:textId="11EA8E35" w:rsidR="00430017" w:rsidRPr="00430017" w:rsidRDefault="00430017" w:rsidP="00430017">
      <w:pPr>
        <w:rPr>
          <w:lang w:val="en-GB"/>
        </w:rPr>
      </w:pPr>
      <w:r w:rsidRPr="00430017">
        <w:rPr>
          <w:lang w:val="en-GB"/>
        </w:rPr>
        <w:lastRenderedPageBreak/>
        <w:drawing>
          <wp:inline distT="0" distB="0" distL="0" distR="0" wp14:anchorId="383E9018" wp14:editId="1851B71D">
            <wp:extent cx="5200650" cy="7620000"/>
            <wp:effectExtent l="0" t="0" r="0" b="0"/>
            <wp:docPr id="17856547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0650" cy="7620000"/>
                    </a:xfrm>
                    <a:prstGeom prst="rect">
                      <a:avLst/>
                    </a:prstGeom>
                    <a:noFill/>
                    <a:ln>
                      <a:noFill/>
                    </a:ln>
                  </pic:spPr>
                </pic:pic>
              </a:graphicData>
            </a:graphic>
          </wp:inline>
        </w:drawing>
      </w:r>
    </w:p>
    <w:p w14:paraId="2FC4AB47" w14:textId="77777777" w:rsidR="00430017" w:rsidRPr="00430017" w:rsidRDefault="00430017" w:rsidP="00430017">
      <w:pPr>
        <w:rPr>
          <w:lang w:val="en-GB"/>
        </w:rPr>
      </w:pPr>
      <w:r w:rsidRPr="00430017">
        <w:rPr>
          <w:b/>
          <w:bCs/>
          <w:lang w:val="en-GB"/>
        </w:rPr>
        <w:lastRenderedPageBreak/>
        <w:t>Figure S6</w:t>
      </w:r>
      <w:r w:rsidRPr="00430017">
        <w:rPr>
          <w:i/>
          <w:iCs/>
          <w:lang w:val="en-GB"/>
        </w:rPr>
        <w:t xml:space="preserve"> </w:t>
      </w:r>
      <w:bookmarkStart w:id="2" w:name="_Hlk188974140"/>
      <w:r w:rsidRPr="00430017">
        <w:rPr>
          <w:lang w:val="en-GB"/>
        </w:rPr>
        <w:t>Replication protein sequence alignment of ToBRFV isolates NVWA (NCBI: MN882011.1), CA18( NCBI: MT002973.1) and Ant-TOM (NCBI: MT107885.1).</w:t>
      </w:r>
      <w:bookmarkEnd w:id="2"/>
      <w:r w:rsidRPr="00430017">
        <w:rPr>
          <w:lang w:val="en-GB"/>
        </w:rPr>
        <w:t xml:space="preserve"> The aa differences are highlighted with yellow colour.</w:t>
      </w:r>
    </w:p>
    <w:p w14:paraId="26EB9E22" w14:textId="60D38728" w:rsidR="00430017" w:rsidRPr="00430017" w:rsidRDefault="00430017" w:rsidP="00430017">
      <w:pPr>
        <w:rPr>
          <w:lang w:val="en-GB"/>
        </w:rPr>
      </w:pPr>
      <w:r w:rsidRPr="00430017">
        <w:rPr>
          <w:iCs/>
          <w:lang w:val="en-GB"/>
        </w:rPr>
        <w:drawing>
          <wp:inline distT="0" distB="0" distL="0" distR="0" wp14:anchorId="532AB7B1" wp14:editId="7DE1F727">
            <wp:extent cx="5772150" cy="1438275"/>
            <wp:effectExtent l="0" t="0" r="0" b="9525"/>
            <wp:docPr id="3546104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r="12411" b="11823"/>
                    <a:stretch>
                      <a:fillRect/>
                    </a:stretch>
                  </pic:blipFill>
                  <pic:spPr bwMode="auto">
                    <a:xfrm>
                      <a:off x="0" y="0"/>
                      <a:ext cx="5772150" cy="1438275"/>
                    </a:xfrm>
                    <a:prstGeom prst="rect">
                      <a:avLst/>
                    </a:prstGeom>
                    <a:noFill/>
                    <a:ln>
                      <a:noFill/>
                    </a:ln>
                  </pic:spPr>
                </pic:pic>
              </a:graphicData>
            </a:graphic>
          </wp:inline>
        </w:drawing>
      </w:r>
    </w:p>
    <w:p w14:paraId="381E41F0" w14:textId="77777777" w:rsidR="00430017" w:rsidRPr="00430017" w:rsidRDefault="00430017" w:rsidP="00430017">
      <w:pPr>
        <w:rPr>
          <w:i/>
          <w:iCs/>
          <w:lang w:val="en-GB"/>
        </w:rPr>
      </w:pPr>
      <w:r w:rsidRPr="00430017">
        <w:rPr>
          <w:b/>
          <w:bCs/>
          <w:lang w:val="en-GB"/>
        </w:rPr>
        <w:t>Figure S7</w:t>
      </w:r>
      <w:r w:rsidRPr="00430017">
        <w:rPr>
          <w:i/>
          <w:iCs/>
          <w:lang w:val="en-GB"/>
        </w:rPr>
        <w:t xml:space="preserve"> </w:t>
      </w:r>
      <w:r w:rsidRPr="00430017">
        <w:rPr>
          <w:lang w:val="en-GB"/>
        </w:rPr>
        <w:t>Movement protein sequence alignment of ToBRFV isolates NVWA (NCBI: MN882011.1), CA18( NCBI: MT002973.1) and Ant-TOM (NCBI: MT107885.1). The aa differences are highlighted with yellow colour.</w:t>
      </w:r>
    </w:p>
    <w:p w14:paraId="7BD467E1" w14:textId="77777777" w:rsidR="00430017" w:rsidRPr="00430017" w:rsidRDefault="00430017" w:rsidP="00430017">
      <w:pPr>
        <w:rPr>
          <w:lang w:val="en-GB"/>
        </w:rPr>
      </w:pPr>
    </w:p>
    <w:p w14:paraId="1294F2AD"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017"/>
    <w:rsid w:val="00140AC6"/>
    <w:rsid w:val="00430017"/>
    <w:rsid w:val="00732981"/>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5D6AB"/>
  <w15:chartTrackingRefBased/>
  <w15:docId w15:val="{6E6EF11E-6EB1-4743-8EDF-A289648D3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00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00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00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00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00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00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00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00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00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00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00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00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00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00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00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00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00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0017"/>
    <w:rPr>
      <w:rFonts w:eastAsiaTheme="majorEastAsia" w:cstheme="majorBidi"/>
      <w:color w:val="272727" w:themeColor="text1" w:themeTint="D8"/>
    </w:rPr>
  </w:style>
  <w:style w:type="paragraph" w:styleId="Title">
    <w:name w:val="Title"/>
    <w:basedOn w:val="Normal"/>
    <w:next w:val="Normal"/>
    <w:link w:val="TitleChar"/>
    <w:uiPriority w:val="10"/>
    <w:qFormat/>
    <w:rsid w:val="004300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00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00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00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0017"/>
    <w:pPr>
      <w:spacing w:before="160"/>
      <w:jc w:val="center"/>
    </w:pPr>
    <w:rPr>
      <w:i/>
      <w:iCs/>
      <w:color w:val="404040" w:themeColor="text1" w:themeTint="BF"/>
    </w:rPr>
  </w:style>
  <w:style w:type="character" w:customStyle="1" w:styleId="QuoteChar">
    <w:name w:val="Quote Char"/>
    <w:basedOn w:val="DefaultParagraphFont"/>
    <w:link w:val="Quote"/>
    <w:uiPriority w:val="29"/>
    <w:rsid w:val="00430017"/>
    <w:rPr>
      <w:i/>
      <w:iCs/>
      <w:color w:val="404040" w:themeColor="text1" w:themeTint="BF"/>
    </w:rPr>
  </w:style>
  <w:style w:type="paragraph" w:styleId="ListParagraph">
    <w:name w:val="List Paragraph"/>
    <w:basedOn w:val="Normal"/>
    <w:uiPriority w:val="34"/>
    <w:qFormat/>
    <w:rsid w:val="00430017"/>
    <w:pPr>
      <w:ind w:left="720"/>
      <w:contextualSpacing/>
    </w:pPr>
  </w:style>
  <w:style w:type="character" w:styleId="IntenseEmphasis">
    <w:name w:val="Intense Emphasis"/>
    <w:basedOn w:val="DefaultParagraphFont"/>
    <w:uiPriority w:val="21"/>
    <w:qFormat/>
    <w:rsid w:val="00430017"/>
    <w:rPr>
      <w:i/>
      <w:iCs/>
      <w:color w:val="0F4761" w:themeColor="accent1" w:themeShade="BF"/>
    </w:rPr>
  </w:style>
  <w:style w:type="paragraph" w:styleId="IntenseQuote">
    <w:name w:val="Intense Quote"/>
    <w:basedOn w:val="Normal"/>
    <w:next w:val="Normal"/>
    <w:link w:val="IntenseQuoteChar"/>
    <w:uiPriority w:val="30"/>
    <w:qFormat/>
    <w:rsid w:val="004300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0017"/>
    <w:rPr>
      <w:i/>
      <w:iCs/>
      <w:color w:val="0F4761" w:themeColor="accent1" w:themeShade="BF"/>
    </w:rPr>
  </w:style>
  <w:style w:type="character" w:styleId="IntenseReference">
    <w:name w:val="Intense Reference"/>
    <w:basedOn w:val="DefaultParagraphFont"/>
    <w:uiPriority w:val="32"/>
    <w:qFormat/>
    <w:rsid w:val="0043001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342710">
      <w:bodyDiv w:val="1"/>
      <w:marLeft w:val="0"/>
      <w:marRight w:val="0"/>
      <w:marTop w:val="0"/>
      <w:marBottom w:val="0"/>
      <w:divBdr>
        <w:top w:val="none" w:sz="0" w:space="0" w:color="auto"/>
        <w:left w:val="none" w:sz="0" w:space="0" w:color="auto"/>
        <w:bottom w:val="none" w:sz="0" w:space="0" w:color="auto"/>
        <w:right w:val="none" w:sz="0" w:space="0" w:color="auto"/>
      </w:divBdr>
    </w:div>
    <w:div w:id="1713455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339</Words>
  <Characters>1938</Characters>
  <Application>Microsoft Office Word</Application>
  <DocSecurity>0</DocSecurity>
  <Lines>16</Lines>
  <Paragraphs>4</Paragraphs>
  <ScaleCrop>false</ScaleCrop>
  <Company>Springer Nature</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2025-04-02T11:33:00Z</dcterms:created>
  <dcterms:modified xsi:type="dcterms:W3CDTF">2025-04-02T11:33:00Z</dcterms:modified>
</cp:coreProperties>
</file>