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07E9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Table </w:t>
      </w:r>
      <w:r>
        <w:rPr>
          <w:rFonts w:hint="default" w:ascii="Times New Roman" w:hAnsi="Times New Roman" w:cs="Times New Roman"/>
          <w:b/>
          <w:bCs/>
          <w:lang w:val="en-US"/>
        </w:rPr>
        <w:t>S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1 </w:t>
      </w:r>
      <w:r>
        <w:rPr>
          <w:rFonts w:ascii="Times New Roman" w:hAnsi="Times New Roman" w:cs="Times New Roman"/>
          <w:b/>
          <w:bCs/>
        </w:rPr>
        <w:t xml:space="preserve">Spearman correlation of </w:t>
      </w:r>
      <w:r>
        <w:rPr>
          <w:rFonts w:hint="eastAsia" w:ascii="Times New Roman" w:hAnsi="Times New Roman" w:cs="Times New Roman"/>
          <w:b/>
          <w:bCs/>
        </w:rPr>
        <w:t>APTT, R</w:t>
      </w:r>
      <w:r>
        <w:rPr>
          <w:rFonts w:ascii="Times New Roman" w:hAnsi="Times New Roman" w:cs="Times New Roman"/>
          <w:b/>
          <w:bCs/>
        </w:rPr>
        <w:t>,</w:t>
      </w:r>
      <w:r>
        <w:rPr>
          <w:rFonts w:hint="eastAsia" w:ascii="Times New Roman" w:hAnsi="Times New Roman" w:cs="Times New Roman"/>
          <w:b/>
          <w:bCs/>
        </w:rPr>
        <w:t xml:space="preserve"> and MA</w:t>
      </w:r>
      <w:r>
        <w:rPr>
          <w:rFonts w:ascii="Times New Roman" w:hAnsi="Times New Roman" w:cs="Times New Roman"/>
          <w:b/>
          <w:bCs/>
        </w:rPr>
        <w:t xml:space="preserve"> with</w:t>
      </w:r>
      <w:r>
        <w:rPr>
          <w:rFonts w:hint="eastAsia" w:ascii="Times New Roman" w:hAnsi="Times New Roman" w:cs="Times New Roman"/>
          <w:b/>
          <w:bCs/>
        </w:rPr>
        <w:t>CA125, HGB, u</w:t>
      </w:r>
      <w:r>
        <w:rPr>
          <w:rFonts w:ascii="Times New Roman" w:hAnsi="Times New Roman" w:cs="Times New Roman"/>
          <w:b/>
          <w:bCs/>
        </w:rPr>
        <w:t>t</w:t>
      </w:r>
      <w:r>
        <w:rPr>
          <w:rFonts w:hint="eastAsia" w:ascii="Times New Roman" w:hAnsi="Times New Roman" w:cs="Times New Roman"/>
          <w:b/>
          <w:bCs/>
        </w:rPr>
        <w:t xml:space="preserve">erine volume, </w:t>
      </w:r>
      <w:r>
        <w:rPr>
          <w:rFonts w:ascii="Times New Roman" w:hAnsi="Times New Roman" w:cs="Times New Roman"/>
          <w:b/>
          <w:bCs/>
        </w:rPr>
        <w:t>VAS,</w:t>
      </w:r>
      <w:r>
        <w:rPr>
          <w:rFonts w:hint="eastAsia" w:ascii="Times New Roman" w:hAnsi="Times New Roman" w:cs="Times New Roman"/>
          <w:b/>
          <w:bCs/>
        </w:rPr>
        <w:t xml:space="preserve"> and</w:t>
      </w:r>
      <w:r>
        <w:rPr>
          <w:rFonts w:ascii="Times New Roman" w:hAnsi="Times New Roman" w:cs="Times New Roman"/>
          <w:b/>
          <w:bCs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 xml:space="preserve">MVJ in </w:t>
      </w:r>
      <w:r>
        <w:rPr>
          <w:rFonts w:hint="eastAsia" w:ascii="Times New Roman" w:hAnsi="Times New Roman" w:cs="Times New Roman"/>
          <w:b/>
          <w:bCs/>
        </w:rPr>
        <w:t>p</w:t>
      </w:r>
      <w:r>
        <w:rPr>
          <w:rFonts w:ascii="Times New Roman" w:hAnsi="Times New Roman" w:cs="Times New Roman"/>
          <w:b/>
          <w:bCs/>
        </w:rPr>
        <w:t>atients with Adenomyosis.</w:t>
      </w:r>
    </w:p>
    <w:p w14:paraId="090A030D">
      <w:pPr>
        <w:widowControl/>
        <w:jc w:val="left"/>
        <w:rPr>
          <w:rFonts w:ascii="Times New Roman" w:hAnsi="Times New Roman" w:cs="Times New Roman"/>
        </w:rPr>
      </w:pPr>
    </w:p>
    <w:tbl>
      <w:tblPr>
        <w:tblStyle w:val="5"/>
        <w:tblW w:w="10450" w:type="dxa"/>
        <w:tblInd w:w="-7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780"/>
        <w:gridCol w:w="960"/>
        <w:gridCol w:w="780"/>
        <w:gridCol w:w="940"/>
        <w:gridCol w:w="830"/>
        <w:gridCol w:w="910"/>
        <w:gridCol w:w="780"/>
        <w:gridCol w:w="980"/>
        <w:gridCol w:w="1113"/>
        <w:gridCol w:w="1187"/>
      </w:tblGrid>
      <w:tr w14:paraId="05C255D5">
        <w:trPr>
          <w:trHeight w:val="260" w:hRule="atLeast"/>
        </w:trPr>
        <w:tc>
          <w:tcPr>
            <w:tcW w:w="1190" w:type="dxa"/>
            <w:tcBorders>
              <w:top w:val="single" w:color="auto" w:sz="4" w:space="0"/>
              <w:bottom w:val="nil"/>
            </w:tcBorders>
          </w:tcPr>
          <w:p w14:paraId="4F4FD625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Parameters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bottom w:val="nil"/>
            </w:tcBorders>
          </w:tcPr>
          <w:p w14:paraId="4A8B48A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:u w:val="single"/>
              </w:rPr>
              <w:t>CA125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:u w:val="single"/>
              </w:rPr>
              <w:t>(U/m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u w:val="single"/>
              </w:rPr>
              <w:t>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:u w:val="single"/>
              </w:rPr>
              <w:t>)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bottom w:val="nil"/>
            </w:tcBorders>
          </w:tcPr>
          <w:p w14:paraId="14C52FDB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:u w:val="single"/>
              </w:rPr>
              <w:t>HGB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:u w:val="single"/>
              </w:rPr>
              <w:t>(g/L)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bottom w:val="nil"/>
            </w:tcBorders>
          </w:tcPr>
          <w:p w14:paraId="13D7C99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u w:val="single"/>
              </w:rPr>
              <w:t>VAS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bottom w:val="nil"/>
            </w:tcBorders>
          </w:tcPr>
          <w:p w14:paraId="0883DCDC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u w:val="single"/>
              </w:rPr>
              <w:t>MVJ</w:t>
            </w:r>
          </w:p>
        </w:tc>
        <w:tc>
          <w:tcPr>
            <w:tcW w:w="2300" w:type="dxa"/>
            <w:gridSpan w:val="2"/>
            <w:tcBorders>
              <w:top w:val="single" w:color="auto" w:sz="4" w:space="0"/>
              <w:bottom w:val="nil"/>
            </w:tcBorders>
          </w:tcPr>
          <w:p w14:paraId="4C193493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:u w:val="single"/>
              </w:rPr>
              <w:t xml:space="preserve">Uterine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u w:val="single"/>
              </w:rPr>
              <w:t xml:space="preserve">volume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:u w:val="single"/>
              </w:rPr>
              <w:t>(cm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  <w:u w:val="single"/>
              </w:rPr>
              <w:t>^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:u w:val="single"/>
              </w:rPr>
              <w:t>3)</w:t>
            </w:r>
          </w:p>
        </w:tc>
      </w:tr>
      <w:tr w14:paraId="0FC5CAFC">
        <w:trPr>
          <w:trHeight w:val="314" w:hRule="atLeast"/>
        </w:trPr>
        <w:tc>
          <w:tcPr>
            <w:tcW w:w="1190" w:type="dxa"/>
            <w:tcBorders>
              <w:top w:val="nil"/>
              <w:bottom w:val="single" w:color="auto" w:sz="4" w:space="0"/>
            </w:tcBorders>
          </w:tcPr>
          <w:p w14:paraId="5AD7534A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bottom w:val="single" w:color="auto" w:sz="4" w:space="0"/>
            </w:tcBorders>
          </w:tcPr>
          <w:p w14:paraId="4FD898AC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r</w:t>
            </w:r>
          </w:p>
        </w:tc>
        <w:tc>
          <w:tcPr>
            <w:tcW w:w="960" w:type="dxa"/>
            <w:tcBorders>
              <w:top w:val="nil"/>
              <w:bottom w:val="single" w:color="auto" w:sz="4" w:space="0"/>
            </w:tcBorders>
          </w:tcPr>
          <w:p w14:paraId="4400F4F4">
            <w:pPr>
              <w:widowControl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hint="eastAsia" w:ascii="Times New Roman" w:hAnsi="Times New Roman" w:cs="Times New Roman"/>
                <w:i/>
                <w:iCs/>
              </w:rPr>
              <w:t>p</w:t>
            </w:r>
          </w:p>
        </w:tc>
        <w:tc>
          <w:tcPr>
            <w:tcW w:w="780" w:type="dxa"/>
            <w:tcBorders>
              <w:top w:val="nil"/>
              <w:bottom w:val="single" w:color="auto" w:sz="4" w:space="0"/>
            </w:tcBorders>
          </w:tcPr>
          <w:p w14:paraId="553BDDDC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r</w:t>
            </w:r>
          </w:p>
        </w:tc>
        <w:tc>
          <w:tcPr>
            <w:tcW w:w="940" w:type="dxa"/>
            <w:tcBorders>
              <w:top w:val="nil"/>
              <w:bottom w:val="single" w:color="auto" w:sz="4" w:space="0"/>
            </w:tcBorders>
          </w:tcPr>
          <w:p w14:paraId="7AA2A9B5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i/>
                <w:iCs/>
              </w:rPr>
              <w:t>p</w:t>
            </w:r>
          </w:p>
        </w:tc>
        <w:tc>
          <w:tcPr>
            <w:tcW w:w="830" w:type="dxa"/>
            <w:tcBorders>
              <w:top w:val="nil"/>
              <w:bottom w:val="single" w:color="auto" w:sz="4" w:space="0"/>
            </w:tcBorders>
          </w:tcPr>
          <w:p w14:paraId="2D7E9AD9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r</w:t>
            </w:r>
          </w:p>
        </w:tc>
        <w:tc>
          <w:tcPr>
            <w:tcW w:w="910" w:type="dxa"/>
            <w:tcBorders>
              <w:top w:val="nil"/>
              <w:bottom w:val="single" w:color="auto" w:sz="4" w:space="0"/>
            </w:tcBorders>
          </w:tcPr>
          <w:p w14:paraId="43FB5E1B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i/>
                <w:iCs/>
              </w:rPr>
              <w:t>p</w:t>
            </w:r>
          </w:p>
        </w:tc>
        <w:tc>
          <w:tcPr>
            <w:tcW w:w="780" w:type="dxa"/>
            <w:tcBorders>
              <w:top w:val="nil"/>
              <w:bottom w:val="single" w:color="auto" w:sz="4" w:space="0"/>
            </w:tcBorders>
          </w:tcPr>
          <w:p w14:paraId="707944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r</w:t>
            </w:r>
          </w:p>
        </w:tc>
        <w:tc>
          <w:tcPr>
            <w:tcW w:w="980" w:type="dxa"/>
            <w:tcBorders>
              <w:top w:val="nil"/>
              <w:bottom w:val="single" w:color="auto" w:sz="4" w:space="0"/>
            </w:tcBorders>
          </w:tcPr>
          <w:p w14:paraId="51177BFC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i/>
                <w:iCs/>
              </w:rPr>
              <w:t>p</w:t>
            </w:r>
          </w:p>
        </w:tc>
        <w:tc>
          <w:tcPr>
            <w:tcW w:w="1113" w:type="dxa"/>
            <w:tcBorders>
              <w:top w:val="nil"/>
              <w:bottom w:val="single" w:color="auto" w:sz="4" w:space="0"/>
            </w:tcBorders>
          </w:tcPr>
          <w:p w14:paraId="58061426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r</w:t>
            </w:r>
          </w:p>
        </w:tc>
        <w:tc>
          <w:tcPr>
            <w:tcW w:w="1187" w:type="dxa"/>
            <w:tcBorders>
              <w:top w:val="nil"/>
              <w:bottom w:val="single" w:color="auto" w:sz="4" w:space="0"/>
            </w:tcBorders>
          </w:tcPr>
          <w:p w14:paraId="5E6EF956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i/>
                <w:iCs/>
              </w:rPr>
              <w:t>p</w:t>
            </w:r>
          </w:p>
        </w:tc>
      </w:tr>
      <w:tr w14:paraId="040621E0">
        <w:trPr>
          <w:trHeight w:val="312" w:hRule="atLeast"/>
        </w:trPr>
        <w:tc>
          <w:tcPr>
            <w:tcW w:w="1190" w:type="dxa"/>
            <w:tcBorders>
              <w:top w:val="single" w:color="auto" w:sz="4" w:space="0"/>
            </w:tcBorders>
          </w:tcPr>
          <w:p w14:paraId="2C889ED4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0"/>
              </w:rPr>
              <w:t>APTT (s)</w:t>
            </w:r>
          </w:p>
        </w:tc>
        <w:tc>
          <w:tcPr>
            <w:tcW w:w="780" w:type="dxa"/>
            <w:tcBorders>
              <w:top w:val="single" w:color="auto" w:sz="4" w:space="0"/>
            </w:tcBorders>
          </w:tcPr>
          <w:p w14:paraId="4FB38299">
            <w:pPr>
              <w:widowControl/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-0.02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</w:tcBorders>
          </w:tcPr>
          <w:p w14:paraId="1391DF3A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0.</w:t>
            </w:r>
            <w:r>
              <w:rPr>
                <w:rFonts w:hint="eastAsia" w:ascii="Times New Roman" w:hAnsi="Times New Roman" w:cs="Times New Roman"/>
                <w:lang w:eastAsia="zh-CN"/>
              </w:rPr>
              <w:t>811</w:t>
            </w:r>
          </w:p>
        </w:tc>
        <w:tc>
          <w:tcPr>
            <w:tcW w:w="780" w:type="dxa"/>
            <w:tcBorders>
              <w:top w:val="single" w:color="auto" w:sz="4" w:space="0"/>
            </w:tcBorders>
          </w:tcPr>
          <w:p w14:paraId="506DE392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0.</w:t>
            </w:r>
            <w:r>
              <w:rPr>
                <w:rFonts w:hint="eastAsia" w:ascii="Times New Roman" w:hAnsi="Times New Roman" w:cs="Times New Roman"/>
                <w:lang w:eastAsia="zh-CN"/>
              </w:rPr>
              <w:t>041</w:t>
            </w:r>
          </w:p>
        </w:tc>
        <w:tc>
          <w:tcPr>
            <w:tcW w:w="940" w:type="dxa"/>
            <w:tcBorders>
              <w:top w:val="single" w:color="auto" w:sz="4" w:space="0"/>
            </w:tcBorders>
          </w:tcPr>
          <w:p w14:paraId="78E1A6F2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0.618</w:t>
            </w:r>
          </w:p>
        </w:tc>
        <w:tc>
          <w:tcPr>
            <w:tcW w:w="830" w:type="dxa"/>
            <w:tcBorders>
              <w:top w:val="single" w:color="auto" w:sz="4" w:space="0"/>
            </w:tcBorders>
          </w:tcPr>
          <w:p w14:paraId="6A02CB1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t>-0.1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15</w:t>
            </w:r>
          </w:p>
        </w:tc>
        <w:tc>
          <w:tcPr>
            <w:tcW w:w="910" w:type="dxa"/>
            <w:tcBorders>
              <w:top w:val="single" w:color="auto" w:sz="4" w:space="0"/>
            </w:tcBorders>
          </w:tcPr>
          <w:p w14:paraId="229CA28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0.161</w:t>
            </w:r>
          </w:p>
        </w:tc>
        <w:tc>
          <w:tcPr>
            <w:tcW w:w="780" w:type="dxa"/>
            <w:tcBorders>
              <w:top w:val="single" w:color="auto" w:sz="4" w:space="0"/>
            </w:tcBorders>
          </w:tcPr>
          <w:p w14:paraId="41E8EAE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t>-0.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048</w:t>
            </w:r>
          </w:p>
        </w:tc>
        <w:tc>
          <w:tcPr>
            <w:tcW w:w="980" w:type="dxa"/>
            <w:tcBorders>
              <w:top w:val="single" w:color="auto" w:sz="4" w:space="0"/>
            </w:tcBorders>
          </w:tcPr>
          <w:p w14:paraId="6D0964A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t>0.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559</w:t>
            </w:r>
          </w:p>
        </w:tc>
        <w:tc>
          <w:tcPr>
            <w:tcW w:w="1113" w:type="dxa"/>
            <w:tcBorders>
              <w:top w:val="single" w:color="auto" w:sz="4" w:space="0"/>
            </w:tcBorders>
          </w:tcPr>
          <w:p w14:paraId="0A46A16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0.013</w:t>
            </w:r>
          </w:p>
        </w:tc>
        <w:tc>
          <w:tcPr>
            <w:tcW w:w="1187" w:type="dxa"/>
            <w:tcBorders>
              <w:top w:val="single" w:color="auto" w:sz="4" w:space="0"/>
            </w:tcBorders>
          </w:tcPr>
          <w:p w14:paraId="47F957F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t>0.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874</w:t>
            </w:r>
          </w:p>
        </w:tc>
      </w:tr>
      <w:tr w14:paraId="731A4980">
        <w:trPr>
          <w:trHeight w:val="313" w:hRule="atLeast"/>
        </w:trPr>
        <w:tc>
          <w:tcPr>
            <w:tcW w:w="1190" w:type="dxa"/>
          </w:tcPr>
          <w:p w14:paraId="22A3409D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R</w:t>
            </w:r>
          </w:p>
        </w:tc>
        <w:tc>
          <w:tcPr>
            <w:tcW w:w="780" w:type="dxa"/>
          </w:tcPr>
          <w:p w14:paraId="5F400753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-0.</w:t>
            </w:r>
            <w:r>
              <w:rPr>
                <w:rFonts w:hint="eastAsia" w:ascii="Times New Roman" w:hAnsi="Times New Roman" w:cs="Times New Roman"/>
                <w:lang w:eastAsia="zh-CN"/>
              </w:rPr>
              <w:t>001</w:t>
            </w:r>
          </w:p>
        </w:tc>
        <w:tc>
          <w:tcPr>
            <w:tcW w:w="960" w:type="dxa"/>
          </w:tcPr>
          <w:p w14:paraId="7D8A7186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0.988</w:t>
            </w:r>
          </w:p>
        </w:tc>
        <w:tc>
          <w:tcPr>
            <w:tcW w:w="780" w:type="dxa"/>
          </w:tcPr>
          <w:p w14:paraId="778BB566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0.</w:t>
            </w:r>
            <w:r>
              <w:rPr>
                <w:rFonts w:hint="eastAsia" w:ascii="Times New Roman" w:hAnsi="Times New Roman" w:cs="Times New Roman"/>
                <w:lang w:eastAsia="zh-CN"/>
              </w:rPr>
              <w:t>272</w:t>
            </w:r>
          </w:p>
        </w:tc>
        <w:tc>
          <w:tcPr>
            <w:tcW w:w="940" w:type="dxa"/>
          </w:tcPr>
          <w:p w14:paraId="1E42A151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0.001</w:t>
            </w:r>
          </w:p>
        </w:tc>
        <w:tc>
          <w:tcPr>
            <w:tcW w:w="830" w:type="dxa"/>
          </w:tcPr>
          <w:p w14:paraId="13F883D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t>-0.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149</w:t>
            </w:r>
          </w:p>
        </w:tc>
        <w:tc>
          <w:tcPr>
            <w:tcW w:w="910" w:type="dxa"/>
          </w:tcPr>
          <w:p w14:paraId="46DB249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0.068</w:t>
            </w:r>
          </w:p>
        </w:tc>
        <w:tc>
          <w:tcPr>
            <w:tcW w:w="780" w:type="dxa"/>
          </w:tcPr>
          <w:p w14:paraId="4B68CA2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t>-0.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084</w:t>
            </w:r>
          </w:p>
        </w:tc>
        <w:tc>
          <w:tcPr>
            <w:tcW w:w="980" w:type="dxa"/>
          </w:tcPr>
          <w:p w14:paraId="24EE08F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0.307</w:t>
            </w:r>
          </w:p>
        </w:tc>
        <w:tc>
          <w:tcPr>
            <w:tcW w:w="1113" w:type="dxa"/>
          </w:tcPr>
          <w:p w14:paraId="2100095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t>-0.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126</w:t>
            </w:r>
          </w:p>
        </w:tc>
        <w:tc>
          <w:tcPr>
            <w:tcW w:w="1187" w:type="dxa"/>
          </w:tcPr>
          <w:p w14:paraId="64DC429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t>0.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125</w:t>
            </w:r>
          </w:p>
        </w:tc>
      </w:tr>
      <w:tr w14:paraId="4250202C">
        <w:trPr>
          <w:trHeight w:val="323" w:hRule="atLeast"/>
        </w:trPr>
        <w:tc>
          <w:tcPr>
            <w:tcW w:w="1190" w:type="dxa"/>
            <w:tcBorders>
              <w:bottom w:val="single" w:color="auto" w:sz="4" w:space="0"/>
            </w:tcBorders>
          </w:tcPr>
          <w:p w14:paraId="3ED0BCB5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MA</w:t>
            </w:r>
          </w:p>
        </w:tc>
        <w:tc>
          <w:tcPr>
            <w:tcW w:w="780" w:type="dxa"/>
            <w:tcBorders>
              <w:bottom w:val="single" w:color="auto" w:sz="4" w:space="0"/>
            </w:tcBorders>
          </w:tcPr>
          <w:p w14:paraId="20E08F9A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0.</w:t>
            </w:r>
            <w:r>
              <w:rPr>
                <w:rFonts w:hint="eastAsia" w:ascii="Times New Roman" w:hAnsi="Times New Roman" w:cs="Times New Roman"/>
                <w:lang w:eastAsia="zh-CN"/>
              </w:rPr>
              <w:t>222</w:t>
            </w:r>
          </w:p>
        </w:tc>
        <w:tc>
          <w:tcPr>
            <w:tcW w:w="960" w:type="dxa"/>
            <w:tcBorders>
              <w:bottom w:val="single" w:color="auto" w:sz="4" w:space="0"/>
            </w:tcBorders>
          </w:tcPr>
          <w:p w14:paraId="11193BAA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eastAsia="zh-CN"/>
              </w:rPr>
              <w:t>0.008</w:t>
            </w:r>
          </w:p>
        </w:tc>
        <w:tc>
          <w:tcPr>
            <w:tcW w:w="780" w:type="dxa"/>
            <w:tcBorders>
              <w:bottom w:val="single" w:color="auto" w:sz="4" w:space="0"/>
            </w:tcBorders>
          </w:tcPr>
          <w:p w14:paraId="03054FB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t>-0.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146</w:t>
            </w:r>
          </w:p>
        </w:tc>
        <w:tc>
          <w:tcPr>
            <w:tcW w:w="940" w:type="dxa"/>
            <w:tcBorders>
              <w:bottom w:val="single" w:color="auto" w:sz="4" w:space="0"/>
            </w:tcBorders>
          </w:tcPr>
          <w:p w14:paraId="1D7806A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t>0.0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73</w:t>
            </w:r>
          </w:p>
        </w:tc>
        <w:tc>
          <w:tcPr>
            <w:tcW w:w="830" w:type="dxa"/>
            <w:tcBorders>
              <w:bottom w:val="single" w:color="auto" w:sz="4" w:space="0"/>
            </w:tcBorders>
          </w:tcPr>
          <w:p w14:paraId="4ECCF9E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t>0.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161</w:t>
            </w:r>
          </w:p>
        </w:tc>
        <w:tc>
          <w:tcPr>
            <w:tcW w:w="910" w:type="dxa"/>
            <w:tcBorders>
              <w:bottom w:val="single" w:color="auto" w:sz="4" w:space="0"/>
            </w:tcBorders>
          </w:tcPr>
          <w:p w14:paraId="3DA2EF5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0.048</w:t>
            </w:r>
          </w:p>
        </w:tc>
        <w:tc>
          <w:tcPr>
            <w:tcW w:w="780" w:type="dxa"/>
            <w:tcBorders>
              <w:bottom w:val="single" w:color="auto" w:sz="4" w:space="0"/>
            </w:tcBorders>
          </w:tcPr>
          <w:p w14:paraId="060BD57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t>0.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058</w:t>
            </w:r>
          </w:p>
        </w:tc>
        <w:tc>
          <w:tcPr>
            <w:tcW w:w="980" w:type="dxa"/>
            <w:tcBorders>
              <w:bottom w:val="single" w:color="auto" w:sz="4" w:space="0"/>
            </w:tcBorders>
          </w:tcPr>
          <w:p w14:paraId="2D14D67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0.480</w:t>
            </w:r>
          </w:p>
        </w:tc>
        <w:tc>
          <w:tcPr>
            <w:tcW w:w="1113" w:type="dxa"/>
            <w:tcBorders>
              <w:bottom w:val="single" w:color="auto" w:sz="4" w:space="0"/>
            </w:tcBorders>
          </w:tcPr>
          <w:p w14:paraId="00524C9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t>0.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049</w:t>
            </w:r>
          </w:p>
        </w:tc>
        <w:tc>
          <w:tcPr>
            <w:tcW w:w="1187" w:type="dxa"/>
            <w:tcBorders>
              <w:bottom w:val="single" w:color="auto" w:sz="4" w:space="0"/>
            </w:tcBorders>
          </w:tcPr>
          <w:p w14:paraId="1536AD4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0.549</w:t>
            </w:r>
          </w:p>
        </w:tc>
      </w:tr>
    </w:tbl>
    <w:p w14:paraId="283F3AF1">
      <w:pPr>
        <w:rPr>
          <w:rFonts w:hint="eastAsia" w:ascii="Times New Roman" w:hAnsi="Times New Roman" w:cs="Times New Roman"/>
        </w:rPr>
      </w:pPr>
    </w:p>
    <w:p w14:paraId="43317C87">
      <w:pPr>
        <w:widowControl/>
        <w:jc w:val="left"/>
        <w:rPr>
          <w:rFonts w:hint="eastAsia" w:ascii="Times New Roman" w:hAnsi="Times New Roman" w:cs="Times New Roman" w:eastAsiaTheme="minorEastAsia"/>
          <w:color w:val="000000"/>
          <w:kern w:val="0"/>
          <w:sz w:val="22"/>
          <w:szCs w:val="20"/>
          <w:lang w:val="en-US" w:eastAsia="zh-CN"/>
        </w:rPr>
      </w:pPr>
      <w:r>
        <w:rPr>
          <w:rFonts w:ascii="Times New Roman" w:hAnsi="Times New Roman" w:cs="Times New Roman"/>
        </w:rPr>
        <w:t xml:space="preserve">Abbreviations: APTT, activated partial thromboplastin time; </w:t>
      </w:r>
      <w:r>
        <w:rPr>
          <w:rFonts w:ascii="Times New Roman" w:hAnsi="Times New Roman" w:cs="Times New Roman"/>
          <w:color w:val="000000"/>
          <w:kern w:val="0"/>
          <w:sz w:val="22"/>
          <w:szCs w:val="20"/>
        </w:rPr>
        <w:t>HGB, hemoglobin;</w:t>
      </w:r>
      <w:r>
        <w:rPr>
          <w:rFonts w:hint="eastAsia" w:ascii="Times New Roman" w:hAnsi="Times New Roman" w:cs="Times New Roman"/>
          <w:color w:val="000000"/>
          <w:kern w:val="0"/>
          <w:sz w:val="22"/>
          <w:szCs w:val="20"/>
          <w:lang w:val="en-US" w:eastAsia="zh-CN"/>
        </w:rPr>
        <w:t xml:space="preserve"> MA: </w:t>
      </w:r>
      <w:r>
        <w:rPr>
          <w:rFonts w:hint="default" w:ascii="Times New Roman" w:hAnsi="Times New Roman" w:eastAsia="等线" w:cs="Times New Roman"/>
          <w:kern w:val="2"/>
          <w:sz w:val="21"/>
          <w:szCs w:val="22"/>
          <w:lang w:val="en-US" w:eastAsia="zh-CN" w:bidi="ar"/>
        </w:rPr>
        <w:t>maximum amplitude (MA)</w:t>
      </w:r>
      <w:r>
        <w:rPr>
          <w:rFonts w:hint="eastAsia" w:ascii="Times New Roman" w:hAnsi="Times New Roman" w:eastAsia="等线" w:cs="Times New Roman"/>
          <w:kern w:val="2"/>
          <w:sz w:val="21"/>
          <w:szCs w:val="22"/>
          <w:lang w:val="en-US" w:eastAsia="zh-CN" w:bidi="ar"/>
        </w:rPr>
        <w:t xml:space="preserve">; </w:t>
      </w:r>
      <w:r>
        <w:rPr>
          <w:rFonts w:ascii="Times New Roman" w:hAnsi="Times New Roman" w:cs="Times New Roman"/>
          <w:color w:val="000000"/>
          <w:kern w:val="0"/>
          <w:sz w:val="22"/>
          <w:szCs w:val="20"/>
        </w:rPr>
        <w:t>MVJ, Mansfield–Voda–Jorgensen</w:t>
      </w:r>
      <w:r>
        <w:rPr>
          <w:rFonts w:hint="eastAsia" w:ascii="Times New Roman" w:hAnsi="Times New Roman" w:cs="Times New Roman"/>
          <w:color w:val="000000"/>
          <w:kern w:val="0"/>
          <w:sz w:val="22"/>
          <w:szCs w:val="20"/>
          <w:lang w:val="en-US" w:eastAsia="zh-CN"/>
        </w:rPr>
        <w:t xml:space="preserve">; R: </w:t>
      </w:r>
      <w:r>
        <w:rPr>
          <w:rFonts w:hint="default" w:ascii="Times New Roman" w:hAnsi="Times New Roman" w:eastAsia="等线" w:cs="Times New Roman"/>
          <w:kern w:val="2"/>
          <w:sz w:val="21"/>
          <w:szCs w:val="22"/>
          <w:lang w:val="en-US" w:eastAsia="zh-CN" w:bidi="ar"/>
        </w:rPr>
        <w:t>reaction time</w:t>
      </w:r>
      <w:r>
        <w:rPr>
          <w:rFonts w:hint="eastAsia" w:ascii="Times New Roman" w:hAnsi="Times New Roman" w:eastAsia="等线" w:cs="Times New Roman"/>
          <w:kern w:val="2"/>
          <w:sz w:val="21"/>
          <w:szCs w:val="22"/>
          <w:lang w:val="en-US" w:eastAsia="zh-CN" w:bidi="ar"/>
        </w:rPr>
        <w:t xml:space="preserve">; </w:t>
      </w:r>
      <w:r>
        <w:rPr>
          <w:rFonts w:ascii="Times New Roman" w:hAnsi="Times New Roman" w:cs="Times New Roman"/>
          <w:color w:val="000000"/>
          <w:kern w:val="0"/>
          <w:sz w:val="22"/>
          <w:szCs w:val="20"/>
        </w:rPr>
        <w:t>VAS, visual analogue scale</w:t>
      </w:r>
      <w:r>
        <w:rPr>
          <w:rFonts w:hint="eastAsia" w:ascii="Times New Roman" w:hAnsi="Times New Roman" w:cs="Times New Roman"/>
          <w:color w:val="000000"/>
          <w:kern w:val="0"/>
          <w:sz w:val="22"/>
          <w:szCs w:val="20"/>
          <w:lang w:val="en-US" w:eastAsia="zh-CN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VmYmVjY2YzMDU0MTE1OWNlZTVkZjljMDhjZjU3MGMifQ=="/>
  </w:docVars>
  <w:rsids>
    <w:rsidRoot w:val="00E00449"/>
    <w:rsid w:val="00007285"/>
    <w:rsid w:val="00073247"/>
    <w:rsid w:val="000C32EF"/>
    <w:rsid w:val="00126468"/>
    <w:rsid w:val="00186B3B"/>
    <w:rsid w:val="001F4431"/>
    <w:rsid w:val="00234094"/>
    <w:rsid w:val="00377873"/>
    <w:rsid w:val="003B00BA"/>
    <w:rsid w:val="00575DF0"/>
    <w:rsid w:val="00596DE4"/>
    <w:rsid w:val="005E423C"/>
    <w:rsid w:val="0069228D"/>
    <w:rsid w:val="006A0807"/>
    <w:rsid w:val="006E6B60"/>
    <w:rsid w:val="0080466B"/>
    <w:rsid w:val="008113C6"/>
    <w:rsid w:val="0082314D"/>
    <w:rsid w:val="00844366"/>
    <w:rsid w:val="00875B77"/>
    <w:rsid w:val="008A6412"/>
    <w:rsid w:val="008D2FC9"/>
    <w:rsid w:val="008F7015"/>
    <w:rsid w:val="00923226"/>
    <w:rsid w:val="00A93FA6"/>
    <w:rsid w:val="00BA73FC"/>
    <w:rsid w:val="00C358F7"/>
    <w:rsid w:val="00C95DA6"/>
    <w:rsid w:val="00CC7404"/>
    <w:rsid w:val="00D561CB"/>
    <w:rsid w:val="00D873CE"/>
    <w:rsid w:val="00D94E43"/>
    <w:rsid w:val="00DA5C55"/>
    <w:rsid w:val="00DF5E6C"/>
    <w:rsid w:val="00E00449"/>
    <w:rsid w:val="00F10EF3"/>
    <w:rsid w:val="00F93231"/>
    <w:rsid w:val="00FA7E50"/>
    <w:rsid w:val="00FB4BA9"/>
    <w:rsid w:val="014F219D"/>
    <w:rsid w:val="08CC67C9"/>
    <w:rsid w:val="097F329E"/>
    <w:rsid w:val="0DA216FE"/>
    <w:rsid w:val="19263CD4"/>
    <w:rsid w:val="19666AF6"/>
    <w:rsid w:val="19FE255B"/>
    <w:rsid w:val="1D9E066F"/>
    <w:rsid w:val="23D507D0"/>
    <w:rsid w:val="25F76F6E"/>
    <w:rsid w:val="28702875"/>
    <w:rsid w:val="2E4C168F"/>
    <w:rsid w:val="2EAD4823"/>
    <w:rsid w:val="2ED55B28"/>
    <w:rsid w:val="34F159D0"/>
    <w:rsid w:val="38FA68B7"/>
    <w:rsid w:val="3F14456B"/>
    <w:rsid w:val="3FC86AB9"/>
    <w:rsid w:val="3FDD2A8F"/>
    <w:rsid w:val="4A712751"/>
    <w:rsid w:val="4F7855DE"/>
    <w:rsid w:val="5BFB1E7B"/>
    <w:rsid w:val="5CD5580C"/>
    <w:rsid w:val="5CFF3BED"/>
    <w:rsid w:val="5FF6B259"/>
    <w:rsid w:val="61F72B67"/>
    <w:rsid w:val="678F1457"/>
    <w:rsid w:val="68701E42"/>
    <w:rsid w:val="69A14A4D"/>
    <w:rsid w:val="6CAE2F39"/>
    <w:rsid w:val="714A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三线表"/>
    <w:basedOn w:val="4"/>
    <w:autoRedefine/>
    <w:qFormat/>
    <w:uiPriority w:val="99"/>
    <w:rPr>
      <w:rFonts w:ascii="Times New Roman" w:hAnsi="Times New Roman" w:eastAsia="Times New Roman"/>
    </w:rPr>
    <w:tblPr>
      <w:tblBorders>
        <w:top w:val="single" w:color="auto" w:sz="12" w:space="0"/>
        <w:bottom w:val="single" w:color="auto" w:sz="12" w:space="0"/>
      </w:tblBorders>
    </w:tblPr>
    <w:tblStylePr w:type="firstRow">
      <w:rPr>
        <w:rFonts w:ascii="Times New Roman" w:hAnsi="Times New Roman" w:eastAsia="宋体"/>
        <w:sz w:val="21"/>
      </w:rPr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495</Characters>
  <Lines>60</Lines>
  <Paragraphs>58</Paragraphs>
  <TotalTime>67</TotalTime>
  <ScaleCrop>false</ScaleCrop>
  <LinksUpToDate>false</LinksUpToDate>
  <CharactersWithSpaces>539</CharactersWithSpaces>
  <Application>WPS Office_7.2.1.8947_F1E327BC-269C-435d-A152-05C5408002CA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2024-10-28T00:35:00Z</dcterms:created>
  <dc:creator>文雅 陈</dc:creator>
  <cp:lastModifiedBy>WPS_259026435</cp:lastModifiedBy>
  <dcterms:modified xsi:type="dcterms:W3CDTF">2025-03-13T21:33:10Z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6038021a01f6dfd50b0d364c69a3a15693b83ccac509dd80c5fd644d852e30df</vt:lpwstr>
  </property>
  <property fmtid="{D5CDD505-2E9C-101B-9397-08002B2CF9AE}" pid="3" name="KSOProductBuildVer">
    <vt:lpwstr>2052-7.2.1.8947</vt:lpwstr>
  </property>
  <property fmtid="{D5CDD505-2E9C-101B-9397-08002B2CF9AE}" pid="4" name="ICV">
    <vt:lpwstr>098726381F9C462088D452A7F10A5A95_12</vt:lpwstr>
  </property>
</Properties>
</file>