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858A4A" w14:textId="77777777" w:rsidR="00F847A2" w:rsidRDefault="00F847A2">
      <w:pPr>
        <w:tabs>
          <w:tab w:val="left" w:pos="270"/>
        </w:tabs>
        <w:ind w:left="720"/>
      </w:pPr>
    </w:p>
    <w:p w14:paraId="2D170F47" w14:textId="77777777" w:rsidR="00F847A2" w:rsidRDefault="00F847A2"/>
    <w:p w14:paraId="68B1DAD3" w14:textId="77777777" w:rsidR="00F847A2" w:rsidRDefault="00000000">
      <w:r>
        <w:rPr>
          <w:b/>
        </w:rPr>
        <w:t>Supplemental Figures:</w:t>
      </w:r>
    </w:p>
    <w:p w14:paraId="0A24CE29" w14:textId="77777777" w:rsidR="00F847A2" w:rsidRDefault="00000000">
      <w:pPr>
        <w:rPr>
          <w:b/>
        </w:rPr>
      </w:pPr>
      <w:r>
        <w:rPr>
          <w:b/>
        </w:rPr>
        <w:t>Figure S1: Process for ATM sensor curation.</w:t>
      </w:r>
    </w:p>
    <w:p w14:paraId="4105B7E3" w14:textId="77777777" w:rsidR="00F847A2" w:rsidRDefault="00000000">
      <w:pPr>
        <w:numPr>
          <w:ilvl w:val="0"/>
          <w:numId w:val="2"/>
        </w:numPr>
      </w:pPr>
      <w:r>
        <w:t>Phosphorylation site Serine 831 on 53BP1 was selected from the phosphoproteomic data generated to determine an ATR sensor. This site was induced by CPT but not dependent on ATR, and had previously been found to be phosphorylated by ATM.</w:t>
      </w:r>
    </w:p>
    <w:p w14:paraId="136C53C3" w14:textId="77777777" w:rsidR="00F847A2" w:rsidRDefault="00000000">
      <w:pPr>
        <w:numPr>
          <w:ilvl w:val="0"/>
          <w:numId w:val="2"/>
        </w:numPr>
      </w:pPr>
      <w:r>
        <w:t xml:space="preserve">The 53BP1 Serine 831 phosphopeptide sequence was cloned into a ProKAS biosensor after adding a code to the N-terminal end. </w:t>
      </w:r>
    </w:p>
    <w:p w14:paraId="3DD62094" w14:textId="77777777" w:rsidR="00F847A2" w:rsidRDefault="00000000">
      <w:pPr>
        <w:numPr>
          <w:ilvl w:val="0"/>
          <w:numId w:val="2"/>
        </w:numPr>
      </w:pPr>
      <w:r>
        <w:t>Mass spectrometry was able to detect the phosphorylated form of this ATM sensor candidate, as shown by the MS/MS spectrum.</w:t>
      </w:r>
    </w:p>
    <w:p w14:paraId="5AACA535" w14:textId="77777777" w:rsidR="00F847A2" w:rsidRDefault="00000000">
      <w:pPr>
        <w:numPr>
          <w:ilvl w:val="0"/>
          <w:numId w:val="2"/>
        </w:numPr>
      </w:pPr>
      <w:r>
        <w:t>Phosphorylation of this ATM sensor candidate was observed to increase after cells were treated with 1 micromolar CPT for 1 hour, whereas the unphosphorylated form of this sensor did not change in abundance.</w:t>
      </w:r>
    </w:p>
    <w:p w14:paraId="2C4ABB1F" w14:textId="77777777" w:rsidR="00F847A2" w:rsidRDefault="00000000">
      <w:pPr>
        <w:numPr>
          <w:ilvl w:val="0"/>
          <w:numId w:val="2"/>
        </w:numPr>
      </w:pPr>
      <w:r>
        <w:t>Induced phosphorylation of this ATM sensor candidate did not occur after the addition of the ATM inhibitor AZD-0156.</w:t>
      </w:r>
    </w:p>
    <w:p w14:paraId="49F95812" w14:textId="77777777" w:rsidR="00F847A2" w:rsidRDefault="00000000">
      <w:pPr>
        <w:ind w:left="720"/>
      </w:pPr>
      <w:r>
        <w:t>Error bars/envelopes in D indicate the mean and standard deviation of triplicate independent experiments.</w:t>
      </w:r>
    </w:p>
    <w:p w14:paraId="7DB49323" w14:textId="77777777" w:rsidR="00F847A2" w:rsidRDefault="00000000">
      <w:pPr>
        <w:rPr>
          <w:b/>
        </w:rPr>
      </w:pPr>
      <w:r>
        <w:rPr>
          <w:b/>
        </w:rPr>
        <w:t>Figure S2: ProKAS biosensor designs for testing the effect of kinase sensor order on phosphorylation levels.</w:t>
      </w:r>
    </w:p>
    <w:p w14:paraId="137D9570" w14:textId="77777777" w:rsidR="00F847A2" w:rsidRDefault="00000000">
      <w:pPr>
        <w:numPr>
          <w:ilvl w:val="0"/>
          <w:numId w:val="5"/>
        </w:numPr>
      </w:pPr>
      <w:r>
        <w:t>The “forward” order of the kinase sensors: ATR - ATM - CHK1.</w:t>
      </w:r>
    </w:p>
    <w:p w14:paraId="53DA9692" w14:textId="77777777" w:rsidR="00F847A2" w:rsidRDefault="00000000">
      <w:pPr>
        <w:numPr>
          <w:ilvl w:val="0"/>
          <w:numId w:val="5"/>
        </w:numPr>
      </w:pPr>
      <w:r>
        <w:t>The “inverted” order of the kinase sensors: CHK1 - ATM - ATR.</w:t>
      </w:r>
    </w:p>
    <w:p w14:paraId="03CF3150" w14:textId="77777777" w:rsidR="00F847A2" w:rsidRDefault="00000000">
      <w:pPr>
        <w:numPr>
          <w:ilvl w:val="0"/>
          <w:numId w:val="5"/>
        </w:numPr>
      </w:pPr>
      <w:r>
        <w:t>Forward and inverted ProKAS biosensors showed no difference in sensor phosphorylation after 1 hour of treatment with 1 micromolar CPT.</w:t>
      </w:r>
    </w:p>
    <w:p w14:paraId="3EA38E79" w14:textId="77777777" w:rsidR="00F847A2" w:rsidRDefault="00000000">
      <w:pPr>
        <w:ind w:left="720"/>
      </w:pPr>
      <w:r>
        <w:t>Error bars/envelopes in C indicate the mean and standard deviation of triplicate independent experiments.</w:t>
      </w:r>
    </w:p>
    <w:p w14:paraId="239D8B94" w14:textId="77777777" w:rsidR="00F847A2" w:rsidRDefault="00000000">
      <w:pPr>
        <w:rPr>
          <w:b/>
        </w:rPr>
      </w:pPr>
      <w:r>
        <w:rPr>
          <w:b/>
        </w:rPr>
        <w:lastRenderedPageBreak/>
        <w:t>Figure S3: Kinase sensor expression does not impact endogenous DDR signaling</w:t>
      </w:r>
    </w:p>
    <w:p w14:paraId="6E007B83" w14:textId="77777777" w:rsidR="00F847A2" w:rsidRDefault="00000000">
      <w:pPr>
        <w:ind w:left="720"/>
        <w:rPr>
          <w:b/>
        </w:rPr>
      </w:pPr>
      <w:r>
        <w:t>Western blot where markers for ATM (KAP1 phosphorylation at S824) and ATR (CHK1 phosphorylation at S345) were measured in cells expressing an “EV” version of the ProKAS biosensor or the version containing kinase sensors for ATR, ATM, and CHK1 (denoted as “PK”). “EV” biosensors include all components of the ProKAS biosensor except for the MKS. Cells were treated with 1 micromolar CPT or 1 millimolar HU for 2 hours before lysis and Western blotting.</w:t>
      </w:r>
    </w:p>
    <w:p w14:paraId="238F4D1F" w14:textId="77777777" w:rsidR="00F847A2" w:rsidRDefault="00000000">
      <w:pPr>
        <w:rPr>
          <w:b/>
        </w:rPr>
      </w:pPr>
      <w:r>
        <w:rPr>
          <w:b/>
        </w:rPr>
        <w:t>Figure S4: Amino acid barcodes show no difference in phosphorylation efficiency.</w:t>
      </w:r>
    </w:p>
    <w:p w14:paraId="4B8E73C1" w14:textId="77777777" w:rsidR="00F847A2" w:rsidRDefault="00000000">
      <w:pPr>
        <w:ind w:left="720"/>
      </w:pPr>
      <w:r>
        <w:t>Nuclear ProKAS constructs containing sensors for ATR, CHK1, and ATM with three different amino acid barcodes (GAG, GVG, and AGA) were co-expressed in HEK293T cells and showed no significant difference in levels of induced phosphorylation after treatment with 1 micromolar CPT for 1 hour. Error bars/envelopes indicate the mean and standard deviation of triplicate independent experiments.</w:t>
      </w:r>
    </w:p>
    <w:p w14:paraId="32FB969F" w14:textId="77777777" w:rsidR="00F847A2" w:rsidRDefault="00000000">
      <w:pPr>
        <w:rPr>
          <w:b/>
        </w:rPr>
      </w:pPr>
      <w:r>
        <w:rPr>
          <w:b/>
        </w:rPr>
        <w:t>Figure S5: Inhibition of nuclear and cytosolic ATM activity</w:t>
      </w:r>
    </w:p>
    <w:p w14:paraId="78CE0DA0" w14:textId="77777777" w:rsidR="00F847A2" w:rsidRDefault="00000000">
      <w:pPr>
        <w:numPr>
          <w:ilvl w:val="0"/>
          <w:numId w:val="6"/>
        </w:numPr>
        <w:tabs>
          <w:tab w:val="left" w:pos="270"/>
        </w:tabs>
      </w:pPr>
      <w:r>
        <w:t xml:space="preserve">ATM inhibitor impairs ATM sensor phosphorylation in both the nucleus and cytosol after treatment with CPT (Label free quantification). </w:t>
      </w:r>
    </w:p>
    <w:p w14:paraId="13EDB85A" w14:textId="77777777" w:rsidR="00F847A2" w:rsidRDefault="00000000">
      <w:pPr>
        <w:numPr>
          <w:ilvl w:val="0"/>
          <w:numId w:val="6"/>
        </w:numPr>
        <w:tabs>
          <w:tab w:val="left" w:pos="270"/>
        </w:tabs>
      </w:pPr>
      <w:r>
        <w:t xml:space="preserve">ATM inhibitor impairs ATM sensor phosphorylation in both the nucleus and cytosol after treatment with DOXR (Label free quantification). </w:t>
      </w:r>
    </w:p>
    <w:p w14:paraId="21C60686" w14:textId="77777777" w:rsidR="00F847A2" w:rsidRDefault="00000000">
      <w:pPr>
        <w:ind w:left="720"/>
      </w:pPr>
      <w:r>
        <w:t>Error bars/envelopes indicate the mean and standard deviation of duplicate independent experiments for A and triplicate independent experiments for B.</w:t>
      </w:r>
    </w:p>
    <w:p w14:paraId="44F51480" w14:textId="77777777" w:rsidR="00F847A2" w:rsidRDefault="00000000">
      <w:pPr>
        <w:pStyle w:val="Heading1"/>
        <w:pBdr>
          <w:top w:val="nil"/>
          <w:left w:val="nil"/>
          <w:bottom w:val="nil"/>
          <w:right w:val="nil"/>
          <w:between w:val="nil"/>
        </w:pBdr>
        <w:jc w:val="left"/>
      </w:pPr>
      <w:bookmarkStart w:id="0" w:name="_2bn6wsx" w:colFirst="0" w:colLast="0"/>
      <w:bookmarkEnd w:id="0"/>
      <w:r>
        <w:br w:type="page"/>
      </w:r>
    </w:p>
    <w:p w14:paraId="092059D4" w14:textId="77777777" w:rsidR="00F847A2" w:rsidRDefault="00000000">
      <w:pPr>
        <w:pStyle w:val="Heading1"/>
        <w:pBdr>
          <w:top w:val="nil"/>
          <w:left w:val="nil"/>
          <w:bottom w:val="nil"/>
          <w:right w:val="nil"/>
          <w:between w:val="nil"/>
        </w:pBdr>
        <w:jc w:val="left"/>
      </w:pPr>
      <w:bookmarkStart w:id="1" w:name="_qsh70q" w:colFirst="0" w:colLast="0"/>
      <w:bookmarkEnd w:id="1"/>
      <w:r>
        <w:lastRenderedPageBreak/>
        <w:t>Figures</w:t>
      </w:r>
      <w:r>
        <w:rPr>
          <w:noProof/>
        </w:rPr>
        <w:drawing>
          <wp:inline distT="114300" distB="114300" distL="114300" distR="114300" wp14:anchorId="55CB488B" wp14:editId="72AADFB3">
            <wp:extent cx="6858000" cy="61341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6858000" cy="6134100"/>
                    </a:xfrm>
                    <a:prstGeom prst="rect">
                      <a:avLst/>
                    </a:prstGeom>
                    <a:ln/>
                  </pic:spPr>
                </pic:pic>
              </a:graphicData>
            </a:graphic>
          </wp:inline>
        </w:drawing>
      </w:r>
    </w:p>
    <w:p w14:paraId="3922E000" w14:textId="77777777" w:rsidR="00F847A2" w:rsidRDefault="00000000">
      <w:r>
        <w:rPr>
          <w:noProof/>
        </w:rPr>
        <w:lastRenderedPageBreak/>
        <w:drawing>
          <wp:inline distT="114300" distB="114300" distL="114300" distR="114300" wp14:anchorId="2054C2C0" wp14:editId="6EC008CD">
            <wp:extent cx="6858000" cy="826770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6858000" cy="8267700"/>
                    </a:xfrm>
                    <a:prstGeom prst="rect">
                      <a:avLst/>
                    </a:prstGeom>
                    <a:ln/>
                  </pic:spPr>
                </pic:pic>
              </a:graphicData>
            </a:graphic>
          </wp:inline>
        </w:drawing>
      </w:r>
    </w:p>
    <w:p w14:paraId="09F82C81" w14:textId="77777777" w:rsidR="00F847A2" w:rsidRDefault="00000000">
      <w:r>
        <w:rPr>
          <w:noProof/>
        </w:rPr>
        <w:lastRenderedPageBreak/>
        <w:drawing>
          <wp:inline distT="114300" distB="114300" distL="114300" distR="114300" wp14:anchorId="581EA47F" wp14:editId="2A9977ED">
            <wp:extent cx="6438900" cy="8626783"/>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38900" cy="8626783"/>
                    </a:xfrm>
                    <a:prstGeom prst="rect">
                      <a:avLst/>
                    </a:prstGeom>
                    <a:ln/>
                  </pic:spPr>
                </pic:pic>
              </a:graphicData>
            </a:graphic>
          </wp:inline>
        </w:drawing>
      </w:r>
    </w:p>
    <w:p w14:paraId="10D015CD" w14:textId="77777777" w:rsidR="00F847A2" w:rsidRDefault="00000000">
      <w:r>
        <w:rPr>
          <w:noProof/>
        </w:rPr>
        <w:lastRenderedPageBreak/>
        <w:drawing>
          <wp:inline distT="114300" distB="114300" distL="114300" distR="114300" wp14:anchorId="5C9A8621" wp14:editId="2F188152">
            <wp:extent cx="6858000" cy="791210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6858000" cy="7912100"/>
                    </a:xfrm>
                    <a:prstGeom prst="rect">
                      <a:avLst/>
                    </a:prstGeom>
                    <a:ln/>
                  </pic:spPr>
                </pic:pic>
              </a:graphicData>
            </a:graphic>
          </wp:inline>
        </w:drawing>
      </w:r>
    </w:p>
    <w:p w14:paraId="19E11126" w14:textId="77777777" w:rsidR="00F847A2" w:rsidRDefault="00000000">
      <w:r>
        <w:rPr>
          <w:noProof/>
        </w:rPr>
        <w:lastRenderedPageBreak/>
        <w:drawing>
          <wp:inline distT="114300" distB="114300" distL="114300" distR="114300" wp14:anchorId="5A25FEC1" wp14:editId="7EAB1564">
            <wp:extent cx="6329363" cy="8689942"/>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329363" cy="8689942"/>
                    </a:xfrm>
                    <a:prstGeom prst="rect">
                      <a:avLst/>
                    </a:prstGeom>
                    <a:ln/>
                  </pic:spPr>
                </pic:pic>
              </a:graphicData>
            </a:graphic>
          </wp:inline>
        </w:drawing>
      </w:r>
    </w:p>
    <w:p w14:paraId="6A5B90B4" w14:textId="77777777" w:rsidR="00F847A2" w:rsidRDefault="00000000">
      <w:r>
        <w:rPr>
          <w:noProof/>
        </w:rPr>
        <w:lastRenderedPageBreak/>
        <w:drawing>
          <wp:inline distT="114300" distB="114300" distL="114300" distR="114300" wp14:anchorId="04609105" wp14:editId="07A831AE">
            <wp:extent cx="6472238" cy="8800445"/>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6472238" cy="8800445"/>
                    </a:xfrm>
                    <a:prstGeom prst="rect">
                      <a:avLst/>
                    </a:prstGeom>
                    <a:ln/>
                  </pic:spPr>
                </pic:pic>
              </a:graphicData>
            </a:graphic>
          </wp:inline>
        </w:drawing>
      </w:r>
    </w:p>
    <w:sectPr w:rsidR="00F847A2">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68D54" w14:textId="77777777" w:rsidR="00F01894" w:rsidRDefault="00F01894">
      <w:pPr>
        <w:spacing w:line="240" w:lineRule="auto"/>
      </w:pPr>
      <w:r>
        <w:separator/>
      </w:r>
    </w:p>
  </w:endnote>
  <w:endnote w:type="continuationSeparator" w:id="0">
    <w:p w14:paraId="1CE08BF8" w14:textId="77777777" w:rsidR="00F01894" w:rsidRDefault="00F018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3E2C6DB8-252A-465B-8550-46A00AD8C36F}"/>
  </w:font>
  <w:font w:name="Cambria">
    <w:panose1 w:val="02040503050406030204"/>
    <w:charset w:val="00"/>
    <w:family w:val="roman"/>
    <w:pitch w:val="variable"/>
    <w:sig w:usb0="E00006FF" w:usb1="420024FF" w:usb2="02000000" w:usb3="00000000" w:csb0="0000019F" w:csb1="00000000"/>
    <w:embedRegular r:id="rId2" w:fontKey="{F0175AFF-4DB1-4686-8AED-E1BDE342D59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EF29E" w14:textId="77777777" w:rsidR="00680DE9" w:rsidRDefault="00680D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ED10E" w14:textId="77777777" w:rsidR="00F847A2" w:rsidRDefault="00000000">
    <w:pPr>
      <w:jc w:val="right"/>
    </w:pPr>
    <w:r>
      <w:fldChar w:fldCharType="begin"/>
    </w:r>
    <w:r>
      <w:instrText>PAGE</w:instrText>
    </w:r>
    <w:r>
      <w:fldChar w:fldCharType="separate"/>
    </w:r>
    <w:r w:rsidR="00680DE9">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F40A9" w14:textId="77777777" w:rsidR="00680DE9" w:rsidRDefault="00680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836CC" w14:textId="77777777" w:rsidR="00F01894" w:rsidRDefault="00F01894">
      <w:pPr>
        <w:spacing w:line="240" w:lineRule="auto"/>
      </w:pPr>
      <w:r>
        <w:separator/>
      </w:r>
    </w:p>
  </w:footnote>
  <w:footnote w:type="continuationSeparator" w:id="0">
    <w:p w14:paraId="5986E34B" w14:textId="77777777" w:rsidR="00F01894" w:rsidRDefault="00F018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6A6EF" w14:textId="77777777" w:rsidR="00680DE9" w:rsidRDefault="00680D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C241F" w14:textId="77777777" w:rsidR="00F847A2" w:rsidRDefault="00F847A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9A390" w14:textId="77777777" w:rsidR="00680DE9" w:rsidRDefault="00680D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77E52"/>
    <w:multiLevelType w:val="multilevel"/>
    <w:tmpl w:val="C0446F1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3A1B7A"/>
    <w:multiLevelType w:val="multilevel"/>
    <w:tmpl w:val="B63223B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F504601"/>
    <w:multiLevelType w:val="multilevel"/>
    <w:tmpl w:val="D1D6BCE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6795E4B"/>
    <w:multiLevelType w:val="multilevel"/>
    <w:tmpl w:val="5896F18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43B713F"/>
    <w:multiLevelType w:val="multilevel"/>
    <w:tmpl w:val="AB54449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63436CD"/>
    <w:multiLevelType w:val="multilevel"/>
    <w:tmpl w:val="21AE5EB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14B1D0C"/>
    <w:multiLevelType w:val="multilevel"/>
    <w:tmpl w:val="055854B6"/>
    <w:lvl w:ilvl="0">
      <w:start w:val="1"/>
      <w:numFmt w:val="upperLetter"/>
      <w:lvlText w:val="%1)"/>
      <w:lvlJc w:val="left"/>
      <w:pPr>
        <w:ind w:left="720" w:hanging="360"/>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9005158"/>
    <w:multiLevelType w:val="multilevel"/>
    <w:tmpl w:val="E892F02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37554965">
    <w:abstractNumId w:val="7"/>
  </w:num>
  <w:num w:numId="2" w16cid:durableId="643975308">
    <w:abstractNumId w:val="2"/>
  </w:num>
  <w:num w:numId="3" w16cid:durableId="1193375239">
    <w:abstractNumId w:val="1"/>
  </w:num>
  <w:num w:numId="4" w16cid:durableId="401878193">
    <w:abstractNumId w:val="6"/>
  </w:num>
  <w:num w:numId="5" w16cid:durableId="484396947">
    <w:abstractNumId w:val="5"/>
  </w:num>
  <w:num w:numId="6" w16cid:durableId="396517094">
    <w:abstractNumId w:val="0"/>
  </w:num>
  <w:num w:numId="7" w16cid:durableId="1526403750">
    <w:abstractNumId w:val="4"/>
  </w:num>
  <w:num w:numId="8" w16cid:durableId="17449127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7A2"/>
    <w:rsid w:val="00194487"/>
    <w:rsid w:val="001E6DEC"/>
    <w:rsid w:val="00224544"/>
    <w:rsid w:val="003436AC"/>
    <w:rsid w:val="004100A7"/>
    <w:rsid w:val="00637C54"/>
    <w:rsid w:val="00680DE9"/>
    <w:rsid w:val="006B60E9"/>
    <w:rsid w:val="007C79E0"/>
    <w:rsid w:val="00A96A7C"/>
    <w:rsid w:val="00AE2274"/>
    <w:rsid w:val="00BD3B02"/>
    <w:rsid w:val="00D11C36"/>
    <w:rsid w:val="00E52E6A"/>
    <w:rsid w:val="00F01894"/>
    <w:rsid w:val="00F84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919BB6"/>
  <w15:docId w15:val="{D30BA018-794E-1A45-9719-A6549ACB1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32"/>
      <w:szCs w:val="32"/>
    </w:rPr>
  </w:style>
  <w:style w:type="paragraph" w:styleId="Heading2">
    <w:name w:val="heading 2"/>
    <w:basedOn w:val="Normal"/>
    <w:next w:val="Normal"/>
    <w:uiPriority w:val="9"/>
    <w:unhideWhenUsed/>
    <w:qFormat/>
    <w:pPr>
      <w:keepNext/>
      <w:keepLines/>
      <w:outlineLvl w:val="1"/>
    </w:pPr>
    <w:rPr>
      <w:b/>
      <w:sz w:val="24"/>
      <w:szCs w:val="24"/>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before="400" w:after="120"/>
    </w:pPr>
    <w:rPr>
      <w:b/>
      <w:sz w:val="40"/>
      <w:szCs w:val="40"/>
      <w:u w:val="single"/>
    </w:rPr>
  </w:style>
  <w:style w:type="paragraph" w:styleId="Header">
    <w:name w:val="header"/>
    <w:basedOn w:val="Normal"/>
    <w:link w:val="HeaderChar"/>
    <w:uiPriority w:val="99"/>
    <w:unhideWhenUsed/>
    <w:rsid w:val="00680DE9"/>
    <w:pPr>
      <w:tabs>
        <w:tab w:val="center" w:pos="4680"/>
        <w:tab w:val="right" w:pos="9360"/>
      </w:tabs>
      <w:spacing w:line="240" w:lineRule="auto"/>
    </w:pPr>
  </w:style>
  <w:style w:type="character" w:customStyle="1" w:styleId="HeaderChar">
    <w:name w:val="Header Char"/>
    <w:basedOn w:val="DefaultParagraphFont"/>
    <w:link w:val="Header"/>
    <w:uiPriority w:val="99"/>
    <w:rsid w:val="00680DE9"/>
  </w:style>
  <w:style w:type="paragraph" w:styleId="Footer">
    <w:name w:val="footer"/>
    <w:basedOn w:val="Normal"/>
    <w:link w:val="FooterChar"/>
    <w:uiPriority w:val="99"/>
    <w:unhideWhenUsed/>
    <w:rsid w:val="00680DE9"/>
    <w:pPr>
      <w:tabs>
        <w:tab w:val="center" w:pos="4680"/>
        <w:tab w:val="right" w:pos="9360"/>
      </w:tabs>
      <w:spacing w:line="240" w:lineRule="auto"/>
    </w:pPr>
  </w:style>
  <w:style w:type="character" w:customStyle="1" w:styleId="FooterChar">
    <w:name w:val="Footer Char"/>
    <w:basedOn w:val="DefaultParagraphFont"/>
    <w:link w:val="Footer"/>
    <w:uiPriority w:val="99"/>
    <w:rsid w:val="00680D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441</Words>
  <Characters>2518</Characters>
  <Application>Microsoft Office Word</Application>
  <DocSecurity>0</DocSecurity>
  <Lines>20</Lines>
  <Paragraphs>5</Paragraphs>
  <ScaleCrop>false</ScaleCrop>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2025-03-27T08:49:00Z</dcterms:created>
  <dcterms:modified xsi:type="dcterms:W3CDTF">2025-03-27T08:49:00Z</dcterms:modified>
</cp:coreProperties>
</file>