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62796B" w14:textId="58B6647F" w:rsidR="00E37363" w:rsidRPr="00A02FED" w:rsidRDefault="00E37363" w:rsidP="00E37363">
      <w:pPr>
        <w:rPr>
          <w:rFonts w:cstheme="minorHAnsi"/>
          <w:b/>
        </w:rPr>
      </w:pPr>
      <w:r w:rsidRPr="00A02FED">
        <w:rPr>
          <w:rFonts w:cstheme="minorHAnsi"/>
          <w:b/>
        </w:rPr>
        <w:t xml:space="preserve">Additional file 3 </w:t>
      </w:r>
      <w:r w:rsidR="00983A62" w:rsidRPr="00A02FED">
        <w:rPr>
          <w:rFonts w:cstheme="minorHAnsi"/>
          <w:b/>
        </w:rPr>
        <w:t>–Tables summarising each method by taxonomy classification and type of event suitable for</w:t>
      </w:r>
    </w:p>
    <w:p w14:paraId="5CD89FF6" w14:textId="77777777" w:rsidR="00E37363" w:rsidRPr="00A02FED" w:rsidRDefault="00E37363" w:rsidP="00E37363">
      <w:pPr>
        <w:rPr>
          <w:rFonts w:cstheme="minorHAnsi"/>
          <w:b/>
        </w:rPr>
      </w:pPr>
      <w:r w:rsidRPr="00A02FED">
        <w:rPr>
          <w:rFonts w:cstheme="minorHAnsi"/>
          <w:b/>
        </w:rPr>
        <w:t>Table 3: Summary of visual approaches to summarise AE data in phase II/III RCTs</w:t>
      </w: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7"/>
        <w:gridCol w:w="1420"/>
        <w:gridCol w:w="2835"/>
        <w:gridCol w:w="4111"/>
        <w:gridCol w:w="5103"/>
      </w:tblGrid>
      <w:tr w:rsidR="00E37363" w:rsidRPr="00253ACD" w14:paraId="4D715D3A" w14:textId="77777777" w:rsidTr="00B45076">
        <w:trPr>
          <w:trHeight w:val="300"/>
        </w:trPr>
        <w:tc>
          <w:tcPr>
            <w:tcW w:w="1127" w:type="dxa"/>
            <w:shd w:val="clear" w:color="auto" w:fill="auto"/>
            <w:noWrap/>
            <w:vAlign w:val="bottom"/>
            <w:hideMark/>
          </w:tcPr>
          <w:p w14:paraId="7D7D9301" w14:textId="77777777" w:rsidR="00E37363" w:rsidRPr="009D5C34" w:rsidRDefault="00E37363" w:rsidP="00B45076">
            <w:pPr>
              <w:spacing w:after="0" w:line="240" w:lineRule="auto"/>
              <w:rPr>
                <w:rFonts w:eastAsia="Times New Roman" w:cstheme="minorHAnsi"/>
                <w:b/>
                <w:bCs/>
                <w:color w:val="000000"/>
                <w:sz w:val="20"/>
                <w:szCs w:val="20"/>
                <w:lang w:eastAsia="en-GB"/>
              </w:rPr>
            </w:pPr>
            <w:r w:rsidRPr="009D5C34">
              <w:rPr>
                <w:rFonts w:eastAsia="Times New Roman" w:cstheme="minorHAnsi"/>
                <w:b/>
                <w:bCs/>
                <w:color w:val="000000"/>
                <w:sz w:val="20"/>
                <w:szCs w:val="20"/>
                <w:lang w:eastAsia="en-GB"/>
              </w:rPr>
              <w:t>Outcome</w:t>
            </w:r>
          </w:p>
        </w:tc>
        <w:tc>
          <w:tcPr>
            <w:tcW w:w="1420" w:type="dxa"/>
            <w:shd w:val="clear" w:color="auto" w:fill="auto"/>
            <w:noWrap/>
            <w:vAlign w:val="bottom"/>
            <w:hideMark/>
          </w:tcPr>
          <w:p w14:paraId="557D9881" w14:textId="77777777" w:rsidR="00E37363" w:rsidRPr="00253ACD" w:rsidRDefault="00E37363" w:rsidP="00B45076">
            <w:pPr>
              <w:spacing w:after="0" w:line="240" w:lineRule="auto"/>
              <w:rPr>
                <w:rFonts w:eastAsia="Times New Roman" w:cstheme="minorHAnsi"/>
                <w:b/>
                <w:bCs/>
                <w:color w:val="000000"/>
                <w:sz w:val="20"/>
                <w:szCs w:val="20"/>
                <w:lang w:eastAsia="en-GB"/>
              </w:rPr>
            </w:pPr>
            <w:r w:rsidRPr="00253ACD">
              <w:rPr>
                <w:rFonts w:eastAsia="Times New Roman" w:cstheme="minorHAnsi"/>
                <w:b/>
                <w:bCs/>
                <w:color w:val="000000"/>
                <w:sz w:val="20"/>
                <w:szCs w:val="20"/>
                <w:lang w:eastAsia="en-GB"/>
              </w:rPr>
              <w:t>Data type</w:t>
            </w:r>
          </w:p>
        </w:tc>
        <w:tc>
          <w:tcPr>
            <w:tcW w:w="2835" w:type="dxa"/>
            <w:shd w:val="clear" w:color="auto" w:fill="auto"/>
            <w:noWrap/>
            <w:vAlign w:val="center"/>
            <w:hideMark/>
          </w:tcPr>
          <w:p w14:paraId="4E50728A" w14:textId="77777777" w:rsidR="00E37363" w:rsidRPr="00253ACD" w:rsidRDefault="00E37363" w:rsidP="00B45076">
            <w:pPr>
              <w:spacing w:after="0" w:line="240" w:lineRule="auto"/>
              <w:rPr>
                <w:rFonts w:eastAsia="Times New Roman" w:cstheme="minorHAnsi"/>
                <w:b/>
                <w:bCs/>
                <w:color w:val="000000"/>
                <w:sz w:val="20"/>
                <w:szCs w:val="20"/>
                <w:lang w:eastAsia="en-GB"/>
              </w:rPr>
            </w:pPr>
            <w:r w:rsidRPr="00253ACD">
              <w:rPr>
                <w:rFonts w:eastAsia="Times New Roman" w:cstheme="minorHAnsi"/>
                <w:b/>
                <w:bCs/>
                <w:color w:val="000000"/>
                <w:sz w:val="20"/>
                <w:szCs w:val="20"/>
                <w:lang w:eastAsia="en-GB"/>
              </w:rPr>
              <w:t>Plot</w:t>
            </w:r>
          </w:p>
        </w:tc>
        <w:tc>
          <w:tcPr>
            <w:tcW w:w="4111" w:type="dxa"/>
            <w:shd w:val="clear" w:color="auto" w:fill="auto"/>
            <w:noWrap/>
            <w:vAlign w:val="center"/>
            <w:hideMark/>
          </w:tcPr>
          <w:p w14:paraId="7F4704A0" w14:textId="77777777" w:rsidR="00E37363" w:rsidRPr="00253ACD" w:rsidRDefault="00E37363" w:rsidP="00B45076">
            <w:pPr>
              <w:spacing w:after="0" w:line="240" w:lineRule="auto"/>
              <w:rPr>
                <w:rFonts w:eastAsia="Times New Roman" w:cstheme="minorHAnsi"/>
                <w:b/>
                <w:bCs/>
                <w:color w:val="000000"/>
                <w:sz w:val="20"/>
                <w:szCs w:val="20"/>
                <w:lang w:eastAsia="en-GB"/>
              </w:rPr>
            </w:pPr>
            <w:r w:rsidRPr="00253ACD">
              <w:rPr>
                <w:rFonts w:eastAsia="Times New Roman" w:cstheme="minorHAnsi"/>
                <w:b/>
                <w:bCs/>
                <w:color w:val="000000"/>
                <w:sz w:val="20"/>
                <w:szCs w:val="20"/>
                <w:lang w:eastAsia="en-GB"/>
              </w:rPr>
              <w:t>Reference</w:t>
            </w:r>
          </w:p>
        </w:tc>
        <w:tc>
          <w:tcPr>
            <w:tcW w:w="5103" w:type="dxa"/>
            <w:shd w:val="clear" w:color="auto" w:fill="auto"/>
            <w:vAlign w:val="center"/>
            <w:hideMark/>
          </w:tcPr>
          <w:p w14:paraId="62896EED" w14:textId="77777777" w:rsidR="00E37363" w:rsidRPr="00253ACD" w:rsidRDefault="00E37363" w:rsidP="00B45076">
            <w:pPr>
              <w:spacing w:after="0" w:line="240" w:lineRule="auto"/>
              <w:rPr>
                <w:rFonts w:eastAsia="Times New Roman" w:cstheme="minorHAnsi"/>
                <w:b/>
                <w:bCs/>
                <w:color w:val="000000"/>
                <w:sz w:val="20"/>
                <w:szCs w:val="20"/>
                <w:lang w:eastAsia="en-GB"/>
              </w:rPr>
            </w:pPr>
            <w:r w:rsidRPr="00253ACD">
              <w:rPr>
                <w:rFonts w:eastAsia="Times New Roman" w:cstheme="minorHAnsi"/>
                <w:b/>
                <w:bCs/>
                <w:color w:val="000000"/>
                <w:sz w:val="20"/>
                <w:szCs w:val="20"/>
                <w:lang w:eastAsia="en-GB"/>
              </w:rPr>
              <w:t>Brief Description</w:t>
            </w:r>
          </w:p>
        </w:tc>
      </w:tr>
      <w:tr w:rsidR="00E37363" w:rsidRPr="00253ACD" w14:paraId="70BAE28E" w14:textId="77777777" w:rsidTr="00B45076">
        <w:trPr>
          <w:trHeight w:val="539"/>
        </w:trPr>
        <w:tc>
          <w:tcPr>
            <w:tcW w:w="1127" w:type="dxa"/>
            <w:vMerge w:val="restart"/>
            <w:shd w:val="clear" w:color="auto" w:fill="auto"/>
            <w:vAlign w:val="center"/>
            <w:hideMark/>
          </w:tcPr>
          <w:p w14:paraId="11125FD3" w14:textId="77777777" w:rsidR="00E37363" w:rsidRDefault="00E37363" w:rsidP="00B45076">
            <w:pPr>
              <w:spacing w:after="0" w:line="240" w:lineRule="auto"/>
              <w:jc w:val="center"/>
              <w:rPr>
                <w:rFonts w:eastAsia="Times New Roman" w:cstheme="minorHAnsi"/>
                <w:b/>
                <w:bCs/>
                <w:color w:val="000000"/>
                <w:sz w:val="20"/>
                <w:szCs w:val="20"/>
                <w:lang w:eastAsia="en-GB"/>
              </w:rPr>
            </w:pPr>
            <w:r>
              <w:rPr>
                <w:rFonts w:eastAsia="Times New Roman" w:cstheme="minorHAnsi"/>
                <w:b/>
                <w:bCs/>
                <w:color w:val="000000"/>
                <w:sz w:val="20"/>
                <w:szCs w:val="20"/>
                <w:lang w:eastAsia="en-GB"/>
              </w:rPr>
              <w:t>Emerging a</w:t>
            </w:r>
            <w:r w:rsidRPr="00253ACD">
              <w:rPr>
                <w:rFonts w:eastAsia="Times New Roman" w:cstheme="minorHAnsi"/>
                <w:b/>
                <w:bCs/>
                <w:color w:val="000000"/>
                <w:sz w:val="20"/>
                <w:szCs w:val="20"/>
                <w:lang w:eastAsia="en-GB"/>
              </w:rPr>
              <w:t>dverse events</w:t>
            </w:r>
          </w:p>
          <w:p w14:paraId="08F2EEC2" w14:textId="77777777" w:rsidR="00E37363" w:rsidRPr="00253ACD" w:rsidRDefault="00E37363" w:rsidP="00B45076">
            <w:pPr>
              <w:spacing w:after="0" w:line="240" w:lineRule="auto"/>
              <w:jc w:val="center"/>
              <w:rPr>
                <w:rFonts w:eastAsia="Times New Roman" w:cstheme="minorHAnsi"/>
                <w:b/>
                <w:bCs/>
                <w:color w:val="000000"/>
                <w:sz w:val="20"/>
                <w:szCs w:val="20"/>
                <w:lang w:eastAsia="en-GB"/>
              </w:rPr>
            </w:pPr>
            <w:r>
              <w:rPr>
                <w:rFonts w:eastAsia="Times New Roman" w:cstheme="minorHAnsi"/>
                <w:b/>
                <w:bCs/>
                <w:color w:val="000000"/>
                <w:sz w:val="20"/>
                <w:szCs w:val="20"/>
                <w:lang w:eastAsia="en-GB"/>
              </w:rPr>
              <w:t>(multiple)</w:t>
            </w:r>
          </w:p>
        </w:tc>
        <w:tc>
          <w:tcPr>
            <w:tcW w:w="1420" w:type="dxa"/>
            <w:shd w:val="clear" w:color="auto" w:fill="auto"/>
            <w:noWrap/>
            <w:vAlign w:val="center"/>
            <w:hideMark/>
          </w:tcPr>
          <w:p w14:paraId="6ABE386E"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Binary</w:t>
            </w:r>
          </w:p>
        </w:tc>
        <w:tc>
          <w:tcPr>
            <w:tcW w:w="2835" w:type="dxa"/>
            <w:shd w:val="clear" w:color="auto" w:fill="auto"/>
            <w:noWrap/>
            <w:vAlign w:val="center"/>
            <w:hideMark/>
          </w:tcPr>
          <w:p w14:paraId="1E87B765"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Volcano</w:t>
            </w:r>
          </w:p>
        </w:tc>
        <w:tc>
          <w:tcPr>
            <w:tcW w:w="4111" w:type="dxa"/>
            <w:shd w:val="clear" w:color="auto" w:fill="auto"/>
            <w:vAlign w:val="center"/>
            <w:hideMark/>
          </w:tcPr>
          <w:p w14:paraId="57935297"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Zink,</w:t>
            </w:r>
            <w:r w:rsidRPr="005A22E3">
              <w:rPr>
                <w:rFonts w:cstheme="minorHAnsi"/>
                <w:sz w:val="20"/>
                <w:szCs w:val="20"/>
              </w:rPr>
              <w:t xml:space="preserve"> </w:t>
            </w:r>
            <w:proofErr w:type="spellStart"/>
            <w:r w:rsidRPr="005A22E3">
              <w:rPr>
                <w:rFonts w:cstheme="minorHAnsi"/>
                <w:sz w:val="20"/>
                <w:szCs w:val="20"/>
              </w:rPr>
              <w:t>Wolfinger</w:t>
            </w:r>
            <w:proofErr w:type="spellEnd"/>
            <w:r w:rsidRPr="005A22E3">
              <w:rPr>
                <w:rFonts w:cstheme="minorHAnsi"/>
                <w:sz w:val="20"/>
                <w:szCs w:val="20"/>
              </w:rPr>
              <w:t xml:space="preserve"> </w:t>
            </w:r>
            <w:r>
              <w:rPr>
                <w:rFonts w:cstheme="minorHAnsi"/>
                <w:sz w:val="20"/>
                <w:szCs w:val="20"/>
              </w:rPr>
              <w:t>&amp;</w:t>
            </w:r>
            <w:r w:rsidRPr="005A22E3">
              <w:rPr>
                <w:rFonts w:cstheme="minorHAnsi"/>
                <w:sz w:val="20"/>
                <w:szCs w:val="20"/>
              </w:rPr>
              <w:t xml:space="preserve"> Mann</w:t>
            </w:r>
            <w:r w:rsidRPr="00253ACD">
              <w:rPr>
                <w:rFonts w:eastAsia="Times New Roman" w:cstheme="minorHAnsi"/>
                <w:color w:val="000000"/>
                <w:sz w:val="20"/>
                <w:szCs w:val="20"/>
                <w:lang w:eastAsia="en-GB"/>
              </w:rPr>
              <w:t xml:space="preserve"> 2013.</w:t>
            </w:r>
            <w:r>
              <w:rPr>
                <w:rFonts w:eastAsia="Times New Roman" w:cstheme="minorHAnsi"/>
                <w:color w:val="000000"/>
                <w:sz w:val="20"/>
                <w:szCs w:val="20"/>
                <w:lang w:eastAsia="en-GB"/>
              </w:rPr>
              <w:t xml:space="preserve"> Xia 2011</w:t>
            </w:r>
            <w:r w:rsidRPr="00253ACD">
              <w:rPr>
                <w:rFonts w:eastAsia="Times New Roman" w:cstheme="minorHAnsi"/>
                <w:color w:val="000000"/>
                <w:sz w:val="20"/>
                <w:szCs w:val="20"/>
                <w:lang w:eastAsia="en-GB"/>
              </w:rPr>
              <w:t xml:space="preserve"> first proposed</w:t>
            </w:r>
            <w:r>
              <w:rPr>
                <w:rFonts w:eastAsia="Times New Roman" w:cstheme="minorHAnsi"/>
                <w:color w:val="000000"/>
                <w:sz w:val="20"/>
                <w:szCs w:val="20"/>
                <w:lang w:eastAsia="en-GB"/>
              </w:rPr>
              <w:t xml:space="preserve"> this method</w:t>
            </w:r>
            <w:r w:rsidRPr="00253ACD">
              <w:rPr>
                <w:rFonts w:eastAsia="Times New Roman" w:cstheme="minorHAnsi"/>
                <w:color w:val="000000"/>
                <w:sz w:val="20"/>
                <w:szCs w:val="20"/>
                <w:lang w:eastAsia="en-GB"/>
              </w:rPr>
              <w:t xml:space="preserve"> for systematic reviews but </w:t>
            </w:r>
            <w:r>
              <w:rPr>
                <w:rFonts w:eastAsia="Times New Roman" w:cstheme="minorHAnsi"/>
                <w:color w:val="000000"/>
                <w:sz w:val="20"/>
                <w:szCs w:val="20"/>
                <w:lang w:eastAsia="en-GB"/>
              </w:rPr>
              <w:t xml:space="preserve">was </w:t>
            </w:r>
            <w:r w:rsidRPr="00253ACD">
              <w:rPr>
                <w:rFonts w:eastAsia="Times New Roman" w:cstheme="minorHAnsi"/>
                <w:color w:val="000000"/>
                <w:sz w:val="20"/>
                <w:szCs w:val="20"/>
                <w:lang w:eastAsia="en-GB"/>
              </w:rPr>
              <w:t>not eligible for inclusion in this review.</w:t>
            </w:r>
            <w:r>
              <w:rPr>
                <w:rFonts w:eastAsia="Times New Roman" w:cstheme="minorHAnsi"/>
                <w:color w:val="000000"/>
                <w:sz w:val="20"/>
                <w:szCs w:val="20"/>
                <w:lang w:eastAsia="en-GB"/>
              </w:rPr>
              <w:fldChar w:fldCharType="begin">
                <w:fldData xml:space="preserve">PEVuZE5vdGU+PENpdGU+PEF1dGhvcj5aaW5rPC9BdXRob3I+PFllYXI+MjAxMzwvWWVhcj48UmVj
TnVtPjE1OTU5PC9SZWNOdW0+PERpc3BsYXlUZXh0PjxzdHlsZSBmYWNlPSJzdXBlcnNjcmlwdCI+
MSwgMjwvc3R5bGU+PC9EaXNwbGF5VGV4dD48cmVjb3JkPjxyZWMtbnVtYmVyPjE1OTU5PC9yZWMt
bnVtYmVyPjxmb3JlaWduLWtleXM+PGtleSBhcHA9IkVOIiBkYi1pZD0iejJmNWE1cHQwMjIycDhl
c2VzdXY1OXRvdzB0cnR6ZnBkeGF3IiB0aW1lc3RhbXA9IjE1MjEwNDk4OTgiPjE1OTU5PC9rZXk+
PC9mb3JlaWduLWtleXM+PHJlZi10eXBlIG5hbWU9IkpvdXJuYWwgQXJ0aWNsZSI+MTc8L3JlZi10
eXBlPjxjb250cmlidXRvcnM+PGF1dGhvcnM+PGF1dGhvcj5aaW5rLCBSLiBDLjwvYXV0aG9yPjxh
dXRob3I+V29sZmluZ2VyLCBSLiBELjwvYXV0aG9yPjxhdXRob3I+TWFubiwgRy48L2F1dGhvcj48
L2F1dGhvcnM+PC9jb250cmlidXRvcnM+PGF1dGgtYWRkcmVzcz4oWmluaywgV29sZmluZ2VyLCBN
YW5uKSBKTVAgTGlmZSBTY2llbmNlcywgU0FTIEluc3RpdHV0ZSwgSW5jLiwgU0FTIENhbXB1cyBE
cml2ZSwgQ2FyeSwgTkMgMjc1MTMsIFVuaXRlZCBTdGF0ZXM8L2F1dGgtYWRkcmVzcz48dGl0bGVz
Pjx0aXRsZT5TdW1tYXJpemluZyB0aGUgaW5jaWRlbmNlIG9mIGFkdmVyc2UgZXZlbnRzIHVzaW5n
IHZvbGNhbm8gcGxvdHMgYW5kIHRpbWUgaW50ZXJ2YWxzPC90aXRsZT48c2Vjb25kYXJ5LXRpdGxl
PkNsaW5pY2FsIFRyaWFsczwvc2Vjb25kYXJ5LXRpdGxlPjwvdGl0bGVzPjxwZXJpb2RpY2FsPjxm
dWxsLXRpdGxlPkNsaW5pY2FsIFRyaWFsczwvZnVsbC10aXRsZT48L3BlcmlvZGljYWw+PHBhZ2Vz
PjM5OC00MDY8L3BhZ2VzPjx2b2x1bWU+MTA8L3ZvbHVtZT48bnVtYmVyPjM8L251bWJlcj48ZGF0
ZXM+PHllYXI+MjAxMzwveWVhcj48cHViLWRhdGVzPjxkYXRlPkp1bmU8L2RhdGU+PC9wdWItZGF0
ZXM+PC9kYXRlcz48YWNjZXNzaW9uLW51bT4zNjg5OTczOTE8L2FjY2Vzc2lvbi1udW0+PHVybHM+
PHJlbGF0ZWQtdXJscz48dXJsPmh0dHA6Ly9vdmlkc3Aub3ZpZC5jb20vb3ZpZHdlYi5jZ2k/VD1K
UyZhbXA7Q1NDPVkmYW1wO05FV1M9TiZhbXA7UEFHRT1mdWxsdGV4dCZhbXA7RD1lbWVkMTUmYW1w
O0FOPTM2ODk5NzM5MTwvdXJsPjwvcmVsYXRlZC11cmxzPjwvdXJscz48cmVtb3RlLWRhdGFiYXNl
LW5hbWU+RW1iYXNlPC9yZW1vdGUtZGF0YWJhc2UtbmFtZT48cmVtb3RlLWRhdGFiYXNlLXByb3Zp
ZGVyPk92aWQgVGVjaG5vbG9naWVzPC9yZW1vdGUtZGF0YWJhc2UtcHJvdmlkZXI+PC9yZWNvcmQ+
PC9DaXRlPjxDaXRlPjxBdXRob3I+WGlhPC9BdXRob3I+PFllYXI+MjAxMTwvWWVhcj48UmVjTnVt
PjI0OTQ5PC9SZWNOdW0+PHJlY29yZD48cmVjLW51bWJlcj4yNDk0OTwvcmVjLW51bWJlcj48Zm9y
ZWlnbi1rZXlzPjxrZXkgYXBwPSJFTiIgZGItaWQ9InoyZjVhNXB0MDIyMnA4ZXNlc3V2NTl0b3cw
dHJ0emZwZHhhdyIgdGltZXN0YW1wPSIxNTUwMDU5NDg0Ij4yNDk0OTwva2V5PjwvZm9yZWlnbi1r
ZXlzPjxyZWYtdHlwZSBuYW1lPSJKb3VybmFsIEFydGljbGUiPjE3PC9yZWYtdHlwZT48Y29udHJp
YnV0b3JzPjxhdXRob3JzPjxhdXRob3I+WGlhLCBIIEFteTwvYXV0aG9yPjxhdXRob3I+Q3Jvd2Us
IEJyZW5kYSBKPC9hdXRob3I+PGF1dGhvcj5TY2hyaXZlciwgUm9iZXJ0IEM8L2F1dGhvcj48YXV0
aG9yPk9zdGVyLCBNYW5mcmVkPC9hdXRob3I+PGF1dGhvcj5IYWxsLCBEYXZpZCBCPC9hdXRob3I+
PC9hdXRob3JzPjwvY29udHJpYnV0b3JzPjx0aXRsZXM+PHRpdGxlPlBsYW5uaW5nIGFuZCBjb3Jl
IGFuYWx5c2VzIGZvciBwZXJpb2RpYyBhZ2dyZWdhdGUgc2FmZXR5IGRhdGEgcmV2aWV3czwvdGl0
bGU+PHNlY29uZGFyeS10aXRsZT5DbGluaWNhbCBUcmlhbHM8L3NlY29uZGFyeS10aXRsZT48L3Rp
dGxlcz48cGVyaW9kaWNhbD48ZnVsbC10aXRsZT5DbGluaWNhbCBUcmlhbHM8L2Z1bGwtdGl0bGU+
PC9wZXJpb2RpY2FsPjxwYWdlcz4xNzUtMTgyPC9wYWdlcz48dm9sdW1lPjg8L3ZvbHVtZT48bnVt
YmVyPjI8L251bWJlcj48ZGF0ZXM+PHllYXI+MjAxMTwveWVhcj48L2RhdGVzPjxhY2Nlc3Npb24t
bnVtPjIxMjcwMTQyPC9hY2Nlc3Npb24tbnVtPjx1cmxzPjxyZWxhdGVkLXVybHM+PHVybD5odHRw
czovL2pvdXJuYWxzLnNhZ2VwdWIuY29tL2RvaS9hYnMvMTAuMTE3Ny8xNzQwNzc0NTEwMzk1NjM1
PC91cmw+PC9yZWxhdGVkLXVybHM+PC91cmxzPjxlbGVjdHJvbmljLXJlc291cmNlLW51bT4xMC4x
MTc3LzE3NDA3NzQ1MTAzOTU2MzU8L2VsZWN0cm9uaWMtcmVzb3VyY2UtbnVtPjwvcmVjb3JkPjwv
Q2l0ZT48L0VuZE5vdGU+
</w:fldData>
              </w:fldChar>
            </w:r>
            <w:r>
              <w:rPr>
                <w:rFonts w:eastAsia="Times New Roman" w:cstheme="minorHAnsi"/>
                <w:color w:val="000000"/>
                <w:sz w:val="20"/>
                <w:szCs w:val="20"/>
                <w:lang w:eastAsia="en-GB"/>
              </w:rPr>
              <w:instrText xml:space="preserve"> ADDIN EN.CITE </w:instrText>
            </w:r>
            <w:r>
              <w:rPr>
                <w:rFonts w:eastAsia="Times New Roman" w:cstheme="minorHAnsi"/>
                <w:color w:val="000000"/>
                <w:sz w:val="20"/>
                <w:szCs w:val="20"/>
                <w:lang w:eastAsia="en-GB"/>
              </w:rPr>
              <w:fldChar w:fldCharType="begin">
                <w:fldData xml:space="preserve">PEVuZE5vdGU+PENpdGU+PEF1dGhvcj5aaW5rPC9BdXRob3I+PFllYXI+MjAxMzwvWWVhcj48UmVj
TnVtPjE1OTU5PC9SZWNOdW0+PERpc3BsYXlUZXh0PjxzdHlsZSBmYWNlPSJzdXBlcnNjcmlwdCI+
MSwgMjwvc3R5bGU+PC9EaXNwbGF5VGV4dD48cmVjb3JkPjxyZWMtbnVtYmVyPjE1OTU5PC9yZWMt
bnVtYmVyPjxmb3JlaWduLWtleXM+PGtleSBhcHA9IkVOIiBkYi1pZD0iejJmNWE1cHQwMjIycDhl
c2VzdXY1OXRvdzB0cnR6ZnBkeGF3IiB0aW1lc3RhbXA9IjE1MjEwNDk4OTgiPjE1OTU5PC9rZXk+
PC9mb3JlaWduLWtleXM+PHJlZi10eXBlIG5hbWU9IkpvdXJuYWwgQXJ0aWNsZSI+MTc8L3JlZi10
eXBlPjxjb250cmlidXRvcnM+PGF1dGhvcnM+PGF1dGhvcj5aaW5rLCBSLiBDLjwvYXV0aG9yPjxh
dXRob3I+V29sZmluZ2VyLCBSLiBELjwvYXV0aG9yPjxhdXRob3I+TWFubiwgRy48L2F1dGhvcj48
L2F1dGhvcnM+PC9jb250cmlidXRvcnM+PGF1dGgtYWRkcmVzcz4oWmluaywgV29sZmluZ2VyLCBN
YW5uKSBKTVAgTGlmZSBTY2llbmNlcywgU0FTIEluc3RpdHV0ZSwgSW5jLiwgU0FTIENhbXB1cyBE
cml2ZSwgQ2FyeSwgTkMgMjc1MTMsIFVuaXRlZCBTdGF0ZXM8L2F1dGgtYWRkcmVzcz48dGl0bGVz
Pjx0aXRsZT5TdW1tYXJpemluZyB0aGUgaW5jaWRlbmNlIG9mIGFkdmVyc2UgZXZlbnRzIHVzaW5n
IHZvbGNhbm8gcGxvdHMgYW5kIHRpbWUgaW50ZXJ2YWxzPC90aXRsZT48c2Vjb25kYXJ5LXRpdGxl
PkNsaW5pY2FsIFRyaWFsczwvc2Vjb25kYXJ5LXRpdGxlPjwvdGl0bGVzPjxwZXJpb2RpY2FsPjxm
dWxsLXRpdGxlPkNsaW5pY2FsIFRyaWFsczwvZnVsbC10aXRsZT48L3BlcmlvZGljYWw+PHBhZ2Vz
PjM5OC00MDY8L3BhZ2VzPjx2b2x1bWU+MTA8L3ZvbHVtZT48bnVtYmVyPjM8L251bWJlcj48ZGF0
ZXM+PHllYXI+MjAxMzwveWVhcj48cHViLWRhdGVzPjxkYXRlPkp1bmU8L2RhdGU+PC9wdWItZGF0
ZXM+PC9kYXRlcz48YWNjZXNzaW9uLW51bT4zNjg5OTczOTE8L2FjY2Vzc2lvbi1udW0+PHVybHM+
PHJlbGF0ZWQtdXJscz48dXJsPmh0dHA6Ly9vdmlkc3Aub3ZpZC5jb20vb3ZpZHdlYi5jZ2k/VD1K
UyZhbXA7Q1NDPVkmYW1wO05FV1M9TiZhbXA7UEFHRT1mdWxsdGV4dCZhbXA7RD1lbWVkMTUmYW1w
O0FOPTM2ODk5NzM5MTwvdXJsPjwvcmVsYXRlZC11cmxzPjwvdXJscz48cmVtb3RlLWRhdGFiYXNl
LW5hbWU+RW1iYXNlPC9yZW1vdGUtZGF0YWJhc2UtbmFtZT48cmVtb3RlLWRhdGFiYXNlLXByb3Zp
ZGVyPk92aWQgVGVjaG5vbG9naWVzPC9yZW1vdGUtZGF0YWJhc2UtcHJvdmlkZXI+PC9yZWNvcmQ+
PC9DaXRlPjxDaXRlPjxBdXRob3I+WGlhPC9BdXRob3I+PFllYXI+MjAxMTwvWWVhcj48UmVjTnVt
PjI0OTQ5PC9SZWNOdW0+PHJlY29yZD48cmVjLW51bWJlcj4yNDk0OTwvcmVjLW51bWJlcj48Zm9y
ZWlnbi1rZXlzPjxrZXkgYXBwPSJFTiIgZGItaWQ9InoyZjVhNXB0MDIyMnA4ZXNlc3V2NTl0b3cw
dHJ0emZwZHhhdyIgdGltZXN0YW1wPSIxNTUwMDU5NDg0Ij4yNDk0OTwva2V5PjwvZm9yZWlnbi1r
ZXlzPjxyZWYtdHlwZSBuYW1lPSJKb3VybmFsIEFydGljbGUiPjE3PC9yZWYtdHlwZT48Y29udHJp
YnV0b3JzPjxhdXRob3JzPjxhdXRob3I+WGlhLCBIIEFteTwvYXV0aG9yPjxhdXRob3I+Q3Jvd2Us
IEJyZW5kYSBKPC9hdXRob3I+PGF1dGhvcj5TY2hyaXZlciwgUm9iZXJ0IEM8L2F1dGhvcj48YXV0
aG9yPk9zdGVyLCBNYW5mcmVkPC9hdXRob3I+PGF1dGhvcj5IYWxsLCBEYXZpZCBCPC9hdXRob3I+
PC9hdXRob3JzPjwvY29udHJpYnV0b3JzPjx0aXRsZXM+PHRpdGxlPlBsYW5uaW5nIGFuZCBjb3Jl
IGFuYWx5c2VzIGZvciBwZXJpb2RpYyBhZ2dyZWdhdGUgc2FmZXR5IGRhdGEgcmV2aWV3czwvdGl0
bGU+PHNlY29uZGFyeS10aXRsZT5DbGluaWNhbCBUcmlhbHM8L3NlY29uZGFyeS10aXRsZT48L3Rp
dGxlcz48cGVyaW9kaWNhbD48ZnVsbC10aXRsZT5DbGluaWNhbCBUcmlhbHM8L2Z1bGwtdGl0bGU+
PC9wZXJpb2RpY2FsPjxwYWdlcz4xNzUtMTgyPC9wYWdlcz48dm9sdW1lPjg8L3ZvbHVtZT48bnVt
YmVyPjI8L251bWJlcj48ZGF0ZXM+PHllYXI+MjAxMTwveWVhcj48L2RhdGVzPjxhY2Nlc3Npb24t
bnVtPjIxMjcwMTQyPC9hY2Nlc3Npb24tbnVtPjx1cmxzPjxyZWxhdGVkLXVybHM+PHVybD5odHRw
czovL2pvdXJuYWxzLnNhZ2VwdWIuY29tL2RvaS9hYnMvMTAuMTE3Ny8xNzQwNzc0NTEwMzk1NjM1
PC91cmw+PC9yZWxhdGVkLXVybHM+PC91cmxzPjxlbGVjdHJvbmljLXJlc291cmNlLW51bT4xMC4x
MTc3LzE3NDA3NzQ1MTAzOTU2MzU8L2VsZWN0cm9uaWMtcmVzb3VyY2UtbnVtPjwvcmVjb3JkPjwv
Q2l0ZT48L0VuZE5vdGU+
</w:fldData>
              </w:fldChar>
            </w:r>
            <w:r>
              <w:rPr>
                <w:rFonts w:eastAsia="Times New Roman" w:cstheme="minorHAnsi"/>
                <w:color w:val="000000"/>
                <w:sz w:val="20"/>
                <w:szCs w:val="20"/>
                <w:lang w:eastAsia="en-GB"/>
              </w:rPr>
              <w:instrText xml:space="preserve"> ADDIN EN.CITE.DATA </w:instrText>
            </w:r>
            <w:r>
              <w:rPr>
                <w:rFonts w:eastAsia="Times New Roman" w:cstheme="minorHAnsi"/>
                <w:color w:val="000000"/>
                <w:sz w:val="20"/>
                <w:szCs w:val="20"/>
                <w:lang w:eastAsia="en-GB"/>
              </w:rPr>
            </w:r>
            <w:r>
              <w:rPr>
                <w:rFonts w:eastAsia="Times New Roman" w:cstheme="minorHAnsi"/>
                <w:color w:val="000000"/>
                <w:sz w:val="20"/>
                <w:szCs w:val="20"/>
                <w:lang w:eastAsia="en-GB"/>
              </w:rPr>
              <w:fldChar w:fldCharType="end"/>
            </w:r>
            <w:r>
              <w:rPr>
                <w:rFonts w:eastAsia="Times New Roman" w:cstheme="minorHAnsi"/>
                <w:color w:val="000000"/>
                <w:sz w:val="20"/>
                <w:szCs w:val="20"/>
                <w:lang w:eastAsia="en-GB"/>
              </w:rPr>
            </w:r>
            <w:r>
              <w:rPr>
                <w:rFonts w:eastAsia="Times New Roman" w:cstheme="minorHAnsi"/>
                <w:color w:val="000000"/>
                <w:sz w:val="20"/>
                <w:szCs w:val="20"/>
                <w:lang w:eastAsia="en-GB"/>
              </w:rPr>
              <w:fldChar w:fldCharType="separate"/>
            </w:r>
            <w:r w:rsidRPr="00811DC2">
              <w:rPr>
                <w:rFonts w:eastAsia="Times New Roman" w:cstheme="minorHAnsi"/>
                <w:noProof/>
                <w:color w:val="000000"/>
                <w:sz w:val="20"/>
                <w:szCs w:val="20"/>
                <w:vertAlign w:val="superscript"/>
                <w:lang w:eastAsia="en-GB"/>
              </w:rPr>
              <w:t>1, 2</w:t>
            </w:r>
            <w:r>
              <w:rPr>
                <w:rFonts w:eastAsia="Times New Roman" w:cstheme="minorHAnsi"/>
                <w:color w:val="000000"/>
                <w:sz w:val="20"/>
                <w:szCs w:val="20"/>
                <w:lang w:eastAsia="en-GB"/>
              </w:rPr>
              <w:fldChar w:fldCharType="end"/>
            </w:r>
            <w:r w:rsidRPr="00253ACD">
              <w:rPr>
                <w:rFonts w:eastAsia="Times New Roman" w:cstheme="minorHAnsi"/>
                <w:color w:val="000000"/>
                <w:sz w:val="20"/>
                <w:szCs w:val="20"/>
                <w:lang w:eastAsia="en-GB"/>
              </w:rPr>
              <w:t xml:space="preserve"> </w:t>
            </w:r>
          </w:p>
        </w:tc>
        <w:tc>
          <w:tcPr>
            <w:tcW w:w="5103" w:type="dxa"/>
            <w:shd w:val="clear" w:color="auto" w:fill="auto"/>
            <w:vAlign w:val="center"/>
            <w:hideMark/>
          </w:tcPr>
          <w:p w14:paraId="49D44DD6"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Summarises</w:t>
            </w:r>
            <w:r w:rsidRPr="009D5C34">
              <w:rPr>
                <w:rFonts w:eastAsia="Times New Roman" w:cstheme="minorHAnsi"/>
                <w:color w:val="000000"/>
                <w:sz w:val="20"/>
                <w:szCs w:val="20"/>
                <w:lang w:eastAsia="en-GB"/>
              </w:rPr>
              <w:t xml:space="preserve"> and compares</w:t>
            </w:r>
            <w:r w:rsidRPr="00253ACD">
              <w:rPr>
                <w:rFonts w:eastAsia="Times New Roman" w:cstheme="minorHAnsi"/>
                <w:color w:val="000000"/>
                <w:sz w:val="20"/>
                <w:szCs w:val="20"/>
                <w:lang w:eastAsia="en-GB"/>
              </w:rPr>
              <w:t xml:space="preserve"> the incidence of each AE reported</w:t>
            </w:r>
            <w:r w:rsidRPr="009D5C34">
              <w:rPr>
                <w:rFonts w:eastAsia="Times New Roman" w:cstheme="minorHAnsi"/>
                <w:color w:val="000000"/>
                <w:sz w:val="20"/>
                <w:szCs w:val="20"/>
                <w:lang w:eastAsia="en-GB"/>
              </w:rPr>
              <w:t xml:space="preserve"> by treatment group</w:t>
            </w:r>
            <w:r w:rsidRPr="00253ACD">
              <w:rPr>
                <w:rFonts w:eastAsia="Times New Roman" w:cstheme="minorHAnsi"/>
                <w:color w:val="000000"/>
                <w:sz w:val="20"/>
                <w:szCs w:val="20"/>
                <w:lang w:eastAsia="en-GB"/>
              </w:rPr>
              <w:t xml:space="preserve">  </w:t>
            </w:r>
          </w:p>
        </w:tc>
      </w:tr>
      <w:tr w:rsidR="00E37363" w:rsidRPr="00253ACD" w14:paraId="10A5FE00" w14:textId="77777777" w:rsidTr="00B45076">
        <w:trPr>
          <w:trHeight w:val="900"/>
        </w:trPr>
        <w:tc>
          <w:tcPr>
            <w:tcW w:w="1127" w:type="dxa"/>
            <w:vMerge/>
            <w:shd w:val="clear" w:color="auto" w:fill="auto"/>
            <w:vAlign w:val="center"/>
            <w:hideMark/>
          </w:tcPr>
          <w:p w14:paraId="4C925D4B" w14:textId="77777777" w:rsidR="00E37363" w:rsidRPr="00253ACD" w:rsidRDefault="00E37363" w:rsidP="00B45076">
            <w:pPr>
              <w:spacing w:after="0" w:line="240" w:lineRule="auto"/>
              <w:rPr>
                <w:rFonts w:eastAsia="Times New Roman" w:cstheme="minorHAnsi"/>
                <w:b/>
                <w:bCs/>
                <w:color w:val="000000"/>
                <w:sz w:val="20"/>
                <w:szCs w:val="20"/>
                <w:lang w:eastAsia="en-GB"/>
              </w:rPr>
            </w:pPr>
          </w:p>
        </w:tc>
        <w:tc>
          <w:tcPr>
            <w:tcW w:w="1420" w:type="dxa"/>
            <w:tcBorders>
              <w:bottom w:val="single" w:sz="4" w:space="0" w:color="auto"/>
            </w:tcBorders>
            <w:shd w:val="clear" w:color="auto" w:fill="auto"/>
            <w:noWrap/>
            <w:vAlign w:val="center"/>
            <w:hideMark/>
          </w:tcPr>
          <w:p w14:paraId="2611DBE4"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Binary</w:t>
            </w:r>
          </w:p>
        </w:tc>
        <w:tc>
          <w:tcPr>
            <w:tcW w:w="2835" w:type="dxa"/>
            <w:tcBorders>
              <w:bottom w:val="single" w:sz="4" w:space="0" w:color="auto"/>
            </w:tcBorders>
            <w:shd w:val="clear" w:color="auto" w:fill="auto"/>
            <w:noWrap/>
            <w:vAlign w:val="center"/>
            <w:hideMark/>
          </w:tcPr>
          <w:p w14:paraId="162D84E9"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Dot</w:t>
            </w:r>
          </w:p>
        </w:tc>
        <w:tc>
          <w:tcPr>
            <w:tcW w:w="4111" w:type="dxa"/>
            <w:tcBorders>
              <w:bottom w:val="single" w:sz="4" w:space="0" w:color="auto"/>
            </w:tcBorders>
            <w:shd w:val="clear" w:color="auto" w:fill="auto"/>
            <w:vAlign w:val="center"/>
            <w:hideMark/>
          </w:tcPr>
          <w:p w14:paraId="6B509245"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Amit, </w:t>
            </w:r>
            <w:proofErr w:type="spellStart"/>
            <w:r w:rsidRPr="00253ACD">
              <w:rPr>
                <w:rFonts w:eastAsia="Times New Roman" w:cstheme="minorHAnsi"/>
                <w:color w:val="000000"/>
                <w:sz w:val="20"/>
                <w:szCs w:val="20"/>
                <w:lang w:eastAsia="en-GB"/>
              </w:rPr>
              <w:t>Heiberger</w:t>
            </w:r>
            <w:proofErr w:type="spellEnd"/>
            <w:r w:rsidRPr="00253ACD">
              <w:rPr>
                <w:rFonts w:eastAsia="Times New Roman" w:cstheme="minorHAnsi"/>
                <w:color w:val="000000"/>
                <w:sz w:val="20"/>
                <w:szCs w:val="20"/>
                <w:lang w:eastAsia="en-GB"/>
              </w:rPr>
              <w:t xml:space="preserve"> </w:t>
            </w:r>
            <w:r>
              <w:rPr>
                <w:rFonts w:eastAsia="Times New Roman" w:cstheme="minorHAnsi"/>
                <w:color w:val="000000"/>
                <w:sz w:val="20"/>
                <w:szCs w:val="20"/>
                <w:lang w:eastAsia="en-GB"/>
              </w:rPr>
              <w:t>&amp;</w:t>
            </w:r>
            <w:r w:rsidRPr="00253ACD">
              <w:rPr>
                <w:rFonts w:eastAsia="Times New Roman" w:cstheme="minorHAnsi"/>
                <w:color w:val="000000"/>
                <w:sz w:val="20"/>
                <w:szCs w:val="20"/>
                <w:lang w:eastAsia="en-GB"/>
              </w:rPr>
              <w:t xml:space="preserve"> Lane, 2008. Cooper, 2008 also proposed but for pooled trials therefore not eligible for inclusion in this review.</w:t>
            </w:r>
            <w:r>
              <w:rPr>
                <w:rFonts w:eastAsia="Times New Roman" w:cstheme="minorHAnsi"/>
                <w:color w:val="000000"/>
                <w:sz w:val="20"/>
                <w:szCs w:val="20"/>
                <w:lang w:eastAsia="en-GB"/>
              </w:rPr>
              <w:fldChar w:fldCharType="begin">
                <w:fldData xml:space="preserve">PEVuZE5vdGU+PENpdGU+PEF1dGhvcj5BbWl0PC9BdXRob3I+PFllYXI+MjAwODwvWWVhcj48UmVj
TnVtPjE3NTM5PC9SZWNOdW0+PERpc3BsYXlUZXh0PjxzdHlsZSBmYWNlPSJzdXBlcnNjcmlwdCI+
MywgNDwvc3R5bGU+PC9EaXNwbGF5VGV4dD48cmVjb3JkPjxyZWMtbnVtYmVyPjE3NTM5PC9yZWMt
bnVtYmVyPjxmb3JlaWduLWtleXM+PGtleSBhcHA9IkVOIiBkYi1pZD0iejJmNWE1cHQwMjIycDhl
c2VzdXY1OXRvdzB0cnR6ZnBkeGF3IiB0aW1lc3RhbXA9IjE1MjEwNTAwNjkiPjE3NTM5PC9rZXk+
PC9mb3JlaWduLWtleXM+PHJlZi10eXBlIG5hbWU9IkpvdXJuYWwgQXJ0aWNsZSI+MTc8L3JlZi10
eXBlPjxjb250cmlidXRvcnM+PGF1dGhvcnM+PGF1dGhvcj5BbWl0LCBPLjwvYXV0aG9yPjxhdXRo
b3I+SGVpYmVyZ2VyLCBSLiBNLjwvYXV0aG9yPjxhdXRob3I+TGFuZSwgUC4gVy48L2F1dGhvcj48
L2F1dGhvcnM+PC9jb250cmlidXRvcnM+PGF1dGgtYWRkcmVzcz4oQW1pdCkgT25jb2xvZ3kgTWVk
aWNpbmUgRGV2ZWxvcG1lbnQgQ2VudGVyLCBHbGF4b1NtaXRoS2xpbmUsIFVuaXRlZCBTdGF0ZXMg
KEhlaWJlcmdlcikgRGVwYXJ0bWVudCBvZiBTdGF0aXN0aWNzLCBUZW1wbGUgVW5pdmVyc2l0eSwg
UGhpbGFkZWxwaGlhLCBQQSwgVW5pdGVkIFN0YXRlcyAoTGFuZSkgUmVzZWFyY2ggU3RhdGlzdGlj
YWwgVW5pdCwgR2xheG9TbWl0aEtsaW5lLCBVbml0ZWQgS2luZ2RvbTwvYXV0aC1hZGRyZXNzPjx0
aXRsZXM+PHRpdGxlPkdyYXBoaWNhbCBhcHByb2FjaGVzIHRvIHRoZSBhbmFseXNpcyBvZiBzYWZl
dHkgZGF0YSBmcm9tIGNsaW5pY2FsIHRyaWFsczwvdGl0bGU+PHNlY29uZGFyeS10aXRsZT5QaGFy
bWFjZXV0aWNhbCBTdGF0aXN0aWNzPC9zZWNvbmRhcnktdGl0bGU+PC90aXRsZXM+PHBlcmlvZGlj
YWw+PGZ1bGwtdGl0bGU+UGhhcm1hY2V1dGljYWwgU3RhdGlzdGljczwvZnVsbC10aXRsZT48L3Bl
cmlvZGljYWw+PHBhZ2VzPjIwLTM1PC9wYWdlcz48dm9sdW1lPjc8L3ZvbHVtZT48bnVtYmVyPjE8
L251bWJlcj48ZGF0ZXM+PHllYXI+MjAwODwveWVhcj48cHViLWRhdGVzPjxkYXRlPkphbnVhcnkv
TWFyY2g8L2RhdGU+PC9wdWItZGF0ZXM+PC9kYXRlcz48YWNjZXNzaW9uLW51bT4zNTEzODUzMjM8
L2FjY2Vzc2lvbi1udW0+PHVybHM+PHJlbGF0ZWQtdXJscz48dXJsPmh0dHA6Ly9vdmlkc3Aub3Zp
ZC5jb20vb3ZpZHdlYi5jZ2k/VD1KUyZhbXA7Q1NDPVkmYW1wO05FV1M9TiZhbXA7UEFHRT1mdWxs
dGV4dCZhbXA7RD1lbWVkMTEmYW1wO0FOPTM1MTM4NTMyMzwvdXJsPjwvcmVsYXRlZC11cmxzPjwv
dXJscz48cmVtb3RlLWRhdGFiYXNlLW5hbWU+RW1iYXNlPC9yZW1vdGUtZGF0YWJhc2UtbmFtZT48
cmVtb3RlLWRhdGFiYXNlLXByb3ZpZGVyPk92aWQgVGVjaG5vbG9naWVzPC9yZW1vdGUtZGF0YWJh
c2UtcHJvdmlkZXI+PC9yZWNvcmQ+PC9DaXRlPjxDaXRlPjxBdXRob3I+Q29vcGVyPC9BdXRob3I+
PFllYXI+MjAwODwvWWVhcj48UmVjTnVtPjI0OTUwPC9SZWNOdW0+PHJlY29yZD48cmVjLW51bWJl
cj4yNDk1MDwvcmVjLW51bWJlcj48Zm9yZWlnbi1rZXlzPjxrZXkgYXBwPSJFTiIgZGItaWQ9Inoy
ZjVhNXB0MDIyMnA4ZXNlc3V2NTl0b3cwdHJ0emZwZHhhdyIgdGltZXN0YW1wPSIxNTUwMDU5Njg3
Ij4yNDk1MDwva2V5PjwvZm9yZWlnbi1rZXlzPjxyZWYtdHlwZSBuYW1lPSJKb3VybmFsIEFydGlj
bGUiPjE3PC9yZWYtdHlwZT48Y29udHJpYnV0b3JzPjxhdXRob3JzPjxhdXRob3I+Q29vcGVyLCBB
bmRyZXcgSi4gUC48L2F1dGhvcj48YXV0aG9yPkxldHRpcywgU2FsbHk8L2F1dGhvcj48YXV0aG9y
PkNoYXBtYW4sIENoYXJsb3R0ZSBMLjwvYXV0aG9yPjxhdXRob3I+RXZhbnMsIFN0ZXBoZW4gSi4g
Vy48L2F1dGhvcj48YXV0aG9yPldhbGxlciwgUGF0cmljayBDLjwvYXV0aG9yPjxhdXRob3I+U2hh
a2lyLCBTYWFkPC9hdXRob3I+PGF1dGhvcj5QYXl2YW5kaSwgTmFzc3JpbjwvYXV0aG9yPjxhdXRo
b3I+TXVycmF5LCBBbGlzb24gQi48L2F1dGhvcj48L2F1dGhvcnM+PC9jb250cmlidXRvcnM+PHRp
dGxlcz48dGl0bGU+RGV2ZWxvcGluZyB0b29scyBmb3IgdGhlIHNhZmV0eSBzcGVjaWZpY2F0aW9u
IGluIHJpc2sgbWFuYWdlbWVudCBwbGFuczogbGVzc29ucyBsZWFybmVkIGZyb20gYSBwaWxvdCBw
cm9qZWN0PC90aXRsZT48c2Vjb25kYXJ5LXRpdGxlPlBoYXJtYWNvZXBpZGVtaW9sb2d5IGFuZCBE
cnVnIFNhZmV0eTwvc2Vjb25kYXJ5LXRpdGxlPjwvdGl0bGVzPjxwZXJpb2RpY2FsPjxmdWxsLXRp
dGxlPlBoYXJtYWNvZXBpZGVtaW9sb2d5IGFuZCBEcnVnIFNhZmV0eTwvZnVsbC10aXRsZT48L3Bl
cmlvZGljYWw+PHBhZ2VzPjQ0NS00NTQ8L3BhZ2VzPjx2b2x1bWU+MTc8L3ZvbHVtZT48bnVtYmVy
PjU8L251bWJlcj48ZGF0ZXM+PHllYXI+MjAwODwveWVhcj48L2RhdGVzPjx1cmxzPjxyZWxhdGVk
LXVybHM+PHVybD5odHRwczovL29ubGluZWxpYnJhcnkud2lsZXkuY29tL2RvaS9hYnMvMTAuMTAw
Mi9wZHMuMTU3NjwvdXJsPjwvcmVsYXRlZC11cmxzPjwvdXJscz48ZWxlY3Ryb25pYy1yZXNvdXJj
ZS1udW0+ZG9pOjEwLjEwMDIvcGRzLjE1NzY8L2VsZWN0cm9uaWMtcmVzb3VyY2UtbnVtPjwvcmVj
b3JkPjwvQ2l0ZT48L0VuZE5vdGU+AG==
</w:fldData>
              </w:fldChar>
            </w:r>
            <w:r>
              <w:rPr>
                <w:rFonts w:eastAsia="Times New Roman" w:cstheme="minorHAnsi"/>
                <w:color w:val="000000"/>
                <w:sz w:val="20"/>
                <w:szCs w:val="20"/>
                <w:lang w:eastAsia="en-GB"/>
              </w:rPr>
              <w:instrText xml:space="preserve"> ADDIN EN.CITE </w:instrText>
            </w:r>
            <w:r>
              <w:rPr>
                <w:rFonts w:eastAsia="Times New Roman" w:cstheme="minorHAnsi"/>
                <w:color w:val="000000"/>
                <w:sz w:val="20"/>
                <w:szCs w:val="20"/>
                <w:lang w:eastAsia="en-GB"/>
              </w:rPr>
              <w:fldChar w:fldCharType="begin">
                <w:fldData xml:space="preserve">PEVuZE5vdGU+PENpdGU+PEF1dGhvcj5BbWl0PC9BdXRob3I+PFllYXI+MjAwODwvWWVhcj48UmVj
TnVtPjE3NTM5PC9SZWNOdW0+PERpc3BsYXlUZXh0PjxzdHlsZSBmYWNlPSJzdXBlcnNjcmlwdCI+
MywgNDwvc3R5bGU+PC9EaXNwbGF5VGV4dD48cmVjb3JkPjxyZWMtbnVtYmVyPjE3NTM5PC9yZWMt
bnVtYmVyPjxmb3JlaWduLWtleXM+PGtleSBhcHA9IkVOIiBkYi1pZD0iejJmNWE1cHQwMjIycDhl
c2VzdXY1OXRvdzB0cnR6ZnBkeGF3IiB0aW1lc3RhbXA9IjE1MjEwNTAwNjkiPjE3NTM5PC9rZXk+
PC9mb3JlaWduLWtleXM+PHJlZi10eXBlIG5hbWU9IkpvdXJuYWwgQXJ0aWNsZSI+MTc8L3JlZi10
eXBlPjxjb250cmlidXRvcnM+PGF1dGhvcnM+PGF1dGhvcj5BbWl0LCBPLjwvYXV0aG9yPjxhdXRo
b3I+SGVpYmVyZ2VyLCBSLiBNLjwvYXV0aG9yPjxhdXRob3I+TGFuZSwgUC4gVy48L2F1dGhvcj48
L2F1dGhvcnM+PC9jb250cmlidXRvcnM+PGF1dGgtYWRkcmVzcz4oQW1pdCkgT25jb2xvZ3kgTWVk
aWNpbmUgRGV2ZWxvcG1lbnQgQ2VudGVyLCBHbGF4b1NtaXRoS2xpbmUsIFVuaXRlZCBTdGF0ZXMg
KEhlaWJlcmdlcikgRGVwYXJ0bWVudCBvZiBTdGF0aXN0aWNzLCBUZW1wbGUgVW5pdmVyc2l0eSwg
UGhpbGFkZWxwaGlhLCBQQSwgVW5pdGVkIFN0YXRlcyAoTGFuZSkgUmVzZWFyY2ggU3RhdGlzdGlj
YWwgVW5pdCwgR2xheG9TbWl0aEtsaW5lLCBVbml0ZWQgS2luZ2RvbTwvYXV0aC1hZGRyZXNzPjx0
aXRsZXM+PHRpdGxlPkdyYXBoaWNhbCBhcHByb2FjaGVzIHRvIHRoZSBhbmFseXNpcyBvZiBzYWZl
dHkgZGF0YSBmcm9tIGNsaW5pY2FsIHRyaWFsczwvdGl0bGU+PHNlY29uZGFyeS10aXRsZT5QaGFy
bWFjZXV0aWNhbCBTdGF0aXN0aWNzPC9zZWNvbmRhcnktdGl0bGU+PC90aXRsZXM+PHBlcmlvZGlj
YWw+PGZ1bGwtdGl0bGU+UGhhcm1hY2V1dGljYWwgU3RhdGlzdGljczwvZnVsbC10aXRsZT48L3Bl
cmlvZGljYWw+PHBhZ2VzPjIwLTM1PC9wYWdlcz48dm9sdW1lPjc8L3ZvbHVtZT48bnVtYmVyPjE8
L251bWJlcj48ZGF0ZXM+PHllYXI+MjAwODwveWVhcj48cHViLWRhdGVzPjxkYXRlPkphbnVhcnkv
TWFyY2g8L2RhdGU+PC9wdWItZGF0ZXM+PC9kYXRlcz48YWNjZXNzaW9uLW51bT4zNTEzODUzMjM8
L2FjY2Vzc2lvbi1udW0+PHVybHM+PHJlbGF0ZWQtdXJscz48dXJsPmh0dHA6Ly9vdmlkc3Aub3Zp
ZC5jb20vb3ZpZHdlYi5jZ2k/VD1KUyZhbXA7Q1NDPVkmYW1wO05FV1M9TiZhbXA7UEFHRT1mdWxs
dGV4dCZhbXA7RD1lbWVkMTEmYW1wO0FOPTM1MTM4NTMyMzwvdXJsPjwvcmVsYXRlZC11cmxzPjwv
dXJscz48cmVtb3RlLWRhdGFiYXNlLW5hbWU+RW1iYXNlPC9yZW1vdGUtZGF0YWJhc2UtbmFtZT48
cmVtb3RlLWRhdGFiYXNlLXByb3ZpZGVyPk92aWQgVGVjaG5vbG9naWVzPC9yZW1vdGUtZGF0YWJh
c2UtcHJvdmlkZXI+PC9yZWNvcmQ+PC9DaXRlPjxDaXRlPjxBdXRob3I+Q29vcGVyPC9BdXRob3I+
PFllYXI+MjAwODwvWWVhcj48UmVjTnVtPjI0OTUwPC9SZWNOdW0+PHJlY29yZD48cmVjLW51bWJl
cj4yNDk1MDwvcmVjLW51bWJlcj48Zm9yZWlnbi1rZXlzPjxrZXkgYXBwPSJFTiIgZGItaWQ9Inoy
ZjVhNXB0MDIyMnA4ZXNlc3V2NTl0b3cwdHJ0emZwZHhhdyIgdGltZXN0YW1wPSIxNTUwMDU5Njg3
Ij4yNDk1MDwva2V5PjwvZm9yZWlnbi1rZXlzPjxyZWYtdHlwZSBuYW1lPSJKb3VybmFsIEFydGlj
bGUiPjE3PC9yZWYtdHlwZT48Y29udHJpYnV0b3JzPjxhdXRob3JzPjxhdXRob3I+Q29vcGVyLCBB
bmRyZXcgSi4gUC48L2F1dGhvcj48YXV0aG9yPkxldHRpcywgU2FsbHk8L2F1dGhvcj48YXV0aG9y
PkNoYXBtYW4sIENoYXJsb3R0ZSBMLjwvYXV0aG9yPjxhdXRob3I+RXZhbnMsIFN0ZXBoZW4gSi4g
Vy48L2F1dGhvcj48YXV0aG9yPldhbGxlciwgUGF0cmljayBDLjwvYXV0aG9yPjxhdXRob3I+U2hh
a2lyLCBTYWFkPC9hdXRob3I+PGF1dGhvcj5QYXl2YW5kaSwgTmFzc3JpbjwvYXV0aG9yPjxhdXRo
b3I+TXVycmF5LCBBbGlzb24gQi48L2F1dGhvcj48L2F1dGhvcnM+PC9jb250cmlidXRvcnM+PHRp
dGxlcz48dGl0bGU+RGV2ZWxvcGluZyB0b29scyBmb3IgdGhlIHNhZmV0eSBzcGVjaWZpY2F0aW9u
IGluIHJpc2sgbWFuYWdlbWVudCBwbGFuczogbGVzc29ucyBsZWFybmVkIGZyb20gYSBwaWxvdCBw
cm9qZWN0PC90aXRsZT48c2Vjb25kYXJ5LXRpdGxlPlBoYXJtYWNvZXBpZGVtaW9sb2d5IGFuZCBE
cnVnIFNhZmV0eTwvc2Vjb25kYXJ5LXRpdGxlPjwvdGl0bGVzPjxwZXJpb2RpY2FsPjxmdWxsLXRp
dGxlPlBoYXJtYWNvZXBpZGVtaW9sb2d5IGFuZCBEcnVnIFNhZmV0eTwvZnVsbC10aXRsZT48L3Bl
cmlvZGljYWw+PHBhZ2VzPjQ0NS00NTQ8L3BhZ2VzPjx2b2x1bWU+MTc8L3ZvbHVtZT48bnVtYmVy
PjU8L251bWJlcj48ZGF0ZXM+PHllYXI+MjAwODwveWVhcj48L2RhdGVzPjx1cmxzPjxyZWxhdGVk
LXVybHM+PHVybD5odHRwczovL29ubGluZWxpYnJhcnkud2lsZXkuY29tL2RvaS9hYnMvMTAuMTAw
Mi9wZHMuMTU3NjwvdXJsPjwvcmVsYXRlZC11cmxzPjwvdXJscz48ZWxlY3Ryb25pYy1yZXNvdXJj
ZS1udW0+ZG9pOjEwLjEwMDIvcGRzLjE1NzY8L2VsZWN0cm9uaWMtcmVzb3VyY2UtbnVtPjwvcmVj
b3JkPjwvQ2l0ZT48L0VuZE5vdGU+AG==
</w:fldData>
              </w:fldChar>
            </w:r>
            <w:r>
              <w:rPr>
                <w:rFonts w:eastAsia="Times New Roman" w:cstheme="minorHAnsi"/>
                <w:color w:val="000000"/>
                <w:sz w:val="20"/>
                <w:szCs w:val="20"/>
                <w:lang w:eastAsia="en-GB"/>
              </w:rPr>
              <w:instrText xml:space="preserve"> ADDIN EN.CITE.DATA </w:instrText>
            </w:r>
            <w:r>
              <w:rPr>
                <w:rFonts w:eastAsia="Times New Roman" w:cstheme="minorHAnsi"/>
                <w:color w:val="000000"/>
                <w:sz w:val="20"/>
                <w:szCs w:val="20"/>
                <w:lang w:eastAsia="en-GB"/>
              </w:rPr>
            </w:r>
            <w:r>
              <w:rPr>
                <w:rFonts w:eastAsia="Times New Roman" w:cstheme="minorHAnsi"/>
                <w:color w:val="000000"/>
                <w:sz w:val="20"/>
                <w:szCs w:val="20"/>
                <w:lang w:eastAsia="en-GB"/>
              </w:rPr>
              <w:fldChar w:fldCharType="end"/>
            </w:r>
            <w:r>
              <w:rPr>
                <w:rFonts w:eastAsia="Times New Roman" w:cstheme="minorHAnsi"/>
                <w:color w:val="000000"/>
                <w:sz w:val="20"/>
                <w:szCs w:val="20"/>
                <w:lang w:eastAsia="en-GB"/>
              </w:rPr>
            </w:r>
            <w:r>
              <w:rPr>
                <w:rFonts w:eastAsia="Times New Roman" w:cstheme="minorHAnsi"/>
                <w:color w:val="000000"/>
                <w:sz w:val="20"/>
                <w:szCs w:val="20"/>
                <w:lang w:eastAsia="en-GB"/>
              </w:rPr>
              <w:fldChar w:fldCharType="separate"/>
            </w:r>
            <w:r w:rsidRPr="00811DC2">
              <w:rPr>
                <w:rFonts w:eastAsia="Times New Roman" w:cstheme="minorHAnsi"/>
                <w:noProof/>
                <w:color w:val="000000"/>
                <w:sz w:val="20"/>
                <w:szCs w:val="20"/>
                <w:vertAlign w:val="superscript"/>
                <w:lang w:eastAsia="en-GB"/>
              </w:rPr>
              <w:t>3, 4</w:t>
            </w:r>
            <w:r>
              <w:rPr>
                <w:rFonts w:eastAsia="Times New Roman" w:cstheme="minorHAnsi"/>
                <w:color w:val="000000"/>
                <w:sz w:val="20"/>
                <w:szCs w:val="20"/>
                <w:lang w:eastAsia="en-GB"/>
              </w:rPr>
              <w:fldChar w:fldCharType="end"/>
            </w:r>
            <w:r w:rsidRPr="00253ACD">
              <w:rPr>
                <w:rFonts w:eastAsia="Times New Roman" w:cstheme="minorHAnsi"/>
                <w:color w:val="000000"/>
                <w:sz w:val="20"/>
                <w:szCs w:val="20"/>
                <w:lang w:eastAsia="en-GB"/>
              </w:rPr>
              <w:t xml:space="preserve"> </w:t>
            </w:r>
          </w:p>
        </w:tc>
        <w:tc>
          <w:tcPr>
            <w:tcW w:w="5103" w:type="dxa"/>
            <w:tcBorders>
              <w:bottom w:val="single" w:sz="4" w:space="0" w:color="auto"/>
            </w:tcBorders>
            <w:shd w:val="clear" w:color="auto" w:fill="auto"/>
            <w:vAlign w:val="center"/>
            <w:hideMark/>
          </w:tcPr>
          <w:p w14:paraId="0D0840AE"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Provides an absolute and relative measure</w:t>
            </w:r>
            <w:r w:rsidRPr="009D5C34">
              <w:rPr>
                <w:rFonts w:eastAsia="Times New Roman" w:cstheme="minorHAnsi"/>
                <w:color w:val="000000"/>
                <w:sz w:val="20"/>
                <w:szCs w:val="20"/>
                <w:lang w:eastAsia="en-GB"/>
              </w:rPr>
              <w:t xml:space="preserve"> compared across treatment group</w:t>
            </w:r>
            <w:r w:rsidRPr="00253ACD">
              <w:rPr>
                <w:rFonts w:eastAsia="Times New Roman" w:cstheme="minorHAnsi"/>
                <w:color w:val="000000"/>
                <w:sz w:val="20"/>
                <w:szCs w:val="20"/>
                <w:lang w:eastAsia="en-GB"/>
              </w:rPr>
              <w:t xml:space="preserve"> for each AE reported  </w:t>
            </w:r>
          </w:p>
        </w:tc>
      </w:tr>
      <w:tr w:rsidR="00E37363" w:rsidRPr="00253ACD" w14:paraId="25819D85" w14:textId="77777777" w:rsidTr="00B45076">
        <w:trPr>
          <w:trHeight w:val="300"/>
        </w:trPr>
        <w:tc>
          <w:tcPr>
            <w:tcW w:w="1127" w:type="dxa"/>
            <w:vMerge/>
            <w:shd w:val="clear" w:color="auto" w:fill="auto"/>
            <w:vAlign w:val="center"/>
          </w:tcPr>
          <w:p w14:paraId="4B0DEE9C" w14:textId="77777777" w:rsidR="00E37363" w:rsidRPr="00253ACD" w:rsidRDefault="00E37363" w:rsidP="00B45076">
            <w:pPr>
              <w:spacing w:after="0" w:line="240" w:lineRule="auto"/>
              <w:rPr>
                <w:rFonts w:eastAsia="Times New Roman" w:cstheme="minorHAnsi"/>
                <w:b/>
                <w:bCs/>
                <w:color w:val="000000"/>
                <w:sz w:val="20"/>
                <w:szCs w:val="20"/>
                <w:lang w:eastAsia="en-GB"/>
              </w:rPr>
            </w:pPr>
          </w:p>
        </w:tc>
        <w:tc>
          <w:tcPr>
            <w:tcW w:w="1420" w:type="dxa"/>
            <w:tcBorders>
              <w:top w:val="single" w:sz="4" w:space="0" w:color="auto"/>
              <w:left w:val="nil"/>
              <w:bottom w:val="single" w:sz="4" w:space="0" w:color="auto"/>
              <w:right w:val="single" w:sz="4" w:space="0" w:color="auto"/>
            </w:tcBorders>
            <w:shd w:val="clear" w:color="auto" w:fill="auto"/>
            <w:noWrap/>
            <w:vAlign w:val="center"/>
          </w:tcPr>
          <w:p w14:paraId="7087C1BE" w14:textId="77777777" w:rsidR="00E37363" w:rsidRPr="00FE3396" w:rsidRDefault="00E37363" w:rsidP="00B45076">
            <w:pPr>
              <w:spacing w:after="0" w:line="240" w:lineRule="auto"/>
              <w:rPr>
                <w:rFonts w:eastAsia="Times New Roman" w:cstheme="minorHAnsi"/>
                <w:color w:val="000000"/>
                <w:sz w:val="20"/>
                <w:szCs w:val="20"/>
                <w:lang w:eastAsia="en-GB"/>
              </w:rPr>
            </w:pPr>
            <w:r w:rsidRPr="00FE3396">
              <w:rPr>
                <w:rFonts w:ascii="Calibri" w:hAnsi="Calibri" w:cs="Calibri"/>
                <w:color w:val="000000"/>
                <w:sz w:val="20"/>
                <w:szCs w:val="20"/>
              </w:rPr>
              <w:t>Time-to-event</w:t>
            </w:r>
          </w:p>
        </w:tc>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208585" w14:textId="77777777" w:rsidR="00E37363" w:rsidRPr="00FE3396" w:rsidRDefault="00E37363" w:rsidP="00B45076">
            <w:pPr>
              <w:spacing w:after="0" w:line="240" w:lineRule="auto"/>
              <w:rPr>
                <w:rFonts w:eastAsia="Times New Roman" w:cstheme="minorHAnsi"/>
                <w:color w:val="000000"/>
                <w:sz w:val="20"/>
                <w:szCs w:val="20"/>
                <w:lang w:eastAsia="en-GB"/>
              </w:rPr>
            </w:pPr>
            <w:r w:rsidRPr="00FE3396">
              <w:rPr>
                <w:rFonts w:ascii="Calibri" w:hAnsi="Calibri" w:cs="Calibri"/>
                <w:color w:val="000000"/>
                <w:sz w:val="20"/>
                <w:szCs w:val="20"/>
              </w:rPr>
              <w:t>Tendril</w:t>
            </w:r>
          </w:p>
        </w:tc>
        <w:tc>
          <w:tcPr>
            <w:tcW w:w="41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AEFD95" w14:textId="77777777" w:rsidR="00E37363" w:rsidRPr="00FE3396" w:rsidRDefault="00E37363" w:rsidP="00B45076">
            <w:pPr>
              <w:spacing w:after="0" w:line="240" w:lineRule="auto"/>
              <w:rPr>
                <w:rFonts w:eastAsia="Times New Roman" w:cstheme="minorHAnsi"/>
                <w:color w:val="000000"/>
                <w:sz w:val="20"/>
                <w:szCs w:val="20"/>
                <w:lang w:eastAsia="en-GB"/>
              </w:rPr>
            </w:pPr>
            <w:proofErr w:type="spellStart"/>
            <w:r w:rsidRPr="00FE3396">
              <w:rPr>
                <w:rFonts w:ascii="Calibri" w:hAnsi="Calibri" w:cs="Calibri"/>
                <w:color w:val="000000"/>
                <w:sz w:val="20"/>
                <w:szCs w:val="20"/>
              </w:rPr>
              <w:t>Karpefors</w:t>
            </w:r>
            <w:proofErr w:type="spellEnd"/>
            <w:r w:rsidRPr="00FE3396">
              <w:rPr>
                <w:rFonts w:ascii="Calibri" w:hAnsi="Calibri" w:cs="Calibri"/>
                <w:color w:val="000000"/>
                <w:sz w:val="20"/>
                <w:szCs w:val="20"/>
              </w:rPr>
              <w:t xml:space="preserve"> &amp; </w:t>
            </w:r>
            <w:proofErr w:type="spellStart"/>
            <w:r w:rsidRPr="00FE3396">
              <w:rPr>
                <w:rFonts w:ascii="Calibri" w:hAnsi="Calibri" w:cs="Calibri"/>
                <w:color w:val="000000"/>
                <w:sz w:val="20"/>
                <w:szCs w:val="20"/>
              </w:rPr>
              <w:t>Weatherall</w:t>
            </w:r>
            <w:proofErr w:type="spellEnd"/>
            <w:r w:rsidRPr="00FE3396">
              <w:rPr>
                <w:rFonts w:ascii="Calibri" w:hAnsi="Calibri" w:cs="Calibri"/>
                <w:color w:val="000000"/>
                <w:sz w:val="20"/>
                <w:szCs w:val="20"/>
              </w:rPr>
              <w:t>, 2018.</w:t>
            </w:r>
            <w:r w:rsidRPr="00FE3396">
              <w:rPr>
                <w:rFonts w:eastAsia="Times New Roman" w:cstheme="minorHAnsi"/>
                <w:color w:val="000000"/>
                <w:sz w:val="20"/>
                <w:szCs w:val="20"/>
                <w:lang w:eastAsia="en-GB"/>
              </w:rPr>
              <w:t xml:space="preserve"> </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tcPr>
          <w:p w14:paraId="214314CC" w14:textId="77777777" w:rsidR="00E37363" w:rsidRPr="00FE3396" w:rsidRDefault="00E37363" w:rsidP="00B45076">
            <w:pPr>
              <w:spacing w:after="0" w:line="240" w:lineRule="auto"/>
              <w:rPr>
                <w:rFonts w:eastAsia="Times New Roman" w:cstheme="minorHAnsi"/>
                <w:color w:val="000000"/>
                <w:sz w:val="20"/>
                <w:szCs w:val="20"/>
                <w:lang w:eastAsia="en-GB"/>
              </w:rPr>
            </w:pPr>
            <w:r w:rsidRPr="00FE3396">
              <w:rPr>
                <w:rFonts w:ascii="Calibri" w:hAnsi="Calibri" w:cs="Calibri"/>
                <w:color w:val="000000"/>
                <w:sz w:val="20"/>
                <w:szCs w:val="20"/>
              </w:rPr>
              <w:t>Provides a summary of time-to-event data by treatment group for each AE reported</w:t>
            </w:r>
          </w:p>
        </w:tc>
      </w:tr>
      <w:tr w:rsidR="00E37363" w:rsidRPr="00253ACD" w14:paraId="7F0D512E" w14:textId="77777777" w:rsidTr="00B45076">
        <w:trPr>
          <w:trHeight w:val="300"/>
        </w:trPr>
        <w:tc>
          <w:tcPr>
            <w:tcW w:w="1127" w:type="dxa"/>
            <w:vMerge/>
            <w:shd w:val="clear" w:color="auto" w:fill="auto"/>
            <w:vAlign w:val="center"/>
          </w:tcPr>
          <w:p w14:paraId="7884AEC3" w14:textId="77777777" w:rsidR="00E37363" w:rsidRPr="00253ACD" w:rsidRDefault="00E37363" w:rsidP="00B45076">
            <w:pPr>
              <w:spacing w:after="0" w:line="240" w:lineRule="auto"/>
              <w:rPr>
                <w:rFonts w:eastAsia="Times New Roman" w:cstheme="minorHAnsi"/>
                <w:b/>
                <w:bCs/>
                <w:color w:val="000000"/>
                <w:sz w:val="20"/>
                <w:szCs w:val="20"/>
                <w:lang w:eastAsia="en-GB"/>
              </w:rPr>
            </w:pPr>
          </w:p>
        </w:tc>
        <w:tc>
          <w:tcPr>
            <w:tcW w:w="1420" w:type="dxa"/>
            <w:tcBorders>
              <w:top w:val="single" w:sz="4" w:space="0" w:color="auto"/>
              <w:left w:val="nil"/>
              <w:bottom w:val="single" w:sz="4" w:space="0" w:color="auto"/>
              <w:right w:val="single" w:sz="4" w:space="0" w:color="auto"/>
            </w:tcBorders>
            <w:shd w:val="clear" w:color="auto" w:fill="auto"/>
            <w:noWrap/>
            <w:vAlign w:val="center"/>
          </w:tcPr>
          <w:p w14:paraId="15315891" w14:textId="77777777" w:rsidR="00E37363" w:rsidRPr="00FE3396" w:rsidRDefault="00E37363" w:rsidP="00B45076">
            <w:pPr>
              <w:spacing w:after="0" w:line="240" w:lineRule="auto"/>
              <w:rPr>
                <w:rFonts w:ascii="Calibri" w:hAnsi="Calibri" w:cs="Calibri"/>
                <w:color w:val="000000"/>
                <w:sz w:val="20"/>
                <w:szCs w:val="20"/>
              </w:rPr>
            </w:pPr>
            <w:r>
              <w:rPr>
                <w:rFonts w:ascii="Calibri" w:hAnsi="Calibri" w:cs="Calibri"/>
                <w:color w:val="000000"/>
                <w:sz w:val="20"/>
                <w:szCs w:val="20"/>
              </w:rPr>
              <w:t>Binary</w:t>
            </w:r>
          </w:p>
        </w:tc>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1F718B" w14:textId="77777777" w:rsidR="00E37363" w:rsidRPr="00FE3396" w:rsidRDefault="00E37363" w:rsidP="00B45076">
            <w:pPr>
              <w:spacing w:after="0" w:line="240" w:lineRule="auto"/>
              <w:rPr>
                <w:rFonts w:ascii="Calibri" w:hAnsi="Calibri" w:cs="Calibri"/>
                <w:color w:val="000000"/>
                <w:sz w:val="20"/>
                <w:szCs w:val="20"/>
              </w:rPr>
            </w:pPr>
            <w:r>
              <w:rPr>
                <w:rFonts w:ascii="Calibri" w:hAnsi="Calibri" w:cs="Calibri"/>
                <w:color w:val="000000"/>
                <w:sz w:val="20"/>
                <w:szCs w:val="20"/>
              </w:rPr>
              <w:t>Heat map</w:t>
            </w:r>
          </w:p>
        </w:tc>
        <w:tc>
          <w:tcPr>
            <w:tcW w:w="41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53A42F" w14:textId="77777777" w:rsidR="00E37363" w:rsidRPr="00FE3396" w:rsidRDefault="00E37363" w:rsidP="00B45076">
            <w:pPr>
              <w:spacing w:after="0" w:line="240" w:lineRule="auto"/>
              <w:rPr>
                <w:rFonts w:ascii="Calibri" w:hAnsi="Calibri" w:cs="Calibri"/>
                <w:color w:val="000000"/>
                <w:sz w:val="20"/>
                <w:szCs w:val="20"/>
              </w:rPr>
            </w:pPr>
            <w:r w:rsidRPr="00130564">
              <w:rPr>
                <w:rFonts w:ascii="Calibri" w:hAnsi="Calibri" w:cs="Calibri"/>
                <w:color w:val="000000"/>
                <w:sz w:val="20"/>
                <w:szCs w:val="20"/>
              </w:rPr>
              <w:t xml:space="preserve">Zink, </w:t>
            </w:r>
            <w:proofErr w:type="spellStart"/>
            <w:r w:rsidRPr="00130564">
              <w:rPr>
                <w:rFonts w:ascii="Calibri" w:hAnsi="Calibri" w:cs="Calibri"/>
                <w:color w:val="000000"/>
                <w:sz w:val="20"/>
                <w:szCs w:val="20"/>
              </w:rPr>
              <w:t>Marchenko</w:t>
            </w:r>
            <w:proofErr w:type="spellEnd"/>
            <w:r w:rsidRPr="00130564">
              <w:rPr>
                <w:rFonts w:ascii="Calibri" w:hAnsi="Calibri" w:cs="Calibri"/>
                <w:color w:val="000000"/>
                <w:sz w:val="20"/>
                <w:szCs w:val="20"/>
              </w:rPr>
              <w:t>, Sanchez-</w:t>
            </w:r>
            <w:proofErr w:type="spellStart"/>
            <w:r w:rsidRPr="00130564">
              <w:rPr>
                <w:rFonts w:ascii="Calibri" w:hAnsi="Calibri" w:cs="Calibri"/>
                <w:color w:val="000000"/>
                <w:sz w:val="20"/>
                <w:szCs w:val="20"/>
              </w:rPr>
              <w:t>Kam</w:t>
            </w:r>
            <w:proofErr w:type="spellEnd"/>
            <w:r w:rsidRPr="00130564">
              <w:rPr>
                <w:rFonts w:ascii="Calibri" w:hAnsi="Calibri" w:cs="Calibri"/>
                <w:color w:val="000000"/>
                <w:sz w:val="20"/>
                <w:szCs w:val="20"/>
              </w:rPr>
              <w:t>, Ma &amp; Jiang</w:t>
            </w:r>
            <w:r>
              <w:rPr>
                <w:rFonts w:ascii="Calibri" w:hAnsi="Calibri" w:cs="Calibri"/>
                <w:color w:val="000000"/>
                <w:sz w:val="20"/>
                <w:szCs w:val="20"/>
              </w:rPr>
              <w:fldChar w:fldCharType="begin"/>
            </w:r>
            <w:r>
              <w:rPr>
                <w:rFonts w:ascii="Calibri" w:hAnsi="Calibri" w:cs="Calibri"/>
                <w:color w:val="000000"/>
                <w:sz w:val="20"/>
                <w:szCs w:val="20"/>
              </w:rPr>
              <w:instrText xml:space="preserve"> ADDIN EN.CITE &lt;EndNote&gt;&lt;Cite&gt;&lt;Author&gt;Zink&lt;/Author&gt;&lt;Year&gt;2018&lt;/Year&gt;&lt;RecNum&gt;24958&lt;/RecNum&gt;&lt;DisplayText&gt;&lt;style face="superscript"&gt;5&lt;/style&gt;&lt;/DisplayText&gt;&lt;record&gt;&lt;rec-number&gt;24958&lt;/rec-number&gt;&lt;foreign-keys&gt;&lt;key app="EN" db-id="z2f5a5pt0222p8esesuv59tow0trtzfpdxaw" timestamp="1550765108"&gt;24958&lt;/key&gt;&lt;/foreign-keys&gt;&lt;ref-type name="Journal Article"&gt;17&lt;/ref-type&gt;&lt;contributors&gt;&lt;authors&gt;&lt;author&gt;Zink, Richard C.&lt;/author&gt;&lt;author&gt;Marchenko, Olga&lt;/author&gt;&lt;author&gt;Sanchez-Kam, Matilde&lt;/author&gt;&lt;author&gt;Ma, Haijun&lt;/author&gt;&lt;author&gt;Jiang, Qi&lt;/author&gt;&lt;/authors&gt;&lt;/contributors&gt;&lt;titles&gt;&lt;title&gt;Sources of Safety Data and Statistical Strategies for Design and Analysis:Clinical Trials&lt;/title&gt;&lt;secondary-title&gt;Therapeutic Innovation &amp;amp; Regulatory Science&lt;/secondary-title&gt;&lt;/titles&gt;&lt;periodical&gt;&lt;full-title&gt;Therapeutic Innovation &amp;amp; Regulatory Science&lt;/full-title&gt;&lt;/periodical&gt;&lt;pages&gt;141-158&lt;/pages&gt;&lt;volume&gt;52&lt;/volume&gt;&lt;number&gt;2&lt;/number&gt;&lt;keywords&gt;&lt;keyword&gt;adverse events,data monitoring committee,data visualization,multiplicity,meta-analysis,subgroup analysis&lt;/keyword&gt;&lt;/keywords&gt;&lt;dates&gt;&lt;year&gt;2018&lt;/year&gt;&lt;/dates&gt;&lt;accession-num&gt;29714519&lt;/accession-num&gt;&lt;urls&gt;&lt;related-urls&gt;&lt;url&gt;https://journals.sagepub.com/doi/abs/10.1177/2168479017738980&lt;/url&gt;&lt;/related-urls&gt;&lt;/urls&gt;&lt;electronic-resource-num&gt;10.1177/2168479017738980&lt;/electronic-resource-num&gt;&lt;/record&gt;&lt;/Cite&gt;&lt;/EndNote&gt;</w:instrText>
            </w:r>
            <w:r>
              <w:rPr>
                <w:rFonts w:ascii="Calibri" w:hAnsi="Calibri" w:cs="Calibri"/>
                <w:color w:val="000000"/>
                <w:sz w:val="20"/>
                <w:szCs w:val="20"/>
              </w:rPr>
              <w:fldChar w:fldCharType="separate"/>
            </w:r>
            <w:r w:rsidRPr="00811DC2">
              <w:rPr>
                <w:rFonts w:ascii="Calibri" w:hAnsi="Calibri" w:cs="Calibri"/>
                <w:noProof/>
                <w:color w:val="000000"/>
                <w:sz w:val="20"/>
                <w:szCs w:val="20"/>
                <w:vertAlign w:val="superscript"/>
              </w:rPr>
              <w:t>5</w:t>
            </w:r>
            <w:r>
              <w:rPr>
                <w:rFonts w:ascii="Calibri" w:hAnsi="Calibri" w:cs="Calibri"/>
                <w:color w:val="000000"/>
                <w:sz w:val="20"/>
                <w:szCs w:val="20"/>
              </w:rPr>
              <w:fldChar w:fldCharType="end"/>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tcPr>
          <w:p w14:paraId="79CE6BDF" w14:textId="77777777" w:rsidR="00E37363" w:rsidRPr="00FE3396" w:rsidRDefault="00E37363" w:rsidP="00B45076">
            <w:pPr>
              <w:spacing w:after="0" w:line="240" w:lineRule="auto"/>
              <w:rPr>
                <w:rFonts w:ascii="Calibri" w:hAnsi="Calibri" w:cs="Calibri"/>
                <w:color w:val="000000"/>
                <w:sz w:val="20"/>
                <w:szCs w:val="20"/>
              </w:rPr>
            </w:pPr>
            <w:r>
              <w:rPr>
                <w:rFonts w:ascii="Calibri" w:hAnsi="Calibri" w:cs="Calibri"/>
                <w:color w:val="000000"/>
                <w:sz w:val="20"/>
                <w:szCs w:val="20"/>
              </w:rPr>
              <w:t>Visualises treatment effects for each AE reported</w:t>
            </w:r>
          </w:p>
        </w:tc>
      </w:tr>
      <w:tr w:rsidR="00E37363" w:rsidRPr="00253ACD" w14:paraId="00299D5B" w14:textId="77777777" w:rsidTr="00B45076">
        <w:trPr>
          <w:trHeight w:val="300"/>
        </w:trPr>
        <w:tc>
          <w:tcPr>
            <w:tcW w:w="1127" w:type="dxa"/>
            <w:vMerge/>
            <w:shd w:val="clear" w:color="auto" w:fill="auto"/>
            <w:vAlign w:val="center"/>
            <w:hideMark/>
          </w:tcPr>
          <w:p w14:paraId="3CF045A0" w14:textId="77777777" w:rsidR="00E37363" w:rsidRPr="00253ACD" w:rsidRDefault="00E37363" w:rsidP="00B45076">
            <w:pPr>
              <w:spacing w:after="0" w:line="240" w:lineRule="auto"/>
              <w:rPr>
                <w:rFonts w:eastAsia="Times New Roman" w:cstheme="minorHAnsi"/>
                <w:b/>
                <w:bCs/>
                <w:color w:val="000000"/>
                <w:sz w:val="20"/>
                <w:szCs w:val="20"/>
                <w:lang w:eastAsia="en-GB"/>
              </w:rPr>
            </w:pPr>
          </w:p>
        </w:tc>
        <w:tc>
          <w:tcPr>
            <w:tcW w:w="1420" w:type="dxa"/>
            <w:tcBorders>
              <w:top w:val="single" w:sz="4" w:space="0" w:color="auto"/>
            </w:tcBorders>
            <w:shd w:val="clear" w:color="auto" w:fill="auto"/>
            <w:noWrap/>
            <w:vAlign w:val="center"/>
            <w:hideMark/>
          </w:tcPr>
          <w:p w14:paraId="68ABE4F6"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Binary</w:t>
            </w:r>
          </w:p>
        </w:tc>
        <w:tc>
          <w:tcPr>
            <w:tcW w:w="2835" w:type="dxa"/>
            <w:tcBorders>
              <w:top w:val="single" w:sz="4" w:space="0" w:color="auto"/>
            </w:tcBorders>
            <w:shd w:val="clear" w:color="auto" w:fill="auto"/>
            <w:noWrap/>
            <w:vAlign w:val="center"/>
            <w:hideMark/>
          </w:tcPr>
          <w:p w14:paraId="257BA967"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Bar chart</w:t>
            </w:r>
          </w:p>
        </w:tc>
        <w:tc>
          <w:tcPr>
            <w:tcW w:w="4111" w:type="dxa"/>
            <w:tcBorders>
              <w:top w:val="single" w:sz="4" w:space="0" w:color="auto"/>
            </w:tcBorders>
            <w:shd w:val="clear" w:color="auto" w:fill="auto"/>
            <w:noWrap/>
            <w:vAlign w:val="center"/>
            <w:hideMark/>
          </w:tcPr>
          <w:p w14:paraId="141EADCF" w14:textId="77777777" w:rsidR="00E37363" w:rsidRPr="00253ACD" w:rsidRDefault="00E37363" w:rsidP="00B45076">
            <w:pPr>
              <w:spacing w:after="0" w:line="240" w:lineRule="auto"/>
              <w:rPr>
                <w:rFonts w:eastAsia="Times New Roman" w:cstheme="minorHAnsi"/>
                <w:color w:val="000000"/>
                <w:sz w:val="20"/>
                <w:szCs w:val="20"/>
                <w:lang w:eastAsia="en-GB"/>
              </w:rPr>
            </w:pPr>
            <w:r>
              <w:rPr>
                <w:rFonts w:eastAsia="Times New Roman" w:cstheme="minorHAnsi"/>
                <w:color w:val="000000"/>
                <w:sz w:val="20"/>
                <w:szCs w:val="20"/>
                <w:lang w:eastAsia="en-GB"/>
              </w:rPr>
              <w:t>Chuang-Stein &amp; Xia,</w:t>
            </w:r>
            <w:r w:rsidRPr="00253ACD">
              <w:rPr>
                <w:rFonts w:eastAsia="Times New Roman" w:cstheme="minorHAnsi"/>
                <w:color w:val="000000"/>
                <w:sz w:val="20"/>
                <w:szCs w:val="20"/>
                <w:lang w:eastAsia="en-GB"/>
              </w:rPr>
              <w:t xml:space="preserve"> 2013</w:t>
            </w:r>
            <w:r>
              <w:rPr>
                <w:rFonts w:eastAsia="Times New Roman" w:cstheme="minorHAnsi"/>
                <w:color w:val="000000"/>
                <w:sz w:val="20"/>
                <w:szCs w:val="20"/>
                <w:lang w:eastAsia="en-GB"/>
              </w:rPr>
              <w:t>.</w:t>
            </w:r>
            <w:r>
              <w:rPr>
                <w:rFonts w:eastAsia="Times New Roman" w:cstheme="minorHAnsi"/>
                <w:color w:val="000000"/>
                <w:sz w:val="20"/>
                <w:szCs w:val="20"/>
                <w:lang w:eastAsia="en-GB"/>
              </w:rPr>
              <w:fldChar w:fldCharType="begin">
                <w:fldData xml:space="preserve">PEVuZE5vdGU+PENpdGU+PEF1dGhvcj5DaHVhbmctU3RlaW48L0F1dGhvcj48WWVhcj4yMDEzPC9Z
ZWFyPjxSZWNOdW0+ODU3OTwvUmVjTnVtPjxEaXNwbGF5VGV4dD48c3R5bGUgZmFjZT0ic3VwZXJz
Y3JpcHQiPjY8L3N0eWxlPjwvRGlzcGxheVRleHQ+PHJlY29yZD48cmVjLW51bWJlcj44NTc5PC9y
ZWMtbnVtYmVyPjxmb3JlaWduLWtleXM+PGtleSBhcHA9IkVOIiBkYi1pZD0iejJmNWE1cHQwMjIy
cDhlc2VzdXY1OXRvdzB0cnR6ZnBkeGF3IiB0aW1lc3RhbXA9IjE1MjEwNDczOTAiPjg1Nzk8L2tl
eT48L2ZvcmVpZ24ta2V5cz48cmVmLXR5cGUgbmFtZT0iSm91cm5hbCBBcnRpY2xlIj4xNzwvcmVm
LXR5cGU+PGNvbnRyaWJ1dG9ycz48YXV0aG9ycz48YXV0aG9yPkNodWFuZy1TdGVpbiwgQy48L2F1
dGhvcj48YXV0aG9yPlhpYSwgSC4gQS48L2F1dGhvcj48L2F1dGhvcnM+PC9jb250cmlidXRvcnM+
PGF1dGgtYWRkcmVzcz5TdGF0aXN0aWNhbCBSZXNlYXJjaCBhbmQgQ29uc3VsdGluZyBDZW50ZXIg
UGZpemVyIEluYy4sIDU4NTcgU3RvbmV5IEJyb29rIFJvYWQsIEthbGFtYXpvbywgTUkgNDkwMDks
IFVuaXRlZCBTdGF0ZXMmI3hEO0dsb2JhbCBCaW9zdGF0aXN0aWNhbCBTY2llbmNlcyBBbWdlbiwg
SW5jLiwgVGhvdXNhbmQgT2FrcywgQ0EsIFVuaXRlZCBTdGF0ZXM8L2F1dGgtYWRkcmVzcz48dGl0
bGVzPjx0aXRsZT5UaGUgcHJhY3RpY2Ugb2YgcHJlLW1hcmtldGluZyBzYWZldHkgYXNzZXNzbWVu
dCBpbiBkcnVnIGRldmVsb3BtZW50PC90aXRsZT48c2Vjb25kYXJ5LXRpdGxlPkpvdXJuYWwgb2Yg
QmlvcGhhcm1hY2V1dGljYWwgU3RhdGlzdGljczwvc2Vjb25kYXJ5LXRpdGxlPjxhbHQtdGl0bGU+
Si4gQmlvcGhhcm0uIFN0YXQuPC9hbHQtdGl0bGU+PC90aXRsZXM+PHBlcmlvZGljYWw+PGZ1bGwt
dGl0bGU+Sm91cm5hbCBvZiBCaW9waGFybWFjZXV0aWNhbCBTdGF0aXN0aWNzPC9mdWxsLXRpdGxl
PjwvcGVyaW9kaWNhbD48cGFnZXM+My0yNTwvcGFnZXM+PHZvbHVtZT4yMzwvdm9sdW1lPjxudW1i
ZXI+MTwvbnVtYmVyPjxrZXl3b3Jkcz48a2V5d29yZD5EZXNpZ25hdGVkIG1lZGljYWwgZXZlbnRz
PC9rZXl3b3JkPjxrZXl3b3JkPkdyYXBoaWNhbCBkaXNwbGF5IG9mIHNhZmV0eSBkYXRhPC9rZXl3
b3JkPjxrZXl3b3JkPk11bHRpcGxpY2l0eSBhZGp1c3RtZW50PC9rZXl3b3JkPjxrZXl3b3JkPlBy
b2dyYW0gc2FmZXR5IGFuYWx5c2lzIHBsYW48L2tleXdvcmQ+PGtleXdvcmQ+VGFyZ2V0ZWQgbWVk
aWNhbCBldmVudDwva2V5d29yZD48a2V5d29yZD5UaHJlZS10aWVyIGFwcHJvYWNoPC9rZXl3b3Jk
PjxrZXl3b3JkPmFjY3VyYWN5PC9rZXl3b3JkPjxrZXl3b3JkPmFsZ29yaXRobTwva2V5d29yZD48
a2V5d29yZD5CYXllcyB0aGVvcmVtPC9rZXl3b3JkPjxrZXl3b3JkPmJpb3N0YXRpc3RpY3M8L2tl
eXdvcmQ+PGtleXdvcmQ+Y2xpbmljYWwgcHJhY3RpY2U8L2tleXdvcmQ+PGtleXdvcmQ+Y29uZmlk
ZW5jZSBpbnRlcnZhbDwva2V5d29yZD48a2V5d29yZD5jb29wZXJhdGlvbjwva2V5d29yZD48a2V5
d29yZD5kcnVnIGRldmVsb3BtZW50PC9rZXl3b3JkPjxrZXl3b3JkPmRydWcgaW5kdXN0cnk8L2tl
eXdvcmQ+PGtleXdvcmQ+ZHJ1ZyBsYWJlbGluZzwva2V5d29yZD48a2V5d29yZD5kcnVnIG1hcmtl
dGluZzwva2V5d29yZD48a2V5d29yZD5kcnVnIHNhZmV0eTwva2V5d29yZD48a2V5d29yZD5odW1h
bjwva2V5d29yZD48a2V5d29yZD5pbmZlcmVudGlhbCBzdGF0aXN0aWNzPC9rZXl3b3JkPjxrZXl3
b3JkPmluZm9ybWF0aW9uIHByb2Nlc3Npbmc8L2tleXdvcmQ+PGtleXdvcmQ+a25vd2xlZGdlPC9r
ZXl3b3JkPjxrZXl3b3JkPm1ldGEgYW5hbHlzaXMgKHRvcGljKTwva2V5d29yZD48a2V5d29yZD5v
cmdhbml6YXRpb25hbCBzdHJ1Y3R1cmU8L2tleXdvcmQ+PGtleXdvcmQ+cGF0aWVudCBzYWZldHk8
L2tleXdvcmQ+PGtleXdvcmQ+cGF0dGVybiByZWNvZ25pdGlvbjwva2V5d29yZD48a2V5d29yZD5w
aGFzZSAzIGNsaW5pY2FsIHRyaWFsICh0b3BpYyk8L2tleXdvcmQ+PGtleXdvcmQ+cG9saWN5PC9r
ZXl3b3JkPjxrZXl3b3JkPnBvc3QgaG9jIGFuYWx5c2lzPC9rZXl3b3JkPjxrZXl3b3JkPnByaW9y
aXR5IGpvdXJuYWw8L2tleXdvcmQ+PGtleXdvcmQ+cHJvYmFiaWxpdHk8L2tleXdvcmQ+PGtleXdv
cmQ+cmVjb2duaXRpb248L2tleXdvcmQ+PGtleXdvcmQ+cmVndWxhdG9yeSBtZWNoYW5pc208L2tl
eXdvcmQ+PGtleXdvcmQ+cmV2aWV3PC9rZXl3b3JkPjxrZXl3b3JkPnJpc2sgYXNzZXNzbWVudDwv
a2V5d29yZD48a2V5d29yZD5yaXNrIG1hbmFnZW1lbnQ8L2tleXdvcmQ+PGtleXdvcmQ+c2ltdWxh
dGlvbjwva2V5d29yZD48a2V5d29yZD5zdGF0aXN0aWNhbCBhbmFseXNpczwva2V5d29yZD48a2V5
d29yZD5zdGF0aXN0aWNhbCBzaWduaWZpY2FuY2U8L2tleXdvcmQ+PGtleXdvcmQ+Q2xpbmljYWwg
VHJpYWxzIGFzIFRvcGljPC9rZXl3b3JkPjxrZXl3b3JkPkRydWcgRGlzY292ZXJ5PC9rZXl3b3Jk
PjxrZXl3b3JkPkh1bWFuczwva2V5d29yZD48a2V5d29yZD5NYXJrZXRpbmc8L2tleXdvcmQ+PGtl
eXdvcmQ+UGhhcm1hY2V1dGljYWwgUHJlcGFyYXRpb25zPC9rZXl3b3JkPjwva2V5d29yZHM+PGRh
dGVzPjx5ZWFyPjIwMTM8L3llYXI+PC9kYXRlcz48aXNibj4xMDU0MzQwNiAoSVNTTik8L2lzYm4+
PHdvcmstdHlwZT5SZXZpZXc8L3dvcmstdHlwZT48dXJscz48cmVsYXRlZC11cmxzPjx1cmw+aHR0
cHM6Ly93d3cuc2NvcHVzLmNvbS9pbndhcmQvcmVjb3JkLnVyaT9laWQ9Mi1zMi4wLTg0ODczMjk3
MDgzJmFtcDtkb2k9MTAuMTA4MCUyZjEwNTQzNDA2LjIwMTMuNzM2ODA1JmFtcDtwYXJ0bmVySUQ9
NDAmYW1wO21kNT1hOGU4YWViNjBkYzg3N2UxOGE5YmQ1YzAyZDFiMGRlNDwvdXJsPjwvcmVsYXRl
ZC11cmxzPjwvdXJscz48ZWxlY3Ryb25pYy1yZXNvdXJjZS1udW0+MTAuMTA4MC8xMDU0MzQwNi4y
MDEzLjczNjgwNTwvZWxlY3Ryb25pYy1yZXNvdXJjZS1udW0+PHJlbW90ZS1kYXRhYmFzZS1uYW1l
PlNjb3B1czwvcmVtb3RlLWRhdGFiYXNlLW5hbWU+PGxhbmd1YWdlPkVuZ2xpc2g8L2xhbmd1YWdl
PjwvcmVjb3JkPjwvQ2l0ZT48L0VuZE5vdGU+AG==
</w:fldData>
              </w:fldChar>
            </w:r>
            <w:r>
              <w:rPr>
                <w:rFonts w:eastAsia="Times New Roman" w:cstheme="minorHAnsi"/>
                <w:color w:val="000000"/>
                <w:sz w:val="20"/>
                <w:szCs w:val="20"/>
                <w:lang w:eastAsia="en-GB"/>
              </w:rPr>
              <w:instrText xml:space="preserve"> ADDIN EN.CITE </w:instrText>
            </w:r>
            <w:r>
              <w:rPr>
                <w:rFonts w:eastAsia="Times New Roman" w:cstheme="minorHAnsi"/>
                <w:color w:val="000000"/>
                <w:sz w:val="20"/>
                <w:szCs w:val="20"/>
                <w:lang w:eastAsia="en-GB"/>
              </w:rPr>
              <w:fldChar w:fldCharType="begin">
                <w:fldData xml:space="preserve">PEVuZE5vdGU+PENpdGU+PEF1dGhvcj5DaHVhbmctU3RlaW48L0F1dGhvcj48WWVhcj4yMDEzPC9Z
ZWFyPjxSZWNOdW0+ODU3OTwvUmVjTnVtPjxEaXNwbGF5VGV4dD48c3R5bGUgZmFjZT0ic3VwZXJz
Y3JpcHQiPjY8L3N0eWxlPjwvRGlzcGxheVRleHQ+PHJlY29yZD48cmVjLW51bWJlcj44NTc5PC9y
ZWMtbnVtYmVyPjxmb3JlaWduLWtleXM+PGtleSBhcHA9IkVOIiBkYi1pZD0iejJmNWE1cHQwMjIy
cDhlc2VzdXY1OXRvdzB0cnR6ZnBkeGF3IiB0aW1lc3RhbXA9IjE1MjEwNDczOTAiPjg1Nzk8L2tl
eT48L2ZvcmVpZ24ta2V5cz48cmVmLXR5cGUgbmFtZT0iSm91cm5hbCBBcnRpY2xlIj4xNzwvcmVm
LXR5cGU+PGNvbnRyaWJ1dG9ycz48YXV0aG9ycz48YXV0aG9yPkNodWFuZy1TdGVpbiwgQy48L2F1
dGhvcj48YXV0aG9yPlhpYSwgSC4gQS48L2F1dGhvcj48L2F1dGhvcnM+PC9jb250cmlidXRvcnM+
PGF1dGgtYWRkcmVzcz5TdGF0aXN0aWNhbCBSZXNlYXJjaCBhbmQgQ29uc3VsdGluZyBDZW50ZXIg
UGZpemVyIEluYy4sIDU4NTcgU3RvbmV5IEJyb29rIFJvYWQsIEthbGFtYXpvbywgTUkgNDkwMDks
IFVuaXRlZCBTdGF0ZXMmI3hEO0dsb2JhbCBCaW9zdGF0aXN0aWNhbCBTY2llbmNlcyBBbWdlbiwg
SW5jLiwgVGhvdXNhbmQgT2FrcywgQ0EsIFVuaXRlZCBTdGF0ZXM8L2F1dGgtYWRkcmVzcz48dGl0
bGVzPjx0aXRsZT5UaGUgcHJhY3RpY2Ugb2YgcHJlLW1hcmtldGluZyBzYWZldHkgYXNzZXNzbWVu
dCBpbiBkcnVnIGRldmVsb3BtZW50PC90aXRsZT48c2Vjb25kYXJ5LXRpdGxlPkpvdXJuYWwgb2Yg
QmlvcGhhcm1hY2V1dGljYWwgU3RhdGlzdGljczwvc2Vjb25kYXJ5LXRpdGxlPjxhbHQtdGl0bGU+
Si4gQmlvcGhhcm0uIFN0YXQuPC9hbHQtdGl0bGU+PC90aXRsZXM+PHBlcmlvZGljYWw+PGZ1bGwt
dGl0bGU+Sm91cm5hbCBvZiBCaW9waGFybWFjZXV0aWNhbCBTdGF0aXN0aWNzPC9mdWxsLXRpdGxl
PjwvcGVyaW9kaWNhbD48cGFnZXM+My0yNTwvcGFnZXM+PHZvbHVtZT4yMzwvdm9sdW1lPjxudW1i
ZXI+MTwvbnVtYmVyPjxrZXl3b3Jkcz48a2V5d29yZD5EZXNpZ25hdGVkIG1lZGljYWwgZXZlbnRz
PC9rZXl3b3JkPjxrZXl3b3JkPkdyYXBoaWNhbCBkaXNwbGF5IG9mIHNhZmV0eSBkYXRhPC9rZXl3
b3JkPjxrZXl3b3JkPk11bHRpcGxpY2l0eSBhZGp1c3RtZW50PC9rZXl3b3JkPjxrZXl3b3JkPlBy
b2dyYW0gc2FmZXR5IGFuYWx5c2lzIHBsYW48L2tleXdvcmQ+PGtleXdvcmQ+VGFyZ2V0ZWQgbWVk
aWNhbCBldmVudDwva2V5d29yZD48a2V5d29yZD5UaHJlZS10aWVyIGFwcHJvYWNoPC9rZXl3b3Jk
PjxrZXl3b3JkPmFjY3VyYWN5PC9rZXl3b3JkPjxrZXl3b3JkPmFsZ29yaXRobTwva2V5d29yZD48
a2V5d29yZD5CYXllcyB0aGVvcmVtPC9rZXl3b3JkPjxrZXl3b3JkPmJpb3N0YXRpc3RpY3M8L2tl
eXdvcmQ+PGtleXdvcmQ+Y2xpbmljYWwgcHJhY3RpY2U8L2tleXdvcmQ+PGtleXdvcmQ+Y29uZmlk
ZW5jZSBpbnRlcnZhbDwva2V5d29yZD48a2V5d29yZD5jb29wZXJhdGlvbjwva2V5d29yZD48a2V5
d29yZD5kcnVnIGRldmVsb3BtZW50PC9rZXl3b3JkPjxrZXl3b3JkPmRydWcgaW5kdXN0cnk8L2tl
eXdvcmQ+PGtleXdvcmQ+ZHJ1ZyBsYWJlbGluZzwva2V5d29yZD48a2V5d29yZD5kcnVnIG1hcmtl
dGluZzwva2V5d29yZD48a2V5d29yZD5kcnVnIHNhZmV0eTwva2V5d29yZD48a2V5d29yZD5odW1h
bjwva2V5d29yZD48a2V5d29yZD5pbmZlcmVudGlhbCBzdGF0aXN0aWNzPC9rZXl3b3JkPjxrZXl3
b3JkPmluZm9ybWF0aW9uIHByb2Nlc3Npbmc8L2tleXdvcmQ+PGtleXdvcmQ+a25vd2xlZGdlPC9r
ZXl3b3JkPjxrZXl3b3JkPm1ldGEgYW5hbHlzaXMgKHRvcGljKTwva2V5d29yZD48a2V5d29yZD5v
cmdhbml6YXRpb25hbCBzdHJ1Y3R1cmU8L2tleXdvcmQ+PGtleXdvcmQ+cGF0aWVudCBzYWZldHk8
L2tleXdvcmQ+PGtleXdvcmQ+cGF0dGVybiByZWNvZ25pdGlvbjwva2V5d29yZD48a2V5d29yZD5w
aGFzZSAzIGNsaW5pY2FsIHRyaWFsICh0b3BpYyk8L2tleXdvcmQ+PGtleXdvcmQ+cG9saWN5PC9r
ZXl3b3JkPjxrZXl3b3JkPnBvc3QgaG9jIGFuYWx5c2lzPC9rZXl3b3JkPjxrZXl3b3JkPnByaW9y
aXR5IGpvdXJuYWw8L2tleXdvcmQ+PGtleXdvcmQ+cHJvYmFiaWxpdHk8L2tleXdvcmQ+PGtleXdv
cmQ+cmVjb2duaXRpb248L2tleXdvcmQ+PGtleXdvcmQ+cmVndWxhdG9yeSBtZWNoYW5pc208L2tl
eXdvcmQ+PGtleXdvcmQ+cmV2aWV3PC9rZXl3b3JkPjxrZXl3b3JkPnJpc2sgYXNzZXNzbWVudDwv
a2V5d29yZD48a2V5d29yZD5yaXNrIG1hbmFnZW1lbnQ8L2tleXdvcmQ+PGtleXdvcmQ+c2ltdWxh
dGlvbjwva2V5d29yZD48a2V5d29yZD5zdGF0aXN0aWNhbCBhbmFseXNpczwva2V5d29yZD48a2V5
d29yZD5zdGF0aXN0aWNhbCBzaWduaWZpY2FuY2U8L2tleXdvcmQ+PGtleXdvcmQ+Q2xpbmljYWwg
VHJpYWxzIGFzIFRvcGljPC9rZXl3b3JkPjxrZXl3b3JkPkRydWcgRGlzY292ZXJ5PC9rZXl3b3Jk
PjxrZXl3b3JkPkh1bWFuczwva2V5d29yZD48a2V5d29yZD5NYXJrZXRpbmc8L2tleXdvcmQ+PGtl
eXdvcmQ+UGhhcm1hY2V1dGljYWwgUHJlcGFyYXRpb25zPC9rZXl3b3JkPjwva2V5d29yZHM+PGRh
dGVzPjx5ZWFyPjIwMTM8L3llYXI+PC9kYXRlcz48aXNibj4xMDU0MzQwNiAoSVNTTik8L2lzYm4+
PHdvcmstdHlwZT5SZXZpZXc8L3dvcmstdHlwZT48dXJscz48cmVsYXRlZC11cmxzPjx1cmw+aHR0
cHM6Ly93d3cuc2NvcHVzLmNvbS9pbndhcmQvcmVjb3JkLnVyaT9laWQ9Mi1zMi4wLTg0ODczMjk3
MDgzJmFtcDtkb2k9MTAuMTA4MCUyZjEwNTQzNDA2LjIwMTMuNzM2ODA1JmFtcDtwYXJ0bmVySUQ9
NDAmYW1wO21kNT1hOGU4YWViNjBkYzg3N2UxOGE5YmQ1YzAyZDFiMGRlNDwvdXJsPjwvcmVsYXRl
ZC11cmxzPjwvdXJscz48ZWxlY3Ryb25pYy1yZXNvdXJjZS1udW0+MTAuMTA4MC8xMDU0MzQwNi4y
MDEzLjczNjgwNTwvZWxlY3Ryb25pYy1yZXNvdXJjZS1udW0+PHJlbW90ZS1kYXRhYmFzZS1uYW1l
PlNjb3B1czwvcmVtb3RlLWRhdGFiYXNlLW5hbWU+PGxhbmd1YWdlPkVuZ2xpc2g8L2xhbmd1YWdl
PjwvcmVjb3JkPjwvQ2l0ZT48L0VuZE5vdGU+AG==
</w:fldData>
              </w:fldChar>
            </w:r>
            <w:r>
              <w:rPr>
                <w:rFonts w:eastAsia="Times New Roman" w:cstheme="minorHAnsi"/>
                <w:color w:val="000000"/>
                <w:sz w:val="20"/>
                <w:szCs w:val="20"/>
                <w:lang w:eastAsia="en-GB"/>
              </w:rPr>
              <w:instrText xml:space="preserve"> ADDIN EN.CITE.DATA </w:instrText>
            </w:r>
            <w:r>
              <w:rPr>
                <w:rFonts w:eastAsia="Times New Roman" w:cstheme="minorHAnsi"/>
                <w:color w:val="000000"/>
                <w:sz w:val="20"/>
                <w:szCs w:val="20"/>
                <w:lang w:eastAsia="en-GB"/>
              </w:rPr>
            </w:r>
            <w:r>
              <w:rPr>
                <w:rFonts w:eastAsia="Times New Roman" w:cstheme="minorHAnsi"/>
                <w:color w:val="000000"/>
                <w:sz w:val="20"/>
                <w:szCs w:val="20"/>
                <w:lang w:eastAsia="en-GB"/>
              </w:rPr>
              <w:fldChar w:fldCharType="end"/>
            </w:r>
            <w:r>
              <w:rPr>
                <w:rFonts w:eastAsia="Times New Roman" w:cstheme="minorHAnsi"/>
                <w:color w:val="000000"/>
                <w:sz w:val="20"/>
                <w:szCs w:val="20"/>
                <w:lang w:eastAsia="en-GB"/>
              </w:rPr>
            </w:r>
            <w:r>
              <w:rPr>
                <w:rFonts w:eastAsia="Times New Roman" w:cstheme="minorHAnsi"/>
                <w:color w:val="000000"/>
                <w:sz w:val="20"/>
                <w:szCs w:val="20"/>
                <w:lang w:eastAsia="en-GB"/>
              </w:rPr>
              <w:fldChar w:fldCharType="separate"/>
            </w:r>
            <w:r w:rsidRPr="00811DC2">
              <w:rPr>
                <w:rFonts w:eastAsia="Times New Roman" w:cstheme="minorHAnsi"/>
                <w:noProof/>
                <w:color w:val="000000"/>
                <w:sz w:val="20"/>
                <w:szCs w:val="20"/>
                <w:vertAlign w:val="superscript"/>
                <w:lang w:eastAsia="en-GB"/>
              </w:rPr>
              <w:t>6</w:t>
            </w:r>
            <w:r>
              <w:rPr>
                <w:rFonts w:eastAsia="Times New Roman" w:cstheme="minorHAnsi"/>
                <w:color w:val="000000"/>
                <w:sz w:val="20"/>
                <w:szCs w:val="20"/>
                <w:lang w:eastAsia="en-GB"/>
              </w:rPr>
              <w:fldChar w:fldCharType="end"/>
            </w:r>
          </w:p>
        </w:tc>
        <w:tc>
          <w:tcPr>
            <w:tcW w:w="5103" w:type="dxa"/>
            <w:tcBorders>
              <w:top w:val="single" w:sz="4" w:space="0" w:color="auto"/>
            </w:tcBorders>
            <w:shd w:val="clear" w:color="auto" w:fill="auto"/>
            <w:vAlign w:val="center"/>
            <w:hideMark/>
          </w:tcPr>
          <w:p w14:paraId="77FEAC6C"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Displays frequency of events</w:t>
            </w:r>
          </w:p>
        </w:tc>
      </w:tr>
      <w:tr w:rsidR="00E37363" w:rsidRPr="00253ACD" w14:paraId="3AC512FC" w14:textId="77777777" w:rsidTr="00B45076">
        <w:trPr>
          <w:trHeight w:val="243"/>
        </w:trPr>
        <w:tc>
          <w:tcPr>
            <w:tcW w:w="1127" w:type="dxa"/>
            <w:vMerge/>
            <w:shd w:val="clear" w:color="auto" w:fill="auto"/>
            <w:vAlign w:val="center"/>
            <w:hideMark/>
          </w:tcPr>
          <w:p w14:paraId="578651BF" w14:textId="77777777" w:rsidR="00E37363" w:rsidRPr="00253ACD" w:rsidRDefault="00E37363" w:rsidP="00B45076">
            <w:pPr>
              <w:spacing w:after="0" w:line="240" w:lineRule="auto"/>
              <w:rPr>
                <w:rFonts w:eastAsia="Times New Roman" w:cstheme="minorHAnsi"/>
                <w:b/>
                <w:bCs/>
                <w:color w:val="000000"/>
                <w:sz w:val="20"/>
                <w:szCs w:val="20"/>
                <w:lang w:eastAsia="en-GB"/>
              </w:rPr>
            </w:pPr>
          </w:p>
        </w:tc>
        <w:tc>
          <w:tcPr>
            <w:tcW w:w="1420" w:type="dxa"/>
            <w:shd w:val="clear" w:color="auto" w:fill="auto"/>
            <w:noWrap/>
            <w:vAlign w:val="center"/>
            <w:hideMark/>
          </w:tcPr>
          <w:p w14:paraId="56FAF43D"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Binary</w:t>
            </w:r>
          </w:p>
        </w:tc>
        <w:tc>
          <w:tcPr>
            <w:tcW w:w="2835" w:type="dxa"/>
            <w:shd w:val="clear" w:color="auto" w:fill="auto"/>
            <w:noWrap/>
            <w:vAlign w:val="center"/>
            <w:hideMark/>
          </w:tcPr>
          <w:p w14:paraId="7478A6F1"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Venn diagram</w:t>
            </w:r>
          </w:p>
        </w:tc>
        <w:tc>
          <w:tcPr>
            <w:tcW w:w="4111" w:type="dxa"/>
            <w:shd w:val="clear" w:color="auto" w:fill="auto"/>
            <w:noWrap/>
            <w:vAlign w:val="center"/>
            <w:hideMark/>
          </w:tcPr>
          <w:p w14:paraId="53A96323" w14:textId="77777777" w:rsidR="00E37363" w:rsidRPr="00253ACD" w:rsidRDefault="00E37363" w:rsidP="00B45076">
            <w:pPr>
              <w:spacing w:after="0" w:line="240" w:lineRule="auto"/>
              <w:rPr>
                <w:rFonts w:eastAsia="Times New Roman" w:cstheme="minorHAnsi"/>
                <w:color w:val="000000"/>
                <w:sz w:val="20"/>
                <w:szCs w:val="20"/>
                <w:lang w:eastAsia="en-GB"/>
              </w:rPr>
            </w:pPr>
            <w:r>
              <w:rPr>
                <w:rFonts w:eastAsia="Times New Roman" w:cstheme="minorHAnsi"/>
                <w:color w:val="000000"/>
                <w:sz w:val="20"/>
                <w:szCs w:val="20"/>
                <w:lang w:eastAsia="en-GB"/>
              </w:rPr>
              <w:t xml:space="preserve">Chuang-Stein &amp; Xia, </w:t>
            </w:r>
            <w:r w:rsidRPr="00253ACD">
              <w:rPr>
                <w:rFonts w:eastAsia="Times New Roman" w:cstheme="minorHAnsi"/>
                <w:color w:val="000000"/>
                <w:sz w:val="20"/>
                <w:szCs w:val="20"/>
                <w:lang w:eastAsia="en-GB"/>
              </w:rPr>
              <w:t>2013</w:t>
            </w:r>
            <w:r>
              <w:rPr>
                <w:rFonts w:eastAsia="Times New Roman" w:cstheme="minorHAnsi"/>
                <w:color w:val="000000"/>
                <w:sz w:val="20"/>
                <w:szCs w:val="20"/>
                <w:lang w:eastAsia="en-GB"/>
              </w:rPr>
              <w:t>.</w:t>
            </w:r>
            <w:r>
              <w:rPr>
                <w:rFonts w:eastAsia="Times New Roman" w:cstheme="minorHAnsi"/>
                <w:color w:val="000000"/>
                <w:sz w:val="20"/>
                <w:szCs w:val="20"/>
                <w:lang w:eastAsia="en-GB"/>
              </w:rPr>
              <w:fldChar w:fldCharType="begin">
                <w:fldData xml:space="preserve">PEVuZE5vdGU+PENpdGU+PEF1dGhvcj5DaHVhbmctU3RlaW48L0F1dGhvcj48WWVhcj4yMDEzPC9Z
ZWFyPjxSZWNOdW0+ODU3OTwvUmVjTnVtPjxEaXNwbGF5VGV4dD48c3R5bGUgZmFjZT0ic3VwZXJz
Y3JpcHQiPjY8L3N0eWxlPjwvRGlzcGxheVRleHQ+PHJlY29yZD48cmVjLW51bWJlcj44NTc5PC9y
ZWMtbnVtYmVyPjxmb3JlaWduLWtleXM+PGtleSBhcHA9IkVOIiBkYi1pZD0iejJmNWE1cHQwMjIy
cDhlc2VzdXY1OXRvdzB0cnR6ZnBkeGF3IiB0aW1lc3RhbXA9IjE1MjEwNDczOTAiPjg1Nzk8L2tl
eT48L2ZvcmVpZ24ta2V5cz48cmVmLXR5cGUgbmFtZT0iSm91cm5hbCBBcnRpY2xlIj4xNzwvcmVm
LXR5cGU+PGNvbnRyaWJ1dG9ycz48YXV0aG9ycz48YXV0aG9yPkNodWFuZy1TdGVpbiwgQy48L2F1
dGhvcj48YXV0aG9yPlhpYSwgSC4gQS48L2F1dGhvcj48L2F1dGhvcnM+PC9jb250cmlidXRvcnM+
PGF1dGgtYWRkcmVzcz5TdGF0aXN0aWNhbCBSZXNlYXJjaCBhbmQgQ29uc3VsdGluZyBDZW50ZXIg
UGZpemVyIEluYy4sIDU4NTcgU3RvbmV5IEJyb29rIFJvYWQsIEthbGFtYXpvbywgTUkgNDkwMDks
IFVuaXRlZCBTdGF0ZXMmI3hEO0dsb2JhbCBCaW9zdGF0aXN0aWNhbCBTY2llbmNlcyBBbWdlbiwg
SW5jLiwgVGhvdXNhbmQgT2FrcywgQ0EsIFVuaXRlZCBTdGF0ZXM8L2F1dGgtYWRkcmVzcz48dGl0
bGVzPjx0aXRsZT5UaGUgcHJhY3RpY2Ugb2YgcHJlLW1hcmtldGluZyBzYWZldHkgYXNzZXNzbWVu
dCBpbiBkcnVnIGRldmVsb3BtZW50PC90aXRsZT48c2Vjb25kYXJ5LXRpdGxlPkpvdXJuYWwgb2Yg
QmlvcGhhcm1hY2V1dGljYWwgU3RhdGlzdGljczwvc2Vjb25kYXJ5LXRpdGxlPjxhbHQtdGl0bGU+
Si4gQmlvcGhhcm0uIFN0YXQuPC9hbHQtdGl0bGU+PC90aXRsZXM+PHBlcmlvZGljYWw+PGZ1bGwt
dGl0bGU+Sm91cm5hbCBvZiBCaW9waGFybWFjZXV0aWNhbCBTdGF0aXN0aWNzPC9mdWxsLXRpdGxl
PjwvcGVyaW9kaWNhbD48cGFnZXM+My0yNTwvcGFnZXM+PHZvbHVtZT4yMzwvdm9sdW1lPjxudW1i
ZXI+MTwvbnVtYmVyPjxrZXl3b3Jkcz48a2V5d29yZD5EZXNpZ25hdGVkIG1lZGljYWwgZXZlbnRz
PC9rZXl3b3JkPjxrZXl3b3JkPkdyYXBoaWNhbCBkaXNwbGF5IG9mIHNhZmV0eSBkYXRhPC9rZXl3
b3JkPjxrZXl3b3JkPk11bHRpcGxpY2l0eSBhZGp1c3RtZW50PC9rZXl3b3JkPjxrZXl3b3JkPlBy
b2dyYW0gc2FmZXR5IGFuYWx5c2lzIHBsYW48L2tleXdvcmQ+PGtleXdvcmQ+VGFyZ2V0ZWQgbWVk
aWNhbCBldmVudDwva2V5d29yZD48a2V5d29yZD5UaHJlZS10aWVyIGFwcHJvYWNoPC9rZXl3b3Jk
PjxrZXl3b3JkPmFjY3VyYWN5PC9rZXl3b3JkPjxrZXl3b3JkPmFsZ29yaXRobTwva2V5d29yZD48
a2V5d29yZD5CYXllcyB0aGVvcmVtPC9rZXl3b3JkPjxrZXl3b3JkPmJpb3N0YXRpc3RpY3M8L2tl
eXdvcmQ+PGtleXdvcmQ+Y2xpbmljYWwgcHJhY3RpY2U8L2tleXdvcmQ+PGtleXdvcmQ+Y29uZmlk
ZW5jZSBpbnRlcnZhbDwva2V5d29yZD48a2V5d29yZD5jb29wZXJhdGlvbjwva2V5d29yZD48a2V5
d29yZD5kcnVnIGRldmVsb3BtZW50PC9rZXl3b3JkPjxrZXl3b3JkPmRydWcgaW5kdXN0cnk8L2tl
eXdvcmQ+PGtleXdvcmQ+ZHJ1ZyBsYWJlbGluZzwva2V5d29yZD48a2V5d29yZD5kcnVnIG1hcmtl
dGluZzwva2V5d29yZD48a2V5d29yZD5kcnVnIHNhZmV0eTwva2V5d29yZD48a2V5d29yZD5odW1h
bjwva2V5d29yZD48a2V5d29yZD5pbmZlcmVudGlhbCBzdGF0aXN0aWNzPC9rZXl3b3JkPjxrZXl3
b3JkPmluZm9ybWF0aW9uIHByb2Nlc3Npbmc8L2tleXdvcmQ+PGtleXdvcmQ+a25vd2xlZGdlPC9r
ZXl3b3JkPjxrZXl3b3JkPm1ldGEgYW5hbHlzaXMgKHRvcGljKTwva2V5d29yZD48a2V5d29yZD5v
cmdhbml6YXRpb25hbCBzdHJ1Y3R1cmU8L2tleXdvcmQ+PGtleXdvcmQ+cGF0aWVudCBzYWZldHk8
L2tleXdvcmQ+PGtleXdvcmQ+cGF0dGVybiByZWNvZ25pdGlvbjwva2V5d29yZD48a2V5d29yZD5w
aGFzZSAzIGNsaW5pY2FsIHRyaWFsICh0b3BpYyk8L2tleXdvcmQ+PGtleXdvcmQ+cG9saWN5PC9r
ZXl3b3JkPjxrZXl3b3JkPnBvc3QgaG9jIGFuYWx5c2lzPC9rZXl3b3JkPjxrZXl3b3JkPnByaW9y
aXR5IGpvdXJuYWw8L2tleXdvcmQ+PGtleXdvcmQ+cHJvYmFiaWxpdHk8L2tleXdvcmQ+PGtleXdv
cmQ+cmVjb2duaXRpb248L2tleXdvcmQ+PGtleXdvcmQ+cmVndWxhdG9yeSBtZWNoYW5pc208L2tl
eXdvcmQ+PGtleXdvcmQ+cmV2aWV3PC9rZXl3b3JkPjxrZXl3b3JkPnJpc2sgYXNzZXNzbWVudDwv
a2V5d29yZD48a2V5d29yZD5yaXNrIG1hbmFnZW1lbnQ8L2tleXdvcmQ+PGtleXdvcmQ+c2ltdWxh
dGlvbjwva2V5d29yZD48a2V5d29yZD5zdGF0aXN0aWNhbCBhbmFseXNpczwva2V5d29yZD48a2V5
d29yZD5zdGF0aXN0aWNhbCBzaWduaWZpY2FuY2U8L2tleXdvcmQ+PGtleXdvcmQ+Q2xpbmljYWwg
VHJpYWxzIGFzIFRvcGljPC9rZXl3b3JkPjxrZXl3b3JkPkRydWcgRGlzY292ZXJ5PC9rZXl3b3Jk
PjxrZXl3b3JkPkh1bWFuczwva2V5d29yZD48a2V5d29yZD5NYXJrZXRpbmc8L2tleXdvcmQ+PGtl
eXdvcmQ+UGhhcm1hY2V1dGljYWwgUHJlcGFyYXRpb25zPC9rZXl3b3JkPjwva2V5d29yZHM+PGRh
dGVzPjx5ZWFyPjIwMTM8L3llYXI+PC9kYXRlcz48aXNibj4xMDU0MzQwNiAoSVNTTik8L2lzYm4+
PHdvcmstdHlwZT5SZXZpZXc8L3dvcmstdHlwZT48dXJscz48cmVsYXRlZC11cmxzPjx1cmw+aHR0
cHM6Ly93d3cuc2NvcHVzLmNvbS9pbndhcmQvcmVjb3JkLnVyaT9laWQ9Mi1zMi4wLTg0ODczMjk3
MDgzJmFtcDtkb2k9MTAuMTA4MCUyZjEwNTQzNDA2LjIwMTMuNzM2ODA1JmFtcDtwYXJ0bmVySUQ9
NDAmYW1wO21kNT1hOGU4YWViNjBkYzg3N2UxOGE5YmQ1YzAyZDFiMGRlNDwvdXJsPjwvcmVsYXRl
ZC11cmxzPjwvdXJscz48ZWxlY3Ryb25pYy1yZXNvdXJjZS1udW0+MTAuMTA4MC8xMDU0MzQwNi4y
MDEzLjczNjgwNTwvZWxlY3Ryb25pYy1yZXNvdXJjZS1udW0+PHJlbW90ZS1kYXRhYmFzZS1uYW1l
PlNjb3B1czwvcmVtb3RlLWRhdGFiYXNlLW5hbWU+PGxhbmd1YWdlPkVuZ2xpc2g8L2xhbmd1YWdl
PjwvcmVjb3JkPjwvQ2l0ZT48L0VuZE5vdGU+AG==
</w:fldData>
              </w:fldChar>
            </w:r>
            <w:r>
              <w:rPr>
                <w:rFonts w:eastAsia="Times New Roman" w:cstheme="minorHAnsi"/>
                <w:color w:val="000000"/>
                <w:sz w:val="20"/>
                <w:szCs w:val="20"/>
                <w:lang w:eastAsia="en-GB"/>
              </w:rPr>
              <w:instrText xml:space="preserve"> ADDIN EN.CITE </w:instrText>
            </w:r>
            <w:r>
              <w:rPr>
                <w:rFonts w:eastAsia="Times New Roman" w:cstheme="minorHAnsi"/>
                <w:color w:val="000000"/>
                <w:sz w:val="20"/>
                <w:szCs w:val="20"/>
                <w:lang w:eastAsia="en-GB"/>
              </w:rPr>
              <w:fldChar w:fldCharType="begin">
                <w:fldData xml:space="preserve">PEVuZE5vdGU+PENpdGU+PEF1dGhvcj5DaHVhbmctU3RlaW48L0F1dGhvcj48WWVhcj4yMDEzPC9Z
ZWFyPjxSZWNOdW0+ODU3OTwvUmVjTnVtPjxEaXNwbGF5VGV4dD48c3R5bGUgZmFjZT0ic3VwZXJz
Y3JpcHQiPjY8L3N0eWxlPjwvRGlzcGxheVRleHQ+PHJlY29yZD48cmVjLW51bWJlcj44NTc5PC9y
ZWMtbnVtYmVyPjxmb3JlaWduLWtleXM+PGtleSBhcHA9IkVOIiBkYi1pZD0iejJmNWE1cHQwMjIy
cDhlc2VzdXY1OXRvdzB0cnR6ZnBkeGF3IiB0aW1lc3RhbXA9IjE1MjEwNDczOTAiPjg1Nzk8L2tl
eT48L2ZvcmVpZ24ta2V5cz48cmVmLXR5cGUgbmFtZT0iSm91cm5hbCBBcnRpY2xlIj4xNzwvcmVm
LXR5cGU+PGNvbnRyaWJ1dG9ycz48YXV0aG9ycz48YXV0aG9yPkNodWFuZy1TdGVpbiwgQy48L2F1
dGhvcj48YXV0aG9yPlhpYSwgSC4gQS48L2F1dGhvcj48L2F1dGhvcnM+PC9jb250cmlidXRvcnM+
PGF1dGgtYWRkcmVzcz5TdGF0aXN0aWNhbCBSZXNlYXJjaCBhbmQgQ29uc3VsdGluZyBDZW50ZXIg
UGZpemVyIEluYy4sIDU4NTcgU3RvbmV5IEJyb29rIFJvYWQsIEthbGFtYXpvbywgTUkgNDkwMDks
IFVuaXRlZCBTdGF0ZXMmI3hEO0dsb2JhbCBCaW9zdGF0aXN0aWNhbCBTY2llbmNlcyBBbWdlbiwg
SW5jLiwgVGhvdXNhbmQgT2FrcywgQ0EsIFVuaXRlZCBTdGF0ZXM8L2F1dGgtYWRkcmVzcz48dGl0
bGVzPjx0aXRsZT5UaGUgcHJhY3RpY2Ugb2YgcHJlLW1hcmtldGluZyBzYWZldHkgYXNzZXNzbWVu
dCBpbiBkcnVnIGRldmVsb3BtZW50PC90aXRsZT48c2Vjb25kYXJ5LXRpdGxlPkpvdXJuYWwgb2Yg
QmlvcGhhcm1hY2V1dGljYWwgU3RhdGlzdGljczwvc2Vjb25kYXJ5LXRpdGxlPjxhbHQtdGl0bGU+
Si4gQmlvcGhhcm0uIFN0YXQuPC9hbHQtdGl0bGU+PC90aXRsZXM+PHBlcmlvZGljYWw+PGZ1bGwt
dGl0bGU+Sm91cm5hbCBvZiBCaW9waGFybWFjZXV0aWNhbCBTdGF0aXN0aWNzPC9mdWxsLXRpdGxl
PjwvcGVyaW9kaWNhbD48cGFnZXM+My0yNTwvcGFnZXM+PHZvbHVtZT4yMzwvdm9sdW1lPjxudW1i
ZXI+MTwvbnVtYmVyPjxrZXl3b3Jkcz48a2V5d29yZD5EZXNpZ25hdGVkIG1lZGljYWwgZXZlbnRz
PC9rZXl3b3JkPjxrZXl3b3JkPkdyYXBoaWNhbCBkaXNwbGF5IG9mIHNhZmV0eSBkYXRhPC9rZXl3
b3JkPjxrZXl3b3JkPk11bHRpcGxpY2l0eSBhZGp1c3RtZW50PC9rZXl3b3JkPjxrZXl3b3JkPlBy
b2dyYW0gc2FmZXR5IGFuYWx5c2lzIHBsYW48L2tleXdvcmQ+PGtleXdvcmQ+VGFyZ2V0ZWQgbWVk
aWNhbCBldmVudDwva2V5d29yZD48a2V5d29yZD5UaHJlZS10aWVyIGFwcHJvYWNoPC9rZXl3b3Jk
PjxrZXl3b3JkPmFjY3VyYWN5PC9rZXl3b3JkPjxrZXl3b3JkPmFsZ29yaXRobTwva2V5d29yZD48
a2V5d29yZD5CYXllcyB0aGVvcmVtPC9rZXl3b3JkPjxrZXl3b3JkPmJpb3N0YXRpc3RpY3M8L2tl
eXdvcmQ+PGtleXdvcmQ+Y2xpbmljYWwgcHJhY3RpY2U8L2tleXdvcmQ+PGtleXdvcmQ+Y29uZmlk
ZW5jZSBpbnRlcnZhbDwva2V5d29yZD48a2V5d29yZD5jb29wZXJhdGlvbjwva2V5d29yZD48a2V5
d29yZD5kcnVnIGRldmVsb3BtZW50PC9rZXl3b3JkPjxrZXl3b3JkPmRydWcgaW5kdXN0cnk8L2tl
eXdvcmQ+PGtleXdvcmQ+ZHJ1ZyBsYWJlbGluZzwva2V5d29yZD48a2V5d29yZD5kcnVnIG1hcmtl
dGluZzwva2V5d29yZD48a2V5d29yZD5kcnVnIHNhZmV0eTwva2V5d29yZD48a2V5d29yZD5odW1h
bjwva2V5d29yZD48a2V5d29yZD5pbmZlcmVudGlhbCBzdGF0aXN0aWNzPC9rZXl3b3JkPjxrZXl3
b3JkPmluZm9ybWF0aW9uIHByb2Nlc3Npbmc8L2tleXdvcmQ+PGtleXdvcmQ+a25vd2xlZGdlPC9r
ZXl3b3JkPjxrZXl3b3JkPm1ldGEgYW5hbHlzaXMgKHRvcGljKTwva2V5d29yZD48a2V5d29yZD5v
cmdhbml6YXRpb25hbCBzdHJ1Y3R1cmU8L2tleXdvcmQ+PGtleXdvcmQ+cGF0aWVudCBzYWZldHk8
L2tleXdvcmQ+PGtleXdvcmQ+cGF0dGVybiByZWNvZ25pdGlvbjwva2V5d29yZD48a2V5d29yZD5w
aGFzZSAzIGNsaW5pY2FsIHRyaWFsICh0b3BpYyk8L2tleXdvcmQ+PGtleXdvcmQ+cG9saWN5PC9r
ZXl3b3JkPjxrZXl3b3JkPnBvc3QgaG9jIGFuYWx5c2lzPC9rZXl3b3JkPjxrZXl3b3JkPnByaW9y
aXR5IGpvdXJuYWw8L2tleXdvcmQ+PGtleXdvcmQ+cHJvYmFiaWxpdHk8L2tleXdvcmQ+PGtleXdv
cmQ+cmVjb2duaXRpb248L2tleXdvcmQ+PGtleXdvcmQ+cmVndWxhdG9yeSBtZWNoYW5pc208L2tl
eXdvcmQ+PGtleXdvcmQ+cmV2aWV3PC9rZXl3b3JkPjxrZXl3b3JkPnJpc2sgYXNzZXNzbWVudDwv
a2V5d29yZD48a2V5d29yZD5yaXNrIG1hbmFnZW1lbnQ8L2tleXdvcmQ+PGtleXdvcmQ+c2ltdWxh
dGlvbjwva2V5d29yZD48a2V5d29yZD5zdGF0aXN0aWNhbCBhbmFseXNpczwva2V5d29yZD48a2V5
d29yZD5zdGF0aXN0aWNhbCBzaWduaWZpY2FuY2U8L2tleXdvcmQ+PGtleXdvcmQ+Q2xpbmljYWwg
VHJpYWxzIGFzIFRvcGljPC9rZXl3b3JkPjxrZXl3b3JkPkRydWcgRGlzY292ZXJ5PC9rZXl3b3Jk
PjxrZXl3b3JkPkh1bWFuczwva2V5d29yZD48a2V5d29yZD5NYXJrZXRpbmc8L2tleXdvcmQ+PGtl
eXdvcmQ+UGhhcm1hY2V1dGljYWwgUHJlcGFyYXRpb25zPC9rZXl3b3JkPjwva2V5d29yZHM+PGRh
dGVzPjx5ZWFyPjIwMTM8L3llYXI+PC9kYXRlcz48aXNibj4xMDU0MzQwNiAoSVNTTik8L2lzYm4+
PHdvcmstdHlwZT5SZXZpZXc8L3dvcmstdHlwZT48dXJscz48cmVsYXRlZC11cmxzPjx1cmw+aHR0
cHM6Ly93d3cuc2NvcHVzLmNvbS9pbndhcmQvcmVjb3JkLnVyaT9laWQ9Mi1zMi4wLTg0ODczMjk3
MDgzJmFtcDtkb2k9MTAuMTA4MCUyZjEwNTQzNDA2LjIwMTMuNzM2ODA1JmFtcDtwYXJ0bmVySUQ9
NDAmYW1wO21kNT1hOGU4YWViNjBkYzg3N2UxOGE5YmQ1YzAyZDFiMGRlNDwvdXJsPjwvcmVsYXRl
ZC11cmxzPjwvdXJscz48ZWxlY3Ryb25pYy1yZXNvdXJjZS1udW0+MTAuMTA4MC8xMDU0MzQwNi4y
MDEzLjczNjgwNTwvZWxlY3Ryb25pYy1yZXNvdXJjZS1udW0+PHJlbW90ZS1kYXRhYmFzZS1uYW1l
PlNjb3B1czwvcmVtb3RlLWRhdGFiYXNlLW5hbWU+PGxhbmd1YWdlPkVuZ2xpc2g8L2xhbmd1YWdl
PjwvcmVjb3JkPjwvQ2l0ZT48L0VuZE5vdGU+AG==
</w:fldData>
              </w:fldChar>
            </w:r>
            <w:r>
              <w:rPr>
                <w:rFonts w:eastAsia="Times New Roman" w:cstheme="minorHAnsi"/>
                <w:color w:val="000000"/>
                <w:sz w:val="20"/>
                <w:szCs w:val="20"/>
                <w:lang w:eastAsia="en-GB"/>
              </w:rPr>
              <w:instrText xml:space="preserve"> ADDIN EN.CITE.DATA </w:instrText>
            </w:r>
            <w:r>
              <w:rPr>
                <w:rFonts w:eastAsia="Times New Roman" w:cstheme="minorHAnsi"/>
                <w:color w:val="000000"/>
                <w:sz w:val="20"/>
                <w:szCs w:val="20"/>
                <w:lang w:eastAsia="en-GB"/>
              </w:rPr>
            </w:r>
            <w:r>
              <w:rPr>
                <w:rFonts w:eastAsia="Times New Roman" w:cstheme="minorHAnsi"/>
                <w:color w:val="000000"/>
                <w:sz w:val="20"/>
                <w:szCs w:val="20"/>
                <w:lang w:eastAsia="en-GB"/>
              </w:rPr>
              <w:fldChar w:fldCharType="end"/>
            </w:r>
            <w:r>
              <w:rPr>
                <w:rFonts w:eastAsia="Times New Roman" w:cstheme="minorHAnsi"/>
                <w:color w:val="000000"/>
                <w:sz w:val="20"/>
                <w:szCs w:val="20"/>
                <w:lang w:eastAsia="en-GB"/>
              </w:rPr>
            </w:r>
            <w:r>
              <w:rPr>
                <w:rFonts w:eastAsia="Times New Roman" w:cstheme="minorHAnsi"/>
                <w:color w:val="000000"/>
                <w:sz w:val="20"/>
                <w:szCs w:val="20"/>
                <w:lang w:eastAsia="en-GB"/>
              </w:rPr>
              <w:fldChar w:fldCharType="separate"/>
            </w:r>
            <w:r w:rsidRPr="00811DC2">
              <w:rPr>
                <w:rFonts w:eastAsia="Times New Roman" w:cstheme="minorHAnsi"/>
                <w:noProof/>
                <w:color w:val="000000"/>
                <w:sz w:val="20"/>
                <w:szCs w:val="20"/>
                <w:vertAlign w:val="superscript"/>
                <w:lang w:eastAsia="en-GB"/>
              </w:rPr>
              <w:t>6</w:t>
            </w:r>
            <w:r>
              <w:rPr>
                <w:rFonts w:eastAsia="Times New Roman" w:cstheme="minorHAnsi"/>
                <w:color w:val="000000"/>
                <w:sz w:val="20"/>
                <w:szCs w:val="20"/>
                <w:lang w:eastAsia="en-GB"/>
              </w:rPr>
              <w:fldChar w:fldCharType="end"/>
            </w:r>
          </w:p>
        </w:tc>
        <w:tc>
          <w:tcPr>
            <w:tcW w:w="5103" w:type="dxa"/>
            <w:shd w:val="clear" w:color="auto" w:fill="auto"/>
            <w:vAlign w:val="center"/>
            <w:hideMark/>
          </w:tcPr>
          <w:p w14:paraId="244D0BA9" w14:textId="77777777" w:rsidR="00E37363" w:rsidRPr="00253ACD" w:rsidRDefault="00E37363" w:rsidP="00B45076">
            <w:pPr>
              <w:spacing w:after="0" w:line="240" w:lineRule="auto"/>
              <w:rPr>
                <w:rFonts w:eastAsia="Times New Roman" w:cstheme="minorHAnsi"/>
                <w:color w:val="000000"/>
                <w:sz w:val="20"/>
                <w:szCs w:val="20"/>
                <w:lang w:eastAsia="en-GB"/>
              </w:rPr>
            </w:pPr>
            <w:r w:rsidRPr="009D5C34">
              <w:rPr>
                <w:rFonts w:eastAsia="Times New Roman" w:cstheme="minorHAnsi"/>
                <w:color w:val="000000"/>
                <w:sz w:val="20"/>
                <w:szCs w:val="20"/>
                <w:lang w:eastAsia="en-GB"/>
              </w:rPr>
              <w:t>Presents frequencies highlighting</w:t>
            </w:r>
            <w:r w:rsidRPr="00253ACD">
              <w:rPr>
                <w:rFonts w:eastAsia="Times New Roman" w:cstheme="minorHAnsi"/>
                <w:color w:val="000000"/>
                <w:sz w:val="20"/>
                <w:szCs w:val="20"/>
                <w:lang w:eastAsia="en-GB"/>
              </w:rPr>
              <w:t xml:space="preserve"> </w:t>
            </w:r>
            <w:r>
              <w:rPr>
                <w:rFonts w:eastAsia="Times New Roman" w:cstheme="minorHAnsi"/>
                <w:color w:val="000000"/>
                <w:sz w:val="20"/>
                <w:szCs w:val="20"/>
                <w:lang w:eastAsia="en-GB"/>
              </w:rPr>
              <w:t xml:space="preserve">the prevalence of </w:t>
            </w:r>
            <w:r w:rsidRPr="00253ACD">
              <w:rPr>
                <w:rFonts w:eastAsia="Times New Roman" w:cstheme="minorHAnsi"/>
                <w:color w:val="000000"/>
                <w:sz w:val="20"/>
                <w:szCs w:val="20"/>
                <w:lang w:eastAsia="en-GB"/>
              </w:rPr>
              <w:t>overlapping events</w:t>
            </w:r>
          </w:p>
        </w:tc>
      </w:tr>
      <w:tr w:rsidR="00E37363" w:rsidRPr="00253ACD" w14:paraId="61E5E5DE" w14:textId="77777777" w:rsidTr="00B45076">
        <w:trPr>
          <w:trHeight w:val="337"/>
        </w:trPr>
        <w:tc>
          <w:tcPr>
            <w:tcW w:w="1127" w:type="dxa"/>
            <w:vMerge/>
            <w:shd w:val="clear" w:color="auto" w:fill="auto"/>
            <w:vAlign w:val="center"/>
            <w:hideMark/>
          </w:tcPr>
          <w:p w14:paraId="3576170D" w14:textId="77777777" w:rsidR="00E37363" w:rsidRPr="00253ACD" w:rsidRDefault="00E37363" w:rsidP="00B45076">
            <w:pPr>
              <w:spacing w:after="0" w:line="240" w:lineRule="auto"/>
              <w:rPr>
                <w:rFonts w:eastAsia="Times New Roman" w:cstheme="minorHAnsi"/>
                <w:b/>
                <w:bCs/>
                <w:color w:val="000000"/>
                <w:sz w:val="20"/>
                <w:szCs w:val="20"/>
                <w:lang w:eastAsia="en-GB"/>
              </w:rPr>
            </w:pPr>
          </w:p>
        </w:tc>
        <w:tc>
          <w:tcPr>
            <w:tcW w:w="1420" w:type="dxa"/>
            <w:shd w:val="clear" w:color="auto" w:fill="auto"/>
            <w:noWrap/>
            <w:vAlign w:val="center"/>
            <w:hideMark/>
          </w:tcPr>
          <w:p w14:paraId="0E5F2ED5"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Binary</w:t>
            </w:r>
          </w:p>
        </w:tc>
        <w:tc>
          <w:tcPr>
            <w:tcW w:w="2835" w:type="dxa"/>
            <w:shd w:val="clear" w:color="auto" w:fill="auto"/>
            <w:vAlign w:val="center"/>
            <w:hideMark/>
          </w:tcPr>
          <w:p w14:paraId="74946470"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Two-by-two frequencies</w:t>
            </w:r>
          </w:p>
        </w:tc>
        <w:tc>
          <w:tcPr>
            <w:tcW w:w="4111" w:type="dxa"/>
            <w:shd w:val="clear" w:color="auto" w:fill="auto"/>
            <w:noWrap/>
            <w:vAlign w:val="center"/>
            <w:hideMark/>
          </w:tcPr>
          <w:p w14:paraId="7BDE0C54"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Chuang-Stein, Le </w:t>
            </w:r>
            <w:r>
              <w:rPr>
                <w:rFonts w:eastAsia="Times New Roman" w:cstheme="minorHAnsi"/>
                <w:color w:val="000000"/>
                <w:sz w:val="20"/>
                <w:szCs w:val="20"/>
                <w:lang w:eastAsia="en-GB"/>
              </w:rPr>
              <w:t>&amp;</w:t>
            </w:r>
            <w:r w:rsidRPr="00253ACD">
              <w:rPr>
                <w:rFonts w:eastAsia="Times New Roman" w:cstheme="minorHAnsi"/>
                <w:color w:val="000000"/>
                <w:sz w:val="20"/>
                <w:szCs w:val="20"/>
                <w:lang w:eastAsia="en-GB"/>
              </w:rPr>
              <w:t xml:space="preserve"> Chen</w:t>
            </w:r>
            <w:r>
              <w:rPr>
                <w:rFonts w:eastAsia="Times New Roman" w:cstheme="minorHAnsi"/>
                <w:color w:val="000000"/>
                <w:sz w:val="20"/>
                <w:szCs w:val="20"/>
                <w:lang w:eastAsia="en-GB"/>
              </w:rPr>
              <w:t>,</w:t>
            </w:r>
            <w:r w:rsidRPr="00253ACD">
              <w:rPr>
                <w:rFonts w:eastAsia="Times New Roman" w:cstheme="minorHAnsi"/>
                <w:color w:val="000000"/>
                <w:sz w:val="20"/>
                <w:szCs w:val="20"/>
                <w:lang w:eastAsia="en-GB"/>
              </w:rPr>
              <w:t xml:space="preserve"> 2001</w:t>
            </w:r>
            <w:r>
              <w:rPr>
                <w:rFonts w:eastAsia="Times New Roman" w:cstheme="minorHAnsi"/>
                <w:color w:val="000000"/>
                <w:sz w:val="20"/>
                <w:szCs w:val="20"/>
                <w:lang w:eastAsia="en-GB"/>
              </w:rPr>
              <w:t>.</w:t>
            </w:r>
            <w:r>
              <w:rPr>
                <w:rFonts w:eastAsia="Times New Roman" w:cstheme="minorHAnsi"/>
                <w:color w:val="000000"/>
                <w:sz w:val="20"/>
                <w:szCs w:val="20"/>
                <w:lang w:eastAsia="en-GB"/>
              </w:rPr>
              <w:fldChar w:fldCharType="begin"/>
            </w:r>
            <w:r>
              <w:rPr>
                <w:rFonts w:eastAsia="Times New Roman" w:cstheme="minorHAnsi"/>
                <w:color w:val="000000"/>
                <w:sz w:val="20"/>
                <w:szCs w:val="20"/>
                <w:lang w:eastAsia="en-GB"/>
              </w:rPr>
              <w:instrText xml:space="preserve"> ADDIN EN.CITE &lt;EndNote&gt;&lt;Cite&gt;&lt;Author&gt;Chuang-Stein&lt;/Author&gt;&lt;Year&gt;2001&lt;/Year&gt;&lt;RecNum&gt;24902&lt;/RecNum&gt;&lt;DisplayText&gt;&lt;style face="superscript"&gt;7&lt;/style&gt;&lt;/DisplayText&gt;&lt;record&gt;&lt;rec-number&gt;24902&lt;/rec-number&gt;&lt;foreign-keys&gt;&lt;key app="EN" db-id="z2f5a5pt0222p8esesuv59tow0trtzfpdxaw" timestamp="1528469152"&gt;24902&lt;/key&gt;&lt;/foreign-keys&gt;&lt;ref-type name="Journal Article"&gt;17&lt;/ref-type&gt;&lt;contributors&gt;&lt;authors&gt;&lt;author&gt;Chuang-Stein, Christy&lt;/author&gt;&lt;author&gt;Le, Vu&lt;/author&gt;&lt;author&gt;Chen, William&lt;/author&gt;&lt;/authors&gt;&lt;/contributors&gt;&lt;titles&gt;&lt;title&gt;Recent Advancements in the Analysis and Presentation of Safety Data&lt;/title&gt;&lt;secondary-title&gt;Drug Information Journal&lt;/secondary-title&gt;&lt;/titles&gt;&lt;periodical&gt;&lt;full-title&gt;Drug Information Journal&lt;/full-title&gt;&lt;/periodical&gt;&lt;pages&gt;377-397&lt;/pages&gt;&lt;volume&gt;35&lt;/volume&gt;&lt;number&gt;2&lt;/number&gt;&lt;keywords&gt;&lt;keyword&gt;Baseline diagnostic plot,Delta plot,Distribution plot,Empirical Bayes estimate,Hazard function plot,Patient timeline summary&lt;/keyword&gt;&lt;/keywords&gt;&lt;dates&gt;&lt;year&gt;2001&lt;/year&gt;&lt;/dates&gt;&lt;urls&gt;&lt;related-urls&gt;&lt;url&gt;http://journals.sagepub.com/doi/abs/10.1177/009286150103500207&lt;/url&gt;&lt;/related-urls&gt;&lt;/urls&gt;&lt;electronic-resource-num&gt;10.1177/009286150103500207&lt;/electronic-resource-num&gt;&lt;/record&gt;&lt;/Cite&gt;&lt;/EndNote&gt;</w:instrText>
            </w:r>
            <w:r>
              <w:rPr>
                <w:rFonts w:eastAsia="Times New Roman" w:cstheme="minorHAnsi"/>
                <w:color w:val="000000"/>
                <w:sz w:val="20"/>
                <w:szCs w:val="20"/>
                <w:lang w:eastAsia="en-GB"/>
              </w:rPr>
              <w:fldChar w:fldCharType="separate"/>
            </w:r>
            <w:r w:rsidRPr="00811DC2">
              <w:rPr>
                <w:rFonts w:eastAsia="Times New Roman" w:cstheme="minorHAnsi"/>
                <w:noProof/>
                <w:color w:val="000000"/>
                <w:sz w:val="20"/>
                <w:szCs w:val="20"/>
                <w:vertAlign w:val="superscript"/>
                <w:lang w:eastAsia="en-GB"/>
              </w:rPr>
              <w:t>7</w:t>
            </w:r>
            <w:r>
              <w:rPr>
                <w:rFonts w:eastAsia="Times New Roman" w:cstheme="minorHAnsi"/>
                <w:color w:val="000000"/>
                <w:sz w:val="20"/>
                <w:szCs w:val="20"/>
                <w:lang w:eastAsia="en-GB"/>
              </w:rPr>
              <w:fldChar w:fldCharType="end"/>
            </w:r>
          </w:p>
        </w:tc>
        <w:tc>
          <w:tcPr>
            <w:tcW w:w="5103" w:type="dxa"/>
            <w:shd w:val="clear" w:color="auto" w:fill="auto"/>
            <w:vAlign w:val="center"/>
            <w:hideMark/>
          </w:tcPr>
          <w:p w14:paraId="108BE53C"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Displays two-by-two frequencies graphically</w:t>
            </w:r>
          </w:p>
        </w:tc>
      </w:tr>
      <w:tr w:rsidR="00E37363" w:rsidRPr="00253ACD" w14:paraId="6D61087E" w14:textId="77777777" w:rsidTr="00B45076">
        <w:trPr>
          <w:trHeight w:val="337"/>
        </w:trPr>
        <w:tc>
          <w:tcPr>
            <w:tcW w:w="1127" w:type="dxa"/>
            <w:vMerge/>
            <w:shd w:val="clear" w:color="auto" w:fill="auto"/>
            <w:vAlign w:val="center"/>
          </w:tcPr>
          <w:p w14:paraId="4BB062E5" w14:textId="77777777" w:rsidR="00E37363" w:rsidRPr="00253ACD" w:rsidRDefault="00E37363" w:rsidP="00B45076">
            <w:pPr>
              <w:spacing w:after="0" w:line="240" w:lineRule="auto"/>
              <w:rPr>
                <w:rFonts w:eastAsia="Times New Roman" w:cstheme="minorHAnsi"/>
                <w:b/>
                <w:bCs/>
                <w:color w:val="000000"/>
                <w:sz w:val="20"/>
                <w:szCs w:val="20"/>
                <w:lang w:eastAsia="en-GB"/>
              </w:rPr>
            </w:pPr>
          </w:p>
        </w:tc>
        <w:tc>
          <w:tcPr>
            <w:tcW w:w="1420" w:type="dxa"/>
            <w:shd w:val="clear" w:color="auto" w:fill="auto"/>
            <w:noWrap/>
            <w:vAlign w:val="center"/>
          </w:tcPr>
          <w:p w14:paraId="48CEBE96"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Binary</w:t>
            </w:r>
          </w:p>
        </w:tc>
        <w:tc>
          <w:tcPr>
            <w:tcW w:w="2835" w:type="dxa"/>
            <w:shd w:val="clear" w:color="auto" w:fill="auto"/>
            <w:vAlign w:val="center"/>
          </w:tcPr>
          <w:p w14:paraId="3E7260B3"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Forest plot</w:t>
            </w:r>
          </w:p>
        </w:tc>
        <w:tc>
          <w:tcPr>
            <w:tcW w:w="4111" w:type="dxa"/>
            <w:shd w:val="clear" w:color="auto" w:fill="auto"/>
            <w:noWrap/>
            <w:vAlign w:val="center"/>
          </w:tcPr>
          <w:p w14:paraId="44F4958F" w14:textId="77777777" w:rsidR="00E37363" w:rsidRPr="00253ACD" w:rsidRDefault="00E37363" w:rsidP="00B45076">
            <w:pPr>
              <w:spacing w:after="0" w:line="240" w:lineRule="auto"/>
              <w:rPr>
                <w:rFonts w:eastAsia="Times New Roman" w:cstheme="minorHAnsi"/>
                <w:color w:val="000000"/>
                <w:sz w:val="20"/>
                <w:szCs w:val="20"/>
                <w:lang w:eastAsia="en-GB"/>
              </w:rPr>
            </w:pPr>
            <w:r>
              <w:rPr>
                <w:rFonts w:eastAsia="Times New Roman" w:cstheme="minorHAnsi"/>
                <w:color w:val="000000"/>
                <w:sz w:val="20"/>
                <w:szCs w:val="20"/>
                <w:lang w:eastAsia="en-GB"/>
              </w:rPr>
              <w:t xml:space="preserve">Chuang-Stein &amp; Xia, </w:t>
            </w:r>
            <w:r w:rsidRPr="00253ACD">
              <w:rPr>
                <w:rFonts w:eastAsia="Times New Roman" w:cstheme="minorHAnsi"/>
                <w:color w:val="000000"/>
                <w:sz w:val="20"/>
                <w:szCs w:val="20"/>
                <w:lang w:eastAsia="en-GB"/>
              </w:rPr>
              <w:t>2013</w:t>
            </w:r>
            <w:r>
              <w:rPr>
                <w:rFonts w:eastAsia="Times New Roman" w:cstheme="minorHAnsi"/>
                <w:color w:val="000000"/>
                <w:sz w:val="20"/>
                <w:szCs w:val="20"/>
                <w:lang w:eastAsia="en-GB"/>
              </w:rPr>
              <w:t xml:space="preserve">. </w:t>
            </w:r>
            <w:r w:rsidRPr="00253ACD">
              <w:rPr>
                <w:rFonts w:eastAsia="Times New Roman" w:cstheme="minorHAnsi"/>
                <w:color w:val="000000"/>
                <w:sz w:val="20"/>
                <w:szCs w:val="20"/>
                <w:lang w:eastAsia="en-GB"/>
              </w:rPr>
              <w:t>Refers to Lewis and Clarke, 2001 which is</w:t>
            </w:r>
            <w:r>
              <w:rPr>
                <w:rFonts w:eastAsia="Times New Roman" w:cstheme="minorHAnsi"/>
                <w:color w:val="000000"/>
                <w:sz w:val="20"/>
                <w:szCs w:val="20"/>
                <w:lang w:eastAsia="en-GB"/>
              </w:rPr>
              <w:t xml:space="preserve"> </w:t>
            </w:r>
            <w:r w:rsidRPr="00253ACD">
              <w:rPr>
                <w:rFonts w:eastAsia="Times New Roman" w:cstheme="minorHAnsi"/>
                <w:color w:val="000000"/>
                <w:sz w:val="20"/>
                <w:szCs w:val="20"/>
                <w:lang w:eastAsia="en-GB"/>
              </w:rPr>
              <w:t>n</w:t>
            </w:r>
            <w:r>
              <w:rPr>
                <w:rFonts w:eastAsia="Times New Roman" w:cstheme="minorHAnsi"/>
                <w:color w:val="000000"/>
                <w:sz w:val="20"/>
                <w:szCs w:val="20"/>
                <w:lang w:eastAsia="en-GB"/>
              </w:rPr>
              <w:t>o</w:t>
            </w:r>
            <w:r w:rsidRPr="00253ACD">
              <w:rPr>
                <w:rFonts w:eastAsia="Times New Roman" w:cstheme="minorHAnsi"/>
                <w:color w:val="000000"/>
                <w:sz w:val="20"/>
                <w:szCs w:val="20"/>
                <w:lang w:eastAsia="en-GB"/>
              </w:rPr>
              <w:t xml:space="preserve">t eligible in own right as </w:t>
            </w:r>
            <w:proofErr w:type="gramStart"/>
            <w:r w:rsidRPr="00253ACD">
              <w:rPr>
                <w:rFonts w:eastAsia="Times New Roman" w:cstheme="minorHAnsi"/>
                <w:color w:val="000000"/>
                <w:sz w:val="20"/>
                <w:szCs w:val="20"/>
                <w:lang w:eastAsia="en-GB"/>
              </w:rPr>
              <w:t>it's</w:t>
            </w:r>
            <w:proofErr w:type="gramEnd"/>
            <w:r w:rsidRPr="00253ACD">
              <w:rPr>
                <w:rFonts w:eastAsia="Times New Roman" w:cstheme="minorHAnsi"/>
                <w:color w:val="000000"/>
                <w:sz w:val="20"/>
                <w:szCs w:val="20"/>
                <w:lang w:eastAsia="en-GB"/>
              </w:rPr>
              <w:t xml:space="preserve"> not specific to AEs.</w:t>
            </w:r>
            <w:r>
              <w:rPr>
                <w:rFonts w:eastAsia="Times New Roman" w:cstheme="minorHAnsi"/>
                <w:color w:val="000000"/>
                <w:sz w:val="20"/>
                <w:szCs w:val="20"/>
                <w:lang w:eastAsia="en-GB"/>
              </w:rPr>
              <w:fldChar w:fldCharType="begin">
                <w:fldData xml:space="preserve">PEVuZE5vdGU+PENpdGU+PEF1dGhvcj5MZXdpczwvQXV0aG9yPjxZZWFyPjIwMDE8L1llYXI+PFJl
Y051bT4yNDk1MTwvUmVjTnVtPjxEaXNwbGF5VGV4dD48c3R5bGUgZmFjZT0ic3VwZXJzY3JpcHQi
PjYsIDg8L3N0eWxlPjwvRGlzcGxheVRleHQ+PHJlY29yZD48cmVjLW51bWJlcj4yNDk1MTwvcmVj
LW51bWJlcj48Zm9yZWlnbi1rZXlzPjxrZXkgYXBwPSJFTiIgZGItaWQ9InoyZjVhNXB0MDIyMnA4
ZXNlc3V2NTl0b3cwdHJ0emZwZHhhdyIgdGltZXN0YW1wPSIxNTUwMDYwMjA1Ij4yNDk1MTwva2V5
PjwvZm9yZWlnbi1rZXlzPjxyZWYtdHlwZSBuYW1lPSJKb3VybmFsIEFydGljbGUiPjE3PC9yZWYt
dHlwZT48Y29udHJpYnV0b3JzPjxhdXRob3JzPjxhdXRob3I+TGV3aXMsIFN0ZWZmPC9hdXRob3I+
PGF1dGhvcj5DbGFya2UsIE1pa2U8L2F1dGhvcj48L2F1dGhvcnM+PC9jb250cmlidXRvcnM+PHRp
dGxlcz48dGl0bGU+Rm9yZXN0IHBsb3RzOiB0cnlpbmcgdG8gc2VlIHRoZSB3b29kIGFuZCB0aGUg
dHJlZXM8L3RpdGxlPjxzZWNvbmRhcnktdGl0bGU+Qk1KPC9zZWNvbmRhcnktdGl0bGU+PC90aXRs
ZXM+PHBlcmlvZGljYWw+PGZ1bGwtdGl0bGU+Qk1KPC9mdWxsLXRpdGxlPjwvcGVyaW9kaWNhbD48
cGFnZXM+MTQ3OS0xNDgwPC9wYWdlcz48dm9sdW1lPjMyMjwvdm9sdW1lPjxudW1iZXI+NzMwMDwv
bnVtYmVyPjxkYXRlcz48eWVhcj4yMDAxPC95ZWFyPjwvZGF0ZXM+PHVybHM+PHJlbGF0ZWQtdXJs
cz48dXJsPmh0dHBzOi8vd3d3LmJtai5jb20vY29udGVudC9ibWovMzIyLzczMDAvMTQ3OS5mdWxs
LnBkZjwvdXJsPjwvcmVsYXRlZC11cmxzPjwvdXJscz48ZWxlY3Ryb25pYy1yZXNvdXJjZS1udW0+
MTAuMTEzNi9ibWouMzIyLjczMDAuMTQ3OTwvZWxlY3Ryb25pYy1yZXNvdXJjZS1udW0+PC9yZWNv
cmQ+PC9DaXRlPjxDaXRlPjxBdXRob3I+Q2h1YW5nLVN0ZWluPC9BdXRob3I+PFllYXI+MjAxMzwv
WWVhcj48UmVjTnVtPjg1Nzk8L1JlY051bT48cmVjb3JkPjxyZWMtbnVtYmVyPjg1Nzk8L3JlYy1u
dW1iZXI+PGZvcmVpZ24ta2V5cz48a2V5IGFwcD0iRU4iIGRiLWlkPSJ6MmY1YTVwdDAyMjJwOGVz
ZXN1djU5dG93MHRydHpmcGR4YXciIHRpbWVzdGFtcD0iMTUyMTA0NzM5MCI+ODU3OTwva2V5Pjwv
Zm9yZWlnbi1rZXlzPjxyZWYtdHlwZSBuYW1lPSJKb3VybmFsIEFydGljbGUiPjE3PC9yZWYtdHlw
ZT48Y29udHJpYnV0b3JzPjxhdXRob3JzPjxhdXRob3I+Q2h1YW5nLVN0ZWluLCBDLjwvYXV0aG9y
PjxhdXRob3I+WGlhLCBILiBBLjwvYXV0aG9yPjwvYXV0aG9ycz48L2NvbnRyaWJ1dG9ycz48YXV0
aC1hZGRyZXNzPlN0YXRpc3RpY2FsIFJlc2VhcmNoIGFuZCBDb25zdWx0aW5nIENlbnRlciBQZml6
ZXIgSW5jLiwgNTg1NyBTdG9uZXkgQnJvb2sgUm9hZCwgS2FsYW1hem9vLCBNSSA0OTAwOSwgVW5p
dGVkIFN0YXRlcyYjeEQ7R2xvYmFsIEJpb3N0YXRpc3RpY2FsIFNjaWVuY2VzIEFtZ2VuLCBJbmMu
LCBUaG91c2FuZCBPYWtzLCBDQSwgVW5pdGVkIFN0YXRlczwvYXV0aC1hZGRyZXNzPjx0aXRsZXM+
PHRpdGxlPlRoZSBwcmFjdGljZSBvZiBwcmUtbWFya2V0aW5nIHNhZmV0eSBhc3Nlc3NtZW50IGlu
IGRydWcgZGV2ZWxvcG1lbnQ8L3RpdGxlPjxzZWNvbmRhcnktdGl0bGU+Sm91cm5hbCBvZiBCaW9w
aGFybWFjZXV0aWNhbCBTdGF0aXN0aWNzPC9zZWNvbmRhcnktdGl0bGU+PGFsdC10aXRsZT5KLiBC
aW9waGFybS4gU3RhdC48L2FsdC10aXRsZT48L3RpdGxlcz48cGVyaW9kaWNhbD48ZnVsbC10aXRs
ZT5Kb3VybmFsIG9mIEJpb3BoYXJtYWNldXRpY2FsIFN0YXRpc3RpY3M8L2Z1bGwtdGl0bGU+PC9w
ZXJpb2RpY2FsPjxwYWdlcz4zLTI1PC9wYWdlcz48dm9sdW1lPjIzPC92b2x1bWU+PG51bWJlcj4x
PC9udW1iZXI+PGtleXdvcmRzPjxrZXl3b3JkPkRlc2lnbmF0ZWQgbWVkaWNhbCBldmVudHM8L2tl
eXdvcmQ+PGtleXdvcmQ+R3JhcGhpY2FsIGRpc3BsYXkgb2Ygc2FmZXR5IGRhdGE8L2tleXdvcmQ+
PGtleXdvcmQ+TXVsdGlwbGljaXR5IGFkanVzdG1lbnQ8L2tleXdvcmQ+PGtleXdvcmQ+UHJvZ3Jh
bSBzYWZldHkgYW5hbHlzaXMgcGxhbjwva2V5d29yZD48a2V5d29yZD5UYXJnZXRlZCBtZWRpY2Fs
IGV2ZW50PC9rZXl3b3JkPjxrZXl3b3JkPlRocmVlLXRpZXIgYXBwcm9hY2g8L2tleXdvcmQ+PGtl
eXdvcmQ+YWNjdXJhY3k8L2tleXdvcmQ+PGtleXdvcmQ+YWxnb3JpdGhtPC9rZXl3b3JkPjxrZXl3
b3JkPkJheWVzIHRoZW9yZW08L2tleXdvcmQ+PGtleXdvcmQ+Ymlvc3RhdGlzdGljczwva2V5d29y
ZD48a2V5d29yZD5jbGluaWNhbCBwcmFjdGljZTwva2V5d29yZD48a2V5d29yZD5jb25maWRlbmNl
IGludGVydmFsPC9rZXl3b3JkPjxrZXl3b3JkPmNvb3BlcmF0aW9uPC9rZXl3b3JkPjxrZXl3b3Jk
PmRydWcgZGV2ZWxvcG1lbnQ8L2tleXdvcmQ+PGtleXdvcmQ+ZHJ1ZyBpbmR1c3RyeTwva2V5d29y
ZD48a2V5d29yZD5kcnVnIGxhYmVsaW5nPC9rZXl3b3JkPjxrZXl3b3JkPmRydWcgbWFya2V0aW5n
PC9rZXl3b3JkPjxrZXl3b3JkPmRydWcgc2FmZXR5PC9rZXl3b3JkPjxrZXl3b3JkPmh1bWFuPC9r
ZXl3b3JkPjxrZXl3b3JkPmluZmVyZW50aWFsIHN0YXRpc3RpY3M8L2tleXdvcmQ+PGtleXdvcmQ+
aW5mb3JtYXRpb24gcHJvY2Vzc2luZzwva2V5d29yZD48a2V5d29yZD5rbm93bGVkZ2U8L2tleXdv
cmQ+PGtleXdvcmQ+bWV0YSBhbmFseXNpcyAodG9waWMpPC9rZXl3b3JkPjxrZXl3b3JkPm9yZ2Fu
aXphdGlvbmFsIHN0cnVjdHVyZTwva2V5d29yZD48a2V5d29yZD5wYXRpZW50IHNhZmV0eTwva2V5
d29yZD48a2V5d29yZD5wYXR0ZXJuIHJlY29nbml0aW9uPC9rZXl3b3JkPjxrZXl3b3JkPnBoYXNl
IDMgY2xpbmljYWwgdHJpYWwgKHRvcGljKTwva2V5d29yZD48a2V5d29yZD5wb2xpY3k8L2tleXdv
cmQ+PGtleXdvcmQ+cG9zdCBob2MgYW5hbHlzaXM8L2tleXdvcmQ+PGtleXdvcmQ+cHJpb3JpdHkg
am91cm5hbDwva2V5d29yZD48a2V5d29yZD5wcm9iYWJpbGl0eTwva2V5d29yZD48a2V5d29yZD5y
ZWNvZ25pdGlvbjwva2V5d29yZD48a2V5d29yZD5yZWd1bGF0b3J5IG1lY2hhbmlzbTwva2V5d29y
ZD48a2V5d29yZD5yZXZpZXc8L2tleXdvcmQ+PGtleXdvcmQ+cmlzayBhc3Nlc3NtZW50PC9rZXl3
b3JkPjxrZXl3b3JkPnJpc2sgbWFuYWdlbWVudDwva2V5d29yZD48a2V5d29yZD5zaW11bGF0aW9u
PC9rZXl3b3JkPjxrZXl3b3JkPnN0YXRpc3RpY2FsIGFuYWx5c2lzPC9rZXl3b3JkPjxrZXl3b3Jk
PnN0YXRpc3RpY2FsIHNpZ25pZmljYW5jZTwva2V5d29yZD48a2V5d29yZD5DbGluaWNhbCBUcmlh
bHMgYXMgVG9waWM8L2tleXdvcmQ+PGtleXdvcmQ+RHJ1ZyBEaXNjb3Zlcnk8L2tleXdvcmQ+PGtl
eXdvcmQ+SHVtYW5zPC9rZXl3b3JkPjxrZXl3b3JkPk1hcmtldGluZzwva2V5d29yZD48a2V5d29y
ZD5QaGFybWFjZXV0aWNhbCBQcmVwYXJhdGlvbnM8L2tleXdvcmQ+PC9rZXl3b3Jkcz48ZGF0ZXM+
PHllYXI+MjAxMzwveWVhcj48L2RhdGVzPjxpc2JuPjEwNTQzNDA2IChJU1NOKTwvaXNibj48d29y
ay10eXBlPlJldmlldzwvd29yay10eXBlPjx1cmxzPjxyZWxhdGVkLXVybHM+PHVybD5odHRwczov
L3d3dy5zY29wdXMuY29tL2lud2FyZC9yZWNvcmQudXJpP2VpZD0yLXMyLjAtODQ4NzMyOTcwODMm
YW1wO2RvaT0xMC4xMDgwJTJmMTA1NDM0MDYuMjAxMy43MzY4MDUmYW1wO3BhcnRuZXJJRD00MCZh
bXA7bWQ1PWE4ZThhZWI2MGRjODc3ZTE4YTliZDVjMDJkMWIwZGU0PC91cmw+PC9yZWxhdGVkLXVy
bHM+PC91cmxzPjxlbGVjdHJvbmljLXJlc291cmNlLW51bT4xMC4xMDgwLzEwNTQzNDA2LjIwMTMu
NzM2ODA1PC9lbGVjdHJvbmljLXJlc291cmNlLW51bT48cmVtb3RlLWRhdGFiYXNlLW5hbWU+U2Nv
cHVzPC9yZW1vdGUtZGF0YWJhc2UtbmFtZT48bGFuZ3VhZ2U+RW5nbGlzaDwvbGFuZ3VhZ2U+PC9y
ZWNvcmQ+PC9DaXRlPjwvRW5kTm90ZT5=
</w:fldData>
              </w:fldChar>
            </w:r>
            <w:r>
              <w:rPr>
                <w:rFonts w:eastAsia="Times New Roman" w:cstheme="minorHAnsi"/>
                <w:color w:val="000000"/>
                <w:sz w:val="20"/>
                <w:szCs w:val="20"/>
                <w:lang w:eastAsia="en-GB"/>
              </w:rPr>
              <w:instrText xml:space="preserve"> ADDIN EN.CITE </w:instrText>
            </w:r>
            <w:r>
              <w:rPr>
                <w:rFonts w:eastAsia="Times New Roman" w:cstheme="minorHAnsi"/>
                <w:color w:val="000000"/>
                <w:sz w:val="20"/>
                <w:szCs w:val="20"/>
                <w:lang w:eastAsia="en-GB"/>
              </w:rPr>
              <w:fldChar w:fldCharType="begin">
                <w:fldData xml:space="preserve">PEVuZE5vdGU+PENpdGU+PEF1dGhvcj5MZXdpczwvQXV0aG9yPjxZZWFyPjIwMDE8L1llYXI+PFJl
Y051bT4yNDk1MTwvUmVjTnVtPjxEaXNwbGF5VGV4dD48c3R5bGUgZmFjZT0ic3VwZXJzY3JpcHQi
PjYsIDg8L3N0eWxlPjwvRGlzcGxheVRleHQ+PHJlY29yZD48cmVjLW51bWJlcj4yNDk1MTwvcmVj
LW51bWJlcj48Zm9yZWlnbi1rZXlzPjxrZXkgYXBwPSJFTiIgZGItaWQ9InoyZjVhNXB0MDIyMnA4
ZXNlc3V2NTl0b3cwdHJ0emZwZHhhdyIgdGltZXN0YW1wPSIxNTUwMDYwMjA1Ij4yNDk1MTwva2V5
PjwvZm9yZWlnbi1rZXlzPjxyZWYtdHlwZSBuYW1lPSJKb3VybmFsIEFydGljbGUiPjE3PC9yZWYt
dHlwZT48Y29udHJpYnV0b3JzPjxhdXRob3JzPjxhdXRob3I+TGV3aXMsIFN0ZWZmPC9hdXRob3I+
PGF1dGhvcj5DbGFya2UsIE1pa2U8L2F1dGhvcj48L2F1dGhvcnM+PC9jb250cmlidXRvcnM+PHRp
dGxlcz48dGl0bGU+Rm9yZXN0IHBsb3RzOiB0cnlpbmcgdG8gc2VlIHRoZSB3b29kIGFuZCB0aGUg
dHJlZXM8L3RpdGxlPjxzZWNvbmRhcnktdGl0bGU+Qk1KPC9zZWNvbmRhcnktdGl0bGU+PC90aXRs
ZXM+PHBlcmlvZGljYWw+PGZ1bGwtdGl0bGU+Qk1KPC9mdWxsLXRpdGxlPjwvcGVyaW9kaWNhbD48
cGFnZXM+MTQ3OS0xNDgwPC9wYWdlcz48dm9sdW1lPjMyMjwvdm9sdW1lPjxudW1iZXI+NzMwMDwv
bnVtYmVyPjxkYXRlcz48eWVhcj4yMDAxPC95ZWFyPjwvZGF0ZXM+PHVybHM+PHJlbGF0ZWQtdXJs
cz48dXJsPmh0dHBzOi8vd3d3LmJtai5jb20vY29udGVudC9ibWovMzIyLzczMDAvMTQ3OS5mdWxs
LnBkZjwvdXJsPjwvcmVsYXRlZC11cmxzPjwvdXJscz48ZWxlY3Ryb25pYy1yZXNvdXJjZS1udW0+
MTAuMTEzNi9ibWouMzIyLjczMDAuMTQ3OTwvZWxlY3Ryb25pYy1yZXNvdXJjZS1udW0+PC9yZWNv
cmQ+PC9DaXRlPjxDaXRlPjxBdXRob3I+Q2h1YW5nLVN0ZWluPC9BdXRob3I+PFllYXI+MjAxMzwv
WWVhcj48UmVjTnVtPjg1Nzk8L1JlY051bT48cmVjb3JkPjxyZWMtbnVtYmVyPjg1Nzk8L3JlYy1u
dW1iZXI+PGZvcmVpZ24ta2V5cz48a2V5IGFwcD0iRU4iIGRiLWlkPSJ6MmY1YTVwdDAyMjJwOGVz
ZXN1djU5dG93MHRydHpmcGR4YXciIHRpbWVzdGFtcD0iMTUyMTA0NzM5MCI+ODU3OTwva2V5Pjwv
Zm9yZWlnbi1rZXlzPjxyZWYtdHlwZSBuYW1lPSJKb3VybmFsIEFydGljbGUiPjE3PC9yZWYtdHlw
ZT48Y29udHJpYnV0b3JzPjxhdXRob3JzPjxhdXRob3I+Q2h1YW5nLVN0ZWluLCBDLjwvYXV0aG9y
PjxhdXRob3I+WGlhLCBILiBBLjwvYXV0aG9yPjwvYXV0aG9ycz48L2NvbnRyaWJ1dG9ycz48YXV0
aC1hZGRyZXNzPlN0YXRpc3RpY2FsIFJlc2VhcmNoIGFuZCBDb25zdWx0aW5nIENlbnRlciBQZml6
ZXIgSW5jLiwgNTg1NyBTdG9uZXkgQnJvb2sgUm9hZCwgS2FsYW1hem9vLCBNSSA0OTAwOSwgVW5p
dGVkIFN0YXRlcyYjeEQ7R2xvYmFsIEJpb3N0YXRpc3RpY2FsIFNjaWVuY2VzIEFtZ2VuLCBJbmMu
LCBUaG91c2FuZCBPYWtzLCBDQSwgVW5pdGVkIFN0YXRlczwvYXV0aC1hZGRyZXNzPjx0aXRsZXM+
PHRpdGxlPlRoZSBwcmFjdGljZSBvZiBwcmUtbWFya2V0aW5nIHNhZmV0eSBhc3Nlc3NtZW50IGlu
IGRydWcgZGV2ZWxvcG1lbnQ8L3RpdGxlPjxzZWNvbmRhcnktdGl0bGU+Sm91cm5hbCBvZiBCaW9w
aGFybWFjZXV0aWNhbCBTdGF0aXN0aWNzPC9zZWNvbmRhcnktdGl0bGU+PGFsdC10aXRsZT5KLiBC
aW9waGFybS4gU3RhdC48L2FsdC10aXRsZT48L3RpdGxlcz48cGVyaW9kaWNhbD48ZnVsbC10aXRs
ZT5Kb3VybmFsIG9mIEJpb3BoYXJtYWNldXRpY2FsIFN0YXRpc3RpY3M8L2Z1bGwtdGl0bGU+PC9w
ZXJpb2RpY2FsPjxwYWdlcz4zLTI1PC9wYWdlcz48dm9sdW1lPjIzPC92b2x1bWU+PG51bWJlcj4x
PC9udW1iZXI+PGtleXdvcmRzPjxrZXl3b3JkPkRlc2lnbmF0ZWQgbWVkaWNhbCBldmVudHM8L2tl
eXdvcmQ+PGtleXdvcmQ+R3JhcGhpY2FsIGRpc3BsYXkgb2Ygc2FmZXR5IGRhdGE8L2tleXdvcmQ+
PGtleXdvcmQ+TXVsdGlwbGljaXR5IGFkanVzdG1lbnQ8L2tleXdvcmQ+PGtleXdvcmQ+UHJvZ3Jh
bSBzYWZldHkgYW5hbHlzaXMgcGxhbjwva2V5d29yZD48a2V5d29yZD5UYXJnZXRlZCBtZWRpY2Fs
IGV2ZW50PC9rZXl3b3JkPjxrZXl3b3JkPlRocmVlLXRpZXIgYXBwcm9hY2g8L2tleXdvcmQ+PGtl
eXdvcmQ+YWNjdXJhY3k8L2tleXdvcmQ+PGtleXdvcmQ+YWxnb3JpdGhtPC9rZXl3b3JkPjxrZXl3
b3JkPkJheWVzIHRoZW9yZW08L2tleXdvcmQ+PGtleXdvcmQ+Ymlvc3RhdGlzdGljczwva2V5d29y
ZD48a2V5d29yZD5jbGluaWNhbCBwcmFjdGljZTwva2V5d29yZD48a2V5d29yZD5jb25maWRlbmNl
IGludGVydmFsPC9rZXl3b3JkPjxrZXl3b3JkPmNvb3BlcmF0aW9uPC9rZXl3b3JkPjxrZXl3b3Jk
PmRydWcgZGV2ZWxvcG1lbnQ8L2tleXdvcmQ+PGtleXdvcmQ+ZHJ1ZyBpbmR1c3RyeTwva2V5d29y
ZD48a2V5d29yZD5kcnVnIGxhYmVsaW5nPC9rZXl3b3JkPjxrZXl3b3JkPmRydWcgbWFya2V0aW5n
PC9rZXl3b3JkPjxrZXl3b3JkPmRydWcgc2FmZXR5PC9rZXl3b3JkPjxrZXl3b3JkPmh1bWFuPC9r
ZXl3b3JkPjxrZXl3b3JkPmluZmVyZW50aWFsIHN0YXRpc3RpY3M8L2tleXdvcmQ+PGtleXdvcmQ+
aW5mb3JtYXRpb24gcHJvY2Vzc2luZzwva2V5d29yZD48a2V5d29yZD5rbm93bGVkZ2U8L2tleXdv
cmQ+PGtleXdvcmQ+bWV0YSBhbmFseXNpcyAodG9waWMpPC9rZXl3b3JkPjxrZXl3b3JkPm9yZ2Fu
aXphdGlvbmFsIHN0cnVjdHVyZTwva2V5d29yZD48a2V5d29yZD5wYXRpZW50IHNhZmV0eTwva2V5
d29yZD48a2V5d29yZD5wYXR0ZXJuIHJlY29nbml0aW9uPC9rZXl3b3JkPjxrZXl3b3JkPnBoYXNl
IDMgY2xpbmljYWwgdHJpYWwgKHRvcGljKTwva2V5d29yZD48a2V5d29yZD5wb2xpY3k8L2tleXdv
cmQ+PGtleXdvcmQ+cG9zdCBob2MgYW5hbHlzaXM8L2tleXdvcmQ+PGtleXdvcmQ+cHJpb3JpdHkg
am91cm5hbDwva2V5d29yZD48a2V5d29yZD5wcm9iYWJpbGl0eTwva2V5d29yZD48a2V5d29yZD5y
ZWNvZ25pdGlvbjwva2V5d29yZD48a2V5d29yZD5yZWd1bGF0b3J5IG1lY2hhbmlzbTwva2V5d29y
ZD48a2V5d29yZD5yZXZpZXc8L2tleXdvcmQ+PGtleXdvcmQ+cmlzayBhc3Nlc3NtZW50PC9rZXl3
b3JkPjxrZXl3b3JkPnJpc2sgbWFuYWdlbWVudDwva2V5d29yZD48a2V5d29yZD5zaW11bGF0aW9u
PC9rZXl3b3JkPjxrZXl3b3JkPnN0YXRpc3RpY2FsIGFuYWx5c2lzPC9rZXl3b3JkPjxrZXl3b3Jk
PnN0YXRpc3RpY2FsIHNpZ25pZmljYW5jZTwva2V5d29yZD48a2V5d29yZD5DbGluaWNhbCBUcmlh
bHMgYXMgVG9waWM8L2tleXdvcmQ+PGtleXdvcmQ+RHJ1ZyBEaXNjb3Zlcnk8L2tleXdvcmQ+PGtl
eXdvcmQ+SHVtYW5zPC9rZXl3b3JkPjxrZXl3b3JkPk1hcmtldGluZzwva2V5d29yZD48a2V5d29y
ZD5QaGFybWFjZXV0aWNhbCBQcmVwYXJhdGlvbnM8L2tleXdvcmQ+PC9rZXl3b3Jkcz48ZGF0ZXM+
PHllYXI+MjAxMzwveWVhcj48L2RhdGVzPjxpc2JuPjEwNTQzNDA2IChJU1NOKTwvaXNibj48d29y
ay10eXBlPlJldmlldzwvd29yay10eXBlPjx1cmxzPjxyZWxhdGVkLXVybHM+PHVybD5odHRwczov
L3d3dy5zY29wdXMuY29tL2lud2FyZC9yZWNvcmQudXJpP2VpZD0yLXMyLjAtODQ4NzMyOTcwODMm
YW1wO2RvaT0xMC4xMDgwJTJmMTA1NDM0MDYuMjAxMy43MzY4MDUmYW1wO3BhcnRuZXJJRD00MCZh
bXA7bWQ1PWE4ZThhZWI2MGRjODc3ZTE4YTliZDVjMDJkMWIwZGU0PC91cmw+PC9yZWxhdGVkLXVy
bHM+PC91cmxzPjxlbGVjdHJvbmljLXJlc291cmNlLW51bT4xMC4xMDgwLzEwNTQzNDA2LjIwMTMu
NzM2ODA1PC9lbGVjdHJvbmljLXJlc291cmNlLW51bT48cmVtb3RlLWRhdGFiYXNlLW5hbWU+U2Nv
cHVzPC9yZW1vdGUtZGF0YWJhc2UtbmFtZT48bGFuZ3VhZ2U+RW5nbGlzaDwvbGFuZ3VhZ2U+PC9y
ZWNvcmQ+PC9DaXRlPjwvRW5kTm90ZT5=
</w:fldData>
              </w:fldChar>
            </w:r>
            <w:r>
              <w:rPr>
                <w:rFonts w:eastAsia="Times New Roman" w:cstheme="minorHAnsi"/>
                <w:color w:val="000000"/>
                <w:sz w:val="20"/>
                <w:szCs w:val="20"/>
                <w:lang w:eastAsia="en-GB"/>
              </w:rPr>
              <w:instrText xml:space="preserve"> ADDIN EN.CITE.DATA </w:instrText>
            </w:r>
            <w:r>
              <w:rPr>
                <w:rFonts w:eastAsia="Times New Roman" w:cstheme="minorHAnsi"/>
                <w:color w:val="000000"/>
                <w:sz w:val="20"/>
                <w:szCs w:val="20"/>
                <w:lang w:eastAsia="en-GB"/>
              </w:rPr>
            </w:r>
            <w:r>
              <w:rPr>
                <w:rFonts w:eastAsia="Times New Roman" w:cstheme="minorHAnsi"/>
                <w:color w:val="000000"/>
                <w:sz w:val="20"/>
                <w:szCs w:val="20"/>
                <w:lang w:eastAsia="en-GB"/>
              </w:rPr>
              <w:fldChar w:fldCharType="end"/>
            </w:r>
            <w:r>
              <w:rPr>
                <w:rFonts w:eastAsia="Times New Roman" w:cstheme="minorHAnsi"/>
                <w:color w:val="000000"/>
                <w:sz w:val="20"/>
                <w:szCs w:val="20"/>
                <w:lang w:eastAsia="en-GB"/>
              </w:rPr>
            </w:r>
            <w:r>
              <w:rPr>
                <w:rFonts w:eastAsia="Times New Roman" w:cstheme="minorHAnsi"/>
                <w:color w:val="000000"/>
                <w:sz w:val="20"/>
                <w:szCs w:val="20"/>
                <w:lang w:eastAsia="en-GB"/>
              </w:rPr>
              <w:fldChar w:fldCharType="separate"/>
            </w:r>
            <w:r w:rsidRPr="00811DC2">
              <w:rPr>
                <w:rFonts w:eastAsia="Times New Roman" w:cstheme="minorHAnsi"/>
                <w:noProof/>
                <w:color w:val="000000"/>
                <w:sz w:val="20"/>
                <w:szCs w:val="20"/>
                <w:vertAlign w:val="superscript"/>
                <w:lang w:eastAsia="en-GB"/>
              </w:rPr>
              <w:t>6, 8</w:t>
            </w:r>
            <w:r>
              <w:rPr>
                <w:rFonts w:eastAsia="Times New Roman" w:cstheme="minorHAnsi"/>
                <w:color w:val="000000"/>
                <w:sz w:val="20"/>
                <w:szCs w:val="20"/>
                <w:lang w:eastAsia="en-GB"/>
              </w:rPr>
              <w:fldChar w:fldCharType="end"/>
            </w:r>
          </w:p>
        </w:tc>
        <w:tc>
          <w:tcPr>
            <w:tcW w:w="5103" w:type="dxa"/>
            <w:shd w:val="clear" w:color="auto" w:fill="auto"/>
            <w:vAlign w:val="center"/>
          </w:tcPr>
          <w:p w14:paraId="761A6351" w14:textId="77777777" w:rsidR="00E37363" w:rsidRPr="00253ACD" w:rsidRDefault="00E37363" w:rsidP="00B45076">
            <w:pPr>
              <w:spacing w:after="0" w:line="240" w:lineRule="auto"/>
              <w:rPr>
                <w:rFonts w:eastAsia="Times New Roman" w:cstheme="minorHAnsi"/>
                <w:color w:val="000000"/>
                <w:sz w:val="20"/>
                <w:szCs w:val="20"/>
                <w:lang w:eastAsia="en-GB"/>
              </w:rPr>
            </w:pPr>
            <w:r w:rsidRPr="009D5C34">
              <w:rPr>
                <w:rFonts w:eastAsia="Times New Roman" w:cstheme="minorHAnsi"/>
                <w:color w:val="000000"/>
                <w:sz w:val="20"/>
                <w:szCs w:val="20"/>
                <w:lang w:eastAsia="en-GB"/>
              </w:rPr>
              <w:t>Plots a</w:t>
            </w:r>
            <w:r w:rsidRPr="00253ACD">
              <w:rPr>
                <w:rFonts w:eastAsia="Times New Roman" w:cstheme="minorHAnsi"/>
                <w:color w:val="000000"/>
                <w:sz w:val="20"/>
                <w:szCs w:val="20"/>
                <w:lang w:eastAsia="en-GB"/>
              </w:rPr>
              <w:t xml:space="preserve"> relative measure</w:t>
            </w:r>
            <w:r w:rsidRPr="009D5C34">
              <w:rPr>
                <w:rFonts w:eastAsia="Times New Roman" w:cstheme="minorHAnsi"/>
                <w:color w:val="000000"/>
                <w:sz w:val="20"/>
                <w:szCs w:val="20"/>
                <w:lang w:eastAsia="en-GB"/>
              </w:rPr>
              <w:t xml:space="preserve"> compared across treatment group</w:t>
            </w:r>
            <w:r>
              <w:rPr>
                <w:rFonts w:eastAsia="Times New Roman" w:cstheme="minorHAnsi"/>
                <w:color w:val="000000"/>
                <w:sz w:val="20"/>
                <w:szCs w:val="20"/>
                <w:lang w:eastAsia="en-GB"/>
              </w:rPr>
              <w:t>s</w:t>
            </w:r>
            <w:r w:rsidRPr="009D5C34">
              <w:rPr>
                <w:rFonts w:eastAsia="Times New Roman" w:cstheme="minorHAnsi"/>
                <w:color w:val="000000"/>
                <w:sz w:val="20"/>
                <w:szCs w:val="20"/>
                <w:lang w:eastAsia="en-GB"/>
              </w:rPr>
              <w:t xml:space="preserve"> for each AE reported within a group </w:t>
            </w:r>
            <w:r>
              <w:rPr>
                <w:rFonts w:eastAsia="Times New Roman" w:cstheme="minorHAnsi"/>
                <w:color w:val="000000"/>
                <w:sz w:val="20"/>
                <w:szCs w:val="20"/>
                <w:lang w:eastAsia="en-GB"/>
              </w:rPr>
              <w:t>such as</w:t>
            </w:r>
            <w:r w:rsidRPr="009D5C34">
              <w:rPr>
                <w:rFonts w:eastAsia="Times New Roman" w:cstheme="minorHAnsi"/>
                <w:color w:val="000000"/>
                <w:sz w:val="20"/>
                <w:szCs w:val="20"/>
                <w:lang w:eastAsia="en-GB"/>
              </w:rPr>
              <w:t xml:space="preserve"> </w:t>
            </w:r>
            <w:r>
              <w:rPr>
                <w:rFonts w:eastAsia="Times New Roman" w:cstheme="minorHAnsi"/>
                <w:color w:val="000000"/>
                <w:sz w:val="20"/>
                <w:szCs w:val="20"/>
                <w:lang w:eastAsia="en-GB"/>
              </w:rPr>
              <w:t>body system</w:t>
            </w:r>
          </w:p>
        </w:tc>
      </w:tr>
      <w:tr w:rsidR="00E37363" w:rsidRPr="00253ACD" w14:paraId="56FFE6DD" w14:textId="77777777" w:rsidTr="00B45076">
        <w:trPr>
          <w:trHeight w:val="300"/>
        </w:trPr>
        <w:tc>
          <w:tcPr>
            <w:tcW w:w="1127" w:type="dxa"/>
            <w:shd w:val="clear" w:color="000000" w:fill="A6A6A6"/>
            <w:vAlign w:val="center"/>
            <w:hideMark/>
          </w:tcPr>
          <w:p w14:paraId="3E8FC388" w14:textId="77777777" w:rsidR="00E37363" w:rsidRPr="00253ACD" w:rsidRDefault="00E37363" w:rsidP="00B45076">
            <w:pPr>
              <w:spacing w:after="0" w:line="240" w:lineRule="auto"/>
              <w:jc w:val="center"/>
              <w:rPr>
                <w:rFonts w:eastAsia="Times New Roman" w:cstheme="minorHAnsi"/>
                <w:color w:val="000000"/>
                <w:sz w:val="20"/>
                <w:szCs w:val="20"/>
                <w:lang w:eastAsia="en-GB"/>
              </w:rPr>
            </w:pPr>
            <w:r w:rsidRPr="00253ACD">
              <w:rPr>
                <w:rFonts w:eastAsia="Times New Roman" w:cstheme="minorHAnsi"/>
                <w:color w:val="000000"/>
                <w:sz w:val="20"/>
                <w:szCs w:val="20"/>
                <w:lang w:eastAsia="en-GB"/>
              </w:rPr>
              <w:t> </w:t>
            </w:r>
          </w:p>
        </w:tc>
        <w:tc>
          <w:tcPr>
            <w:tcW w:w="1420" w:type="dxa"/>
            <w:shd w:val="clear" w:color="000000" w:fill="A6A6A6"/>
            <w:noWrap/>
            <w:vAlign w:val="center"/>
            <w:hideMark/>
          </w:tcPr>
          <w:p w14:paraId="2C4D18B1"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w:t>
            </w:r>
          </w:p>
        </w:tc>
        <w:tc>
          <w:tcPr>
            <w:tcW w:w="2835" w:type="dxa"/>
            <w:shd w:val="clear" w:color="000000" w:fill="A6A6A6"/>
            <w:noWrap/>
            <w:vAlign w:val="center"/>
            <w:hideMark/>
          </w:tcPr>
          <w:p w14:paraId="24B90170"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w:t>
            </w:r>
          </w:p>
        </w:tc>
        <w:tc>
          <w:tcPr>
            <w:tcW w:w="4111" w:type="dxa"/>
            <w:shd w:val="clear" w:color="000000" w:fill="A6A6A6"/>
            <w:noWrap/>
            <w:vAlign w:val="center"/>
            <w:hideMark/>
          </w:tcPr>
          <w:p w14:paraId="6878F5EF"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w:t>
            </w:r>
          </w:p>
        </w:tc>
        <w:tc>
          <w:tcPr>
            <w:tcW w:w="5103" w:type="dxa"/>
            <w:shd w:val="clear" w:color="000000" w:fill="A6A6A6"/>
            <w:vAlign w:val="center"/>
            <w:hideMark/>
          </w:tcPr>
          <w:p w14:paraId="037FC046"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w:t>
            </w:r>
          </w:p>
        </w:tc>
      </w:tr>
      <w:tr w:rsidR="00E37363" w:rsidRPr="00253ACD" w14:paraId="4A1204BE" w14:textId="77777777" w:rsidTr="00B45076">
        <w:trPr>
          <w:trHeight w:val="412"/>
        </w:trPr>
        <w:tc>
          <w:tcPr>
            <w:tcW w:w="1127" w:type="dxa"/>
            <w:vMerge w:val="restart"/>
            <w:shd w:val="clear" w:color="auto" w:fill="auto"/>
            <w:vAlign w:val="center"/>
            <w:hideMark/>
          </w:tcPr>
          <w:p w14:paraId="32489749" w14:textId="77777777" w:rsidR="00E37363" w:rsidRDefault="00E37363" w:rsidP="00B45076">
            <w:pPr>
              <w:spacing w:after="0" w:line="240" w:lineRule="auto"/>
              <w:jc w:val="center"/>
              <w:rPr>
                <w:rFonts w:eastAsia="Times New Roman" w:cstheme="minorHAnsi"/>
                <w:b/>
                <w:bCs/>
                <w:color w:val="000000"/>
                <w:sz w:val="20"/>
                <w:szCs w:val="20"/>
                <w:lang w:eastAsia="en-GB"/>
              </w:rPr>
            </w:pPr>
            <w:r>
              <w:rPr>
                <w:rFonts w:eastAsia="Times New Roman" w:cstheme="minorHAnsi"/>
                <w:b/>
                <w:bCs/>
                <w:color w:val="000000"/>
                <w:sz w:val="20"/>
                <w:szCs w:val="20"/>
                <w:lang w:eastAsia="en-GB"/>
              </w:rPr>
              <w:t>Emerging a</w:t>
            </w:r>
            <w:r w:rsidRPr="00253ACD">
              <w:rPr>
                <w:rFonts w:eastAsia="Times New Roman" w:cstheme="minorHAnsi"/>
                <w:b/>
                <w:bCs/>
                <w:color w:val="000000"/>
                <w:sz w:val="20"/>
                <w:szCs w:val="20"/>
                <w:lang w:eastAsia="en-GB"/>
              </w:rPr>
              <w:t>dverse events</w:t>
            </w:r>
          </w:p>
          <w:p w14:paraId="25E08DAF" w14:textId="77777777" w:rsidR="00E37363" w:rsidRPr="00253ACD" w:rsidRDefault="00E37363" w:rsidP="00B45076">
            <w:pPr>
              <w:spacing w:after="0" w:line="240" w:lineRule="auto"/>
              <w:jc w:val="center"/>
              <w:rPr>
                <w:rFonts w:eastAsia="Times New Roman" w:cstheme="minorHAnsi"/>
                <w:b/>
                <w:bCs/>
                <w:color w:val="000000"/>
                <w:sz w:val="20"/>
                <w:szCs w:val="20"/>
                <w:lang w:eastAsia="en-GB"/>
              </w:rPr>
            </w:pPr>
            <w:r>
              <w:rPr>
                <w:rFonts w:eastAsia="Times New Roman" w:cstheme="minorHAnsi"/>
                <w:b/>
                <w:bCs/>
                <w:color w:val="000000"/>
                <w:sz w:val="20"/>
                <w:szCs w:val="20"/>
                <w:lang w:eastAsia="en-GB"/>
              </w:rPr>
              <w:t>(single)</w:t>
            </w:r>
          </w:p>
        </w:tc>
        <w:tc>
          <w:tcPr>
            <w:tcW w:w="1420" w:type="dxa"/>
            <w:shd w:val="clear" w:color="auto" w:fill="auto"/>
            <w:noWrap/>
            <w:vAlign w:val="center"/>
            <w:hideMark/>
          </w:tcPr>
          <w:p w14:paraId="32A834F6"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Time-to-event </w:t>
            </w:r>
          </w:p>
        </w:tc>
        <w:tc>
          <w:tcPr>
            <w:tcW w:w="2835" w:type="dxa"/>
            <w:shd w:val="clear" w:color="auto" w:fill="auto"/>
            <w:noWrap/>
            <w:vAlign w:val="center"/>
            <w:hideMark/>
          </w:tcPr>
          <w:p w14:paraId="7A0498A8"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Kaplan-Meier</w:t>
            </w:r>
          </w:p>
        </w:tc>
        <w:tc>
          <w:tcPr>
            <w:tcW w:w="4111" w:type="dxa"/>
            <w:shd w:val="clear" w:color="auto" w:fill="auto"/>
            <w:noWrap/>
            <w:vAlign w:val="center"/>
            <w:hideMark/>
          </w:tcPr>
          <w:p w14:paraId="1D615653"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Amit, </w:t>
            </w:r>
            <w:proofErr w:type="spellStart"/>
            <w:r w:rsidRPr="00253ACD">
              <w:rPr>
                <w:rFonts w:eastAsia="Times New Roman" w:cstheme="minorHAnsi"/>
                <w:color w:val="000000"/>
                <w:sz w:val="20"/>
                <w:szCs w:val="20"/>
                <w:lang w:eastAsia="en-GB"/>
              </w:rPr>
              <w:t>Heiberger</w:t>
            </w:r>
            <w:proofErr w:type="spellEnd"/>
            <w:r w:rsidRPr="00253ACD">
              <w:rPr>
                <w:rFonts w:eastAsia="Times New Roman" w:cstheme="minorHAnsi"/>
                <w:color w:val="000000"/>
                <w:sz w:val="20"/>
                <w:szCs w:val="20"/>
                <w:lang w:eastAsia="en-GB"/>
              </w:rPr>
              <w:t xml:space="preserve"> </w:t>
            </w:r>
            <w:r>
              <w:rPr>
                <w:rFonts w:eastAsia="Times New Roman" w:cstheme="minorHAnsi"/>
                <w:color w:val="000000"/>
                <w:sz w:val="20"/>
                <w:szCs w:val="20"/>
                <w:lang w:eastAsia="en-GB"/>
              </w:rPr>
              <w:t>&amp;</w:t>
            </w:r>
            <w:r w:rsidRPr="00253ACD">
              <w:rPr>
                <w:rFonts w:eastAsia="Times New Roman" w:cstheme="minorHAnsi"/>
                <w:color w:val="000000"/>
                <w:sz w:val="20"/>
                <w:szCs w:val="20"/>
                <w:lang w:eastAsia="en-GB"/>
              </w:rPr>
              <w:t xml:space="preserve"> Lane, 2008</w:t>
            </w:r>
            <w:r>
              <w:rPr>
                <w:rFonts w:eastAsia="Times New Roman" w:cstheme="minorHAnsi"/>
                <w:color w:val="000000"/>
                <w:sz w:val="20"/>
                <w:szCs w:val="20"/>
                <w:lang w:eastAsia="en-GB"/>
              </w:rPr>
              <w:t>.</w:t>
            </w:r>
            <w:r>
              <w:rPr>
                <w:rFonts w:eastAsia="Times New Roman" w:cstheme="minorHAnsi"/>
                <w:color w:val="000000"/>
                <w:sz w:val="20"/>
                <w:szCs w:val="20"/>
                <w:lang w:eastAsia="en-GB"/>
              </w:rPr>
              <w:fldChar w:fldCharType="begin"/>
            </w:r>
            <w:r>
              <w:rPr>
                <w:rFonts w:eastAsia="Times New Roman" w:cstheme="minorHAnsi"/>
                <w:color w:val="000000"/>
                <w:sz w:val="20"/>
                <w:szCs w:val="20"/>
                <w:lang w:eastAsia="en-GB"/>
              </w:rPr>
              <w:instrText xml:space="preserve"> ADDIN EN.CITE &lt;EndNote&gt;&lt;Cite&gt;&lt;Author&gt;Amit&lt;/Author&gt;&lt;Year&gt;2008&lt;/Year&gt;&lt;RecNum&gt;17539&lt;/RecNum&gt;&lt;DisplayText&gt;&lt;style face="superscript"&gt;3&lt;/style&gt;&lt;/DisplayText&gt;&lt;record&gt;&lt;rec-number&gt;17539&lt;/rec-number&gt;&lt;foreign-keys&gt;&lt;key app="EN" db-id="z2f5a5pt0222p8esesuv59tow0trtzfpdxaw" timestamp="1521050069"&gt;17539&lt;/key&gt;&lt;/foreign-keys&gt;&lt;ref-type name="Journal Article"&gt;17&lt;/ref-type&gt;&lt;contributors&gt;&lt;authors&gt;&lt;author&gt;Amit, O.&lt;/author&gt;&lt;author&gt;Heiberger, R. M.&lt;/author&gt;&lt;author&gt;Lane, P. W.&lt;/author&gt;&lt;/authors&gt;&lt;/contributors&gt;&lt;auth-address&gt;(Amit) Oncology Medicine Development Center, GlaxoSmithKline, United States (Heiberger) Department of Statistics, Temple University, Philadelphia, PA, United States (Lane) Research Statistical Unit, GlaxoSmithKline, United Kingdom&lt;/auth-address&gt;&lt;titles&gt;&lt;title&gt;Graphical approaches to the analysis of safety data from clinical trials&lt;/title&gt;&lt;secondary-title&gt;Pharmaceutical Statistics&lt;/secondary-title&gt;&lt;/titles&gt;&lt;periodical&gt;&lt;full-title&gt;Pharmaceutical Statistics&lt;/full-title&gt;&lt;/periodical&gt;&lt;pages&gt;20-35&lt;/pages&gt;&lt;volume&gt;7&lt;/volume&gt;&lt;number&gt;1&lt;/number&gt;&lt;dates&gt;&lt;year&gt;2008&lt;/year&gt;&lt;pub-dates&gt;&lt;date&gt;January/March&lt;/date&gt;&lt;/pub-dates&gt;&lt;/dates&gt;&lt;accession-num&gt;351385323&lt;/accession-num&gt;&lt;urls&gt;&lt;related-urls&gt;&lt;url&gt;http://ovidsp.ovid.com/ovidweb.cgi?T=JS&amp;amp;CSC=Y&amp;amp;NEWS=N&amp;amp;PAGE=fulltext&amp;amp;D=emed11&amp;amp;AN=351385323&lt;/url&gt;&lt;/related-urls&gt;&lt;/urls&gt;&lt;remote-database-name&gt;Embase&lt;/remote-database-name&gt;&lt;remote-database-provider&gt;Ovid Technologies&lt;/remote-database-provider&gt;&lt;/record&gt;&lt;/Cite&gt;&lt;/EndNote&gt;</w:instrText>
            </w:r>
            <w:r>
              <w:rPr>
                <w:rFonts w:eastAsia="Times New Roman" w:cstheme="minorHAnsi"/>
                <w:color w:val="000000"/>
                <w:sz w:val="20"/>
                <w:szCs w:val="20"/>
                <w:lang w:eastAsia="en-GB"/>
              </w:rPr>
              <w:fldChar w:fldCharType="separate"/>
            </w:r>
            <w:r w:rsidRPr="00811DC2">
              <w:rPr>
                <w:rFonts w:eastAsia="Times New Roman" w:cstheme="minorHAnsi"/>
                <w:noProof/>
                <w:color w:val="000000"/>
                <w:sz w:val="20"/>
                <w:szCs w:val="20"/>
                <w:vertAlign w:val="superscript"/>
                <w:lang w:eastAsia="en-GB"/>
              </w:rPr>
              <w:t>3</w:t>
            </w:r>
            <w:r>
              <w:rPr>
                <w:rFonts w:eastAsia="Times New Roman" w:cstheme="minorHAnsi"/>
                <w:color w:val="000000"/>
                <w:sz w:val="20"/>
                <w:szCs w:val="20"/>
                <w:lang w:eastAsia="en-GB"/>
              </w:rPr>
              <w:fldChar w:fldCharType="end"/>
            </w:r>
            <w:r w:rsidRPr="00253ACD">
              <w:rPr>
                <w:rFonts w:eastAsia="Times New Roman" w:cstheme="minorHAnsi"/>
                <w:color w:val="000000"/>
                <w:sz w:val="20"/>
                <w:szCs w:val="20"/>
                <w:lang w:eastAsia="en-GB"/>
              </w:rPr>
              <w:t xml:space="preserve"> </w:t>
            </w:r>
          </w:p>
        </w:tc>
        <w:tc>
          <w:tcPr>
            <w:tcW w:w="5103" w:type="dxa"/>
            <w:shd w:val="clear" w:color="auto" w:fill="auto"/>
            <w:vAlign w:val="center"/>
            <w:hideMark/>
          </w:tcPr>
          <w:p w14:paraId="3A397A35" w14:textId="77777777" w:rsidR="00E37363" w:rsidRPr="00253ACD" w:rsidRDefault="00E37363" w:rsidP="00B45076">
            <w:pPr>
              <w:spacing w:after="0" w:line="240" w:lineRule="auto"/>
              <w:rPr>
                <w:rFonts w:eastAsia="Times New Roman" w:cstheme="minorHAnsi"/>
                <w:color w:val="000000"/>
                <w:sz w:val="20"/>
                <w:szCs w:val="20"/>
                <w:lang w:eastAsia="en-GB"/>
              </w:rPr>
            </w:pPr>
            <w:r>
              <w:rPr>
                <w:rFonts w:eastAsia="Times New Roman" w:cstheme="minorHAnsi"/>
                <w:color w:val="000000"/>
                <w:sz w:val="20"/>
                <w:szCs w:val="20"/>
                <w:lang w:eastAsia="en-GB"/>
              </w:rPr>
              <w:t xml:space="preserve">Summarises time-to-event data </w:t>
            </w:r>
            <w:r w:rsidRPr="00253ACD">
              <w:rPr>
                <w:rFonts w:eastAsia="Times New Roman" w:cstheme="minorHAnsi"/>
                <w:color w:val="000000"/>
                <w:sz w:val="20"/>
                <w:szCs w:val="20"/>
                <w:lang w:eastAsia="en-GB"/>
              </w:rPr>
              <w:t>highlighting absolute differences over time</w:t>
            </w:r>
          </w:p>
        </w:tc>
      </w:tr>
      <w:tr w:rsidR="00E37363" w:rsidRPr="00253ACD" w14:paraId="1B5B6D65" w14:textId="77777777" w:rsidTr="00B45076">
        <w:trPr>
          <w:trHeight w:val="521"/>
        </w:trPr>
        <w:tc>
          <w:tcPr>
            <w:tcW w:w="1127" w:type="dxa"/>
            <w:vMerge/>
            <w:shd w:val="clear" w:color="auto" w:fill="auto"/>
            <w:vAlign w:val="center"/>
            <w:hideMark/>
          </w:tcPr>
          <w:p w14:paraId="304CBD6C" w14:textId="77777777" w:rsidR="00E37363" w:rsidRPr="00253ACD" w:rsidRDefault="00E37363" w:rsidP="00B45076">
            <w:pPr>
              <w:spacing w:after="0" w:line="240" w:lineRule="auto"/>
              <w:rPr>
                <w:rFonts w:eastAsia="Times New Roman" w:cstheme="minorHAnsi"/>
                <w:b/>
                <w:bCs/>
                <w:color w:val="000000"/>
                <w:sz w:val="20"/>
                <w:szCs w:val="20"/>
                <w:lang w:eastAsia="en-GB"/>
              </w:rPr>
            </w:pPr>
          </w:p>
        </w:tc>
        <w:tc>
          <w:tcPr>
            <w:tcW w:w="1420" w:type="dxa"/>
            <w:shd w:val="clear" w:color="auto" w:fill="auto"/>
            <w:noWrap/>
            <w:vAlign w:val="center"/>
            <w:hideMark/>
          </w:tcPr>
          <w:p w14:paraId="0B0BAE41"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Time-to-event </w:t>
            </w:r>
          </w:p>
        </w:tc>
        <w:tc>
          <w:tcPr>
            <w:tcW w:w="2835" w:type="dxa"/>
            <w:shd w:val="clear" w:color="auto" w:fill="auto"/>
            <w:vAlign w:val="center"/>
            <w:hideMark/>
          </w:tcPr>
          <w:p w14:paraId="5A28BB2B"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Hazard function </w:t>
            </w:r>
          </w:p>
        </w:tc>
        <w:tc>
          <w:tcPr>
            <w:tcW w:w="4111" w:type="dxa"/>
            <w:shd w:val="clear" w:color="auto" w:fill="auto"/>
            <w:noWrap/>
            <w:vAlign w:val="center"/>
            <w:hideMark/>
          </w:tcPr>
          <w:p w14:paraId="67A14C5E"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Amit, </w:t>
            </w:r>
            <w:proofErr w:type="spellStart"/>
            <w:r w:rsidRPr="00253ACD">
              <w:rPr>
                <w:rFonts w:eastAsia="Times New Roman" w:cstheme="minorHAnsi"/>
                <w:color w:val="000000"/>
                <w:sz w:val="20"/>
                <w:szCs w:val="20"/>
                <w:lang w:eastAsia="en-GB"/>
              </w:rPr>
              <w:t>Heiberger</w:t>
            </w:r>
            <w:proofErr w:type="spellEnd"/>
            <w:r w:rsidRPr="00253ACD">
              <w:rPr>
                <w:rFonts w:eastAsia="Times New Roman" w:cstheme="minorHAnsi"/>
                <w:color w:val="000000"/>
                <w:sz w:val="20"/>
                <w:szCs w:val="20"/>
                <w:lang w:eastAsia="en-GB"/>
              </w:rPr>
              <w:t xml:space="preserve"> </w:t>
            </w:r>
            <w:r>
              <w:rPr>
                <w:rFonts w:eastAsia="Times New Roman" w:cstheme="minorHAnsi"/>
                <w:color w:val="000000"/>
                <w:sz w:val="20"/>
                <w:szCs w:val="20"/>
                <w:lang w:eastAsia="en-GB"/>
              </w:rPr>
              <w:t>&amp;</w:t>
            </w:r>
            <w:r w:rsidRPr="00253ACD">
              <w:rPr>
                <w:rFonts w:eastAsia="Times New Roman" w:cstheme="minorHAnsi"/>
                <w:color w:val="000000"/>
                <w:sz w:val="20"/>
                <w:szCs w:val="20"/>
                <w:lang w:eastAsia="en-GB"/>
              </w:rPr>
              <w:t xml:space="preserve"> Lane, 2008</w:t>
            </w:r>
            <w:r>
              <w:rPr>
                <w:rFonts w:eastAsia="Times New Roman" w:cstheme="minorHAnsi"/>
                <w:color w:val="000000"/>
                <w:sz w:val="20"/>
                <w:szCs w:val="20"/>
                <w:lang w:eastAsia="en-GB"/>
              </w:rPr>
              <w:t>.</w:t>
            </w:r>
            <w:r>
              <w:rPr>
                <w:rFonts w:eastAsia="Times New Roman" w:cstheme="minorHAnsi"/>
                <w:color w:val="000000"/>
                <w:sz w:val="20"/>
                <w:szCs w:val="20"/>
                <w:lang w:eastAsia="en-GB"/>
              </w:rPr>
              <w:fldChar w:fldCharType="begin"/>
            </w:r>
            <w:r>
              <w:rPr>
                <w:rFonts w:eastAsia="Times New Roman" w:cstheme="minorHAnsi"/>
                <w:color w:val="000000"/>
                <w:sz w:val="20"/>
                <w:szCs w:val="20"/>
                <w:lang w:eastAsia="en-GB"/>
              </w:rPr>
              <w:instrText xml:space="preserve"> ADDIN EN.CITE &lt;EndNote&gt;&lt;Cite&gt;&lt;Author&gt;Amit&lt;/Author&gt;&lt;Year&gt;2008&lt;/Year&gt;&lt;RecNum&gt;17539&lt;/RecNum&gt;&lt;DisplayText&gt;&lt;style face="superscript"&gt;3&lt;/style&gt;&lt;/DisplayText&gt;&lt;record&gt;&lt;rec-number&gt;17539&lt;/rec-number&gt;&lt;foreign-keys&gt;&lt;key app="EN" db-id="z2f5a5pt0222p8esesuv59tow0trtzfpdxaw" timestamp="1521050069"&gt;17539&lt;/key&gt;&lt;/foreign-keys&gt;&lt;ref-type name="Journal Article"&gt;17&lt;/ref-type&gt;&lt;contributors&gt;&lt;authors&gt;&lt;author&gt;Amit, O.&lt;/author&gt;&lt;author&gt;Heiberger, R. M.&lt;/author&gt;&lt;author&gt;Lane, P. W.&lt;/author&gt;&lt;/authors&gt;&lt;/contributors&gt;&lt;auth-address&gt;(Amit) Oncology Medicine Development Center, GlaxoSmithKline, United States (Heiberger) Department of Statistics, Temple University, Philadelphia, PA, United States (Lane) Research Statistical Unit, GlaxoSmithKline, United Kingdom&lt;/auth-address&gt;&lt;titles&gt;&lt;title&gt;Graphical approaches to the analysis of safety data from clinical trials&lt;/title&gt;&lt;secondary-title&gt;Pharmaceutical Statistics&lt;/secondary-title&gt;&lt;/titles&gt;&lt;periodical&gt;&lt;full-title&gt;Pharmaceutical Statistics&lt;/full-title&gt;&lt;/periodical&gt;&lt;pages&gt;20-35&lt;/pages&gt;&lt;volume&gt;7&lt;/volume&gt;&lt;number&gt;1&lt;/number&gt;&lt;dates&gt;&lt;year&gt;2008&lt;/year&gt;&lt;pub-dates&gt;&lt;date&gt;January/March&lt;/date&gt;&lt;/pub-dates&gt;&lt;/dates&gt;&lt;accession-num&gt;351385323&lt;/accession-num&gt;&lt;urls&gt;&lt;related-urls&gt;&lt;url&gt;http://ovidsp.ovid.com/ovidweb.cgi?T=JS&amp;amp;CSC=Y&amp;amp;NEWS=N&amp;amp;PAGE=fulltext&amp;amp;D=emed11&amp;amp;AN=351385323&lt;/url&gt;&lt;/related-urls&gt;&lt;/urls&gt;&lt;remote-database-name&gt;Embase&lt;/remote-database-name&gt;&lt;remote-database-provider&gt;Ovid Technologies&lt;/remote-database-provider&gt;&lt;/record&gt;&lt;/Cite&gt;&lt;/EndNote&gt;</w:instrText>
            </w:r>
            <w:r>
              <w:rPr>
                <w:rFonts w:eastAsia="Times New Roman" w:cstheme="minorHAnsi"/>
                <w:color w:val="000000"/>
                <w:sz w:val="20"/>
                <w:szCs w:val="20"/>
                <w:lang w:eastAsia="en-GB"/>
              </w:rPr>
              <w:fldChar w:fldCharType="separate"/>
            </w:r>
            <w:r w:rsidRPr="00811DC2">
              <w:rPr>
                <w:rFonts w:eastAsia="Times New Roman" w:cstheme="minorHAnsi"/>
                <w:noProof/>
                <w:color w:val="000000"/>
                <w:sz w:val="20"/>
                <w:szCs w:val="20"/>
                <w:vertAlign w:val="superscript"/>
                <w:lang w:eastAsia="en-GB"/>
              </w:rPr>
              <w:t>3</w:t>
            </w:r>
            <w:r>
              <w:rPr>
                <w:rFonts w:eastAsia="Times New Roman" w:cstheme="minorHAnsi"/>
                <w:color w:val="000000"/>
                <w:sz w:val="20"/>
                <w:szCs w:val="20"/>
                <w:lang w:eastAsia="en-GB"/>
              </w:rPr>
              <w:fldChar w:fldCharType="end"/>
            </w:r>
          </w:p>
        </w:tc>
        <w:tc>
          <w:tcPr>
            <w:tcW w:w="5103" w:type="dxa"/>
            <w:shd w:val="clear" w:color="auto" w:fill="auto"/>
            <w:vAlign w:val="center"/>
            <w:hideMark/>
          </w:tcPr>
          <w:p w14:paraId="31FB93A2"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Summarises time-to-event data highlighting the </w:t>
            </w:r>
            <w:r>
              <w:rPr>
                <w:rFonts w:eastAsia="Times New Roman" w:cstheme="minorHAnsi"/>
                <w:color w:val="000000"/>
                <w:sz w:val="20"/>
                <w:szCs w:val="20"/>
                <w:lang w:eastAsia="en-GB"/>
              </w:rPr>
              <w:t>time</w:t>
            </w:r>
            <w:r w:rsidRPr="00253ACD">
              <w:rPr>
                <w:rFonts w:eastAsia="Times New Roman" w:cstheme="minorHAnsi"/>
                <w:color w:val="000000"/>
                <w:sz w:val="20"/>
                <w:szCs w:val="20"/>
                <w:lang w:eastAsia="en-GB"/>
              </w:rPr>
              <w:t xml:space="preserve"> at which differences emerge</w:t>
            </w:r>
          </w:p>
        </w:tc>
      </w:tr>
      <w:tr w:rsidR="00E37363" w:rsidRPr="00253ACD" w14:paraId="7F84A250" w14:textId="77777777" w:rsidTr="00B45076">
        <w:trPr>
          <w:trHeight w:val="385"/>
        </w:trPr>
        <w:tc>
          <w:tcPr>
            <w:tcW w:w="1127" w:type="dxa"/>
            <w:vMerge/>
            <w:shd w:val="clear" w:color="auto" w:fill="auto"/>
            <w:vAlign w:val="center"/>
            <w:hideMark/>
          </w:tcPr>
          <w:p w14:paraId="1D80705E" w14:textId="77777777" w:rsidR="00E37363" w:rsidRPr="00253ACD" w:rsidRDefault="00E37363" w:rsidP="00B45076">
            <w:pPr>
              <w:spacing w:after="0" w:line="240" w:lineRule="auto"/>
              <w:rPr>
                <w:rFonts w:eastAsia="Times New Roman" w:cstheme="minorHAnsi"/>
                <w:b/>
                <w:bCs/>
                <w:color w:val="000000"/>
                <w:sz w:val="20"/>
                <w:szCs w:val="20"/>
                <w:lang w:eastAsia="en-GB"/>
              </w:rPr>
            </w:pPr>
          </w:p>
        </w:tc>
        <w:tc>
          <w:tcPr>
            <w:tcW w:w="1420" w:type="dxa"/>
            <w:shd w:val="clear" w:color="auto" w:fill="auto"/>
            <w:noWrap/>
            <w:vAlign w:val="center"/>
            <w:hideMark/>
          </w:tcPr>
          <w:p w14:paraId="63639439"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Time-to-event </w:t>
            </w:r>
          </w:p>
        </w:tc>
        <w:tc>
          <w:tcPr>
            <w:tcW w:w="2835" w:type="dxa"/>
            <w:shd w:val="clear" w:color="auto" w:fill="auto"/>
            <w:noWrap/>
            <w:vAlign w:val="center"/>
            <w:hideMark/>
          </w:tcPr>
          <w:p w14:paraId="7E3A32E2"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Risk over time</w:t>
            </w:r>
          </w:p>
        </w:tc>
        <w:tc>
          <w:tcPr>
            <w:tcW w:w="4111" w:type="dxa"/>
            <w:shd w:val="clear" w:color="auto" w:fill="auto"/>
            <w:noWrap/>
            <w:vAlign w:val="center"/>
            <w:hideMark/>
          </w:tcPr>
          <w:p w14:paraId="19BF02B0" w14:textId="77777777" w:rsidR="00E37363" w:rsidRPr="00253ACD" w:rsidRDefault="00E37363" w:rsidP="00B45076">
            <w:pPr>
              <w:spacing w:after="0" w:line="240" w:lineRule="auto"/>
              <w:rPr>
                <w:rFonts w:eastAsia="Times New Roman" w:cstheme="minorHAnsi"/>
                <w:color w:val="000000"/>
                <w:sz w:val="20"/>
                <w:szCs w:val="20"/>
                <w:lang w:eastAsia="en-GB"/>
              </w:rPr>
            </w:pPr>
            <w:r>
              <w:rPr>
                <w:rFonts w:eastAsia="Times New Roman" w:cstheme="minorHAnsi"/>
                <w:color w:val="000000"/>
                <w:sz w:val="20"/>
                <w:szCs w:val="20"/>
                <w:lang w:eastAsia="en-GB"/>
              </w:rPr>
              <w:t>Chuang-Stein &amp;</w:t>
            </w:r>
            <w:r w:rsidRPr="00253ACD">
              <w:rPr>
                <w:rFonts w:eastAsia="Times New Roman" w:cstheme="minorHAnsi"/>
                <w:color w:val="000000"/>
                <w:sz w:val="20"/>
                <w:szCs w:val="20"/>
                <w:lang w:eastAsia="en-GB"/>
              </w:rPr>
              <w:t xml:space="preserve"> Xia, 2013</w:t>
            </w:r>
            <w:r>
              <w:rPr>
                <w:rFonts w:eastAsia="Times New Roman" w:cstheme="minorHAnsi"/>
                <w:color w:val="000000"/>
                <w:sz w:val="20"/>
                <w:szCs w:val="20"/>
                <w:lang w:eastAsia="en-GB"/>
              </w:rPr>
              <w:t>.</w:t>
            </w:r>
            <w:r>
              <w:rPr>
                <w:rFonts w:eastAsia="Times New Roman" w:cstheme="minorHAnsi"/>
                <w:color w:val="000000"/>
                <w:sz w:val="20"/>
                <w:szCs w:val="20"/>
                <w:lang w:eastAsia="en-GB"/>
              </w:rPr>
              <w:fldChar w:fldCharType="begin">
                <w:fldData xml:space="preserve">PEVuZE5vdGU+PENpdGU+PEF1dGhvcj5DaHVhbmctU3RlaW48L0F1dGhvcj48WWVhcj4yMDEzPC9Z
ZWFyPjxSZWNOdW0+ODU3OTwvUmVjTnVtPjxEaXNwbGF5VGV4dD48c3R5bGUgZmFjZT0ic3VwZXJz
Y3JpcHQiPjY8L3N0eWxlPjwvRGlzcGxheVRleHQ+PHJlY29yZD48cmVjLW51bWJlcj44NTc5PC9y
ZWMtbnVtYmVyPjxmb3JlaWduLWtleXM+PGtleSBhcHA9IkVOIiBkYi1pZD0iejJmNWE1cHQwMjIy
cDhlc2VzdXY1OXRvdzB0cnR6ZnBkeGF3IiB0aW1lc3RhbXA9IjE1MjEwNDczOTAiPjg1Nzk8L2tl
eT48L2ZvcmVpZ24ta2V5cz48cmVmLXR5cGUgbmFtZT0iSm91cm5hbCBBcnRpY2xlIj4xNzwvcmVm
LXR5cGU+PGNvbnRyaWJ1dG9ycz48YXV0aG9ycz48YXV0aG9yPkNodWFuZy1TdGVpbiwgQy48L2F1
dGhvcj48YXV0aG9yPlhpYSwgSC4gQS48L2F1dGhvcj48L2F1dGhvcnM+PC9jb250cmlidXRvcnM+
PGF1dGgtYWRkcmVzcz5TdGF0aXN0aWNhbCBSZXNlYXJjaCBhbmQgQ29uc3VsdGluZyBDZW50ZXIg
UGZpemVyIEluYy4sIDU4NTcgU3RvbmV5IEJyb29rIFJvYWQsIEthbGFtYXpvbywgTUkgNDkwMDks
IFVuaXRlZCBTdGF0ZXMmI3hEO0dsb2JhbCBCaW9zdGF0aXN0aWNhbCBTY2llbmNlcyBBbWdlbiwg
SW5jLiwgVGhvdXNhbmQgT2FrcywgQ0EsIFVuaXRlZCBTdGF0ZXM8L2F1dGgtYWRkcmVzcz48dGl0
bGVzPjx0aXRsZT5UaGUgcHJhY3RpY2Ugb2YgcHJlLW1hcmtldGluZyBzYWZldHkgYXNzZXNzbWVu
dCBpbiBkcnVnIGRldmVsb3BtZW50PC90aXRsZT48c2Vjb25kYXJ5LXRpdGxlPkpvdXJuYWwgb2Yg
QmlvcGhhcm1hY2V1dGljYWwgU3RhdGlzdGljczwvc2Vjb25kYXJ5LXRpdGxlPjxhbHQtdGl0bGU+
Si4gQmlvcGhhcm0uIFN0YXQuPC9hbHQtdGl0bGU+PC90aXRsZXM+PHBlcmlvZGljYWw+PGZ1bGwt
dGl0bGU+Sm91cm5hbCBvZiBCaW9waGFybWFjZXV0aWNhbCBTdGF0aXN0aWNzPC9mdWxsLXRpdGxl
PjwvcGVyaW9kaWNhbD48cGFnZXM+My0yNTwvcGFnZXM+PHZvbHVtZT4yMzwvdm9sdW1lPjxudW1i
ZXI+MTwvbnVtYmVyPjxrZXl3b3Jkcz48a2V5d29yZD5EZXNpZ25hdGVkIG1lZGljYWwgZXZlbnRz
PC9rZXl3b3JkPjxrZXl3b3JkPkdyYXBoaWNhbCBkaXNwbGF5IG9mIHNhZmV0eSBkYXRhPC9rZXl3
b3JkPjxrZXl3b3JkPk11bHRpcGxpY2l0eSBhZGp1c3RtZW50PC9rZXl3b3JkPjxrZXl3b3JkPlBy
b2dyYW0gc2FmZXR5IGFuYWx5c2lzIHBsYW48L2tleXdvcmQ+PGtleXdvcmQ+VGFyZ2V0ZWQgbWVk
aWNhbCBldmVudDwva2V5d29yZD48a2V5d29yZD5UaHJlZS10aWVyIGFwcHJvYWNoPC9rZXl3b3Jk
PjxrZXl3b3JkPmFjY3VyYWN5PC9rZXl3b3JkPjxrZXl3b3JkPmFsZ29yaXRobTwva2V5d29yZD48
a2V5d29yZD5CYXllcyB0aGVvcmVtPC9rZXl3b3JkPjxrZXl3b3JkPmJpb3N0YXRpc3RpY3M8L2tl
eXdvcmQ+PGtleXdvcmQ+Y2xpbmljYWwgcHJhY3RpY2U8L2tleXdvcmQ+PGtleXdvcmQ+Y29uZmlk
ZW5jZSBpbnRlcnZhbDwva2V5d29yZD48a2V5d29yZD5jb29wZXJhdGlvbjwva2V5d29yZD48a2V5
d29yZD5kcnVnIGRldmVsb3BtZW50PC9rZXl3b3JkPjxrZXl3b3JkPmRydWcgaW5kdXN0cnk8L2tl
eXdvcmQ+PGtleXdvcmQ+ZHJ1ZyBsYWJlbGluZzwva2V5d29yZD48a2V5d29yZD5kcnVnIG1hcmtl
dGluZzwva2V5d29yZD48a2V5d29yZD5kcnVnIHNhZmV0eTwva2V5d29yZD48a2V5d29yZD5odW1h
bjwva2V5d29yZD48a2V5d29yZD5pbmZlcmVudGlhbCBzdGF0aXN0aWNzPC9rZXl3b3JkPjxrZXl3
b3JkPmluZm9ybWF0aW9uIHByb2Nlc3Npbmc8L2tleXdvcmQ+PGtleXdvcmQ+a25vd2xlZGdlPC9r
ZXl3b3JkPjxrZXl3b3JkPm1ldGEgYW5hbHlzaXMgKHRvcGljKTwva2V5d29yZD48a2V5d29yZD5v
cmdhbml6YXRpb25hbCBzdHJ1Y3R1cmU8L2tleXdvcmQ+PGtleXdvcmQ+cGF0aWVudCBzYWZldHk8
L2tleXdvcmQ+PGtleXdvcmQ+cGF0dGVybiByZWNvZ25pdGlvbjwva2V5d29yZD48a2V5d29yZD5w
aGFzZSAzIGNsaW5pY2FsIHRyaWFsICh0b3BpYyk8L2tleXdvcmQ+PGtleXdvcmQ+cG9saWN5PC9r
ZXl3b3JkPjxrZXl3b3JkPnBvc3QgaG9jIGFuYWx5c2lzPC9rZXl3b3JkPjxrZXl3b3JkPnByaW9y
aXR5IGpvdXJuYWw8L2tleXdvcmQ+PGtleXdvcmQ+cHJvYmFiaWxpdHk8L2tleXdvcmQ+PGtleXdv
cmQ+cmVjb2duaXRpb248L2tleXdvcmQ+PGtleXdvcmQ+cmVndWxhdG9yeSBtZWNoYW5pc208L2tl
eXdvcmQ+PGtleXdvcmQ+cmV2aWV3PC9rZXl3b3JkPjxrZXl3b3JkPnJpc2sgYXNzZXNzbWVudDwv
a2V5d29yZD48a2V5d29yZD5yaXNrIG1hbmFnZW1lbnQ8L2tleXdvcmQ+PGtleXdvcmQ+c2ltdWxh
dGlvbjwva2V5d29yZD48a2V5d29yZD5zdGF0aXN0aWNhbCBhbmFseXNpczwva2V5d29yZD48a2V5
d29yZD5zdGF0aXN0aWNhbCBzaWduaWZpY2FuY2U8L2tleXdvcmQ+PGtleXdvcmQ+Q2xpbmljYWwg
VHJpYWxzIGFzIFRvcGljPC9rZXl3b3JkPjxrZXl3b3JkPkRydWcgRGlzY292ZXJ5PC9rZXl3b3Jk
PjxrZXl3b3JkPkh1bWFuczwva2V5d29yZD48a2V5d29yZD5NYXJrZXRpbmc8L2tleXdvcmQ+PGtl
eXdvcmQ+UGhhcm1hY2V1dGljYWwgUHJlcGFyYXRpb25zPC9rZXl3b3JkPjwva2V5d29yZHM+PGRh
dGVzPjx5ZWFyPjIwMTM8L3llYXI+PC9kYXRlcz48aXNibj4xMDU0MzQwNiAoSVNTTik8L2lzYm4+
PHdvcmstdHlwZT5SZXZpZXc8L3dvcmstdHlwZT48dXJscz48cmVsYXRlZC11cmxzPjx1cmw+aHR0
cHM6Ly93d3cuc2NvcHVzLmNvbS9pbndhcmQvcmVjb3JkLnVyaT9laWQ9Mi1zMi4wLTg0ODczMjk3
MDgzJmFtcDtkb2k9MTAuMTA4MCUyZjEwNTQzNDA2LjIwMTMuNzM2ODA1JmFtcDtwYXJ0bmVySUQ9
NDAmYW1wO21kNT1hOGU4YWViNjBkYzg3N2UxOGE5YmQ1YzAyZDFiMGRlNDwvdXJsPjwvcmVsYXRl
ZC11cmxzPjwvdXJscz48ZWxlY3Ryb25pYy1yZXNvdXJjZS1udW0+MTAuMTA4MC8xMDU0MzQwNi4y
MDEzLjczNjgwNTwvZWxlY3Ryb25pYy1yZXNvdXJjZS1udW0+PHJlbW90ZS1kYXRhYmFzZS1uYW1l
PlNjb3B1czwvcmVtb3RlLWRhdGFiYXNlLW5hbWU+PGxhbmd1YWdlPkVuZ2xpc2g8L2xhbmd1YWdl
PjwvcmVjb3JkPjwvQ2l0ZT48L0VuZE5vdGU+AG==
</w:fldData>
              </w:fldChar>
            </w:r>
            <w:r>
              <w:rPr>
                <w:rFonts w:eastAsia="Times New Roman" w:cstheme="minorHAnsi"/>
                <w:color w:val="000000"/>
                <w:sz w:val="20"/>
                <w:szCs w:val="20"/>
                <w:lang w:eastAsia="en-GB"/>
              </w:rPr>
              <w:instrText xml:space="preserve"> ADDIN EN.CITE </w:instrText>
            </w:r>
            <w:r>
              <w:rPr>
                <w:rFonts w:eastAsia="Times New Roman" w:cstheme="minorHAnsi"/>
                <w:color w:val="000000"/>
                <w:sz w:val="20"/>
                <w:szCs w:val="20"/>
                <w:lang w:eastAsia="en-GB"/>
              </w:rPr>
              <w:fldChar w:fldCharType="begin">
                <w:fldData xml:space="preserve">PEVuZE5vdGU+PENpdGU+PEF1dGhvcj5DaHVhbmctU3RlaW48L0F1dGhvcj48WWVhcj4yMDEzPC9Z
ZWFyPjxSZWNOdW0+ODU3OTwvUmVjTnVtPjxEaXNwbGF5VGV4dD48c3R5bGUgZmFjZT0ic3VwZXJz
Y3JpcHQiPjY8L3N0eWxlPjwvRGlzcGxheVRleHQ+PHJlY29yZD48cmVjLW51bWJlcj44NTc5PC9y
ZWMtbnVtYmVyPjxmb3JlaWduLWtleXM+PGtleSBhcHA9IkVOIiBkYi1pZD0iejJmNWE1cHQwMjIy
cDhlc2VzdXY1OXRvdzB0cnR6ZnBkeGF3IiB0aW1lc3RhbXA9IjE1MjEwNDczOTAiPjg1Nzk8L2tl
eT48L2ZvcmVpZ24ta2V5cz48cmVmLXR5cGUgbmFtZT0iSm91cm5hbCBBcnRpY2xlIj4xNzwvcmVm
LXR5cGU+PGNvbnRyaWJ1dG9ycz48YXV0aG9ycz48YXV0aG9yPkNodWFuZy1TdGVpbiwgQy48L2F1
dGhvcj48YXV0aG9yPlhpYSwgSC4gQS48L2F1dGhvcj48L2F1dGhvcnM+PC9jb250cmlidXRvcnM+
PGF1dGgtYWRkcmVzcz5TdGF0aXN0aWNhbCBSZXNlYXJjaCBhbmQgQ29uc3VsdGluZyBDZW50ZXIg
UGZpemVyIEluYy4sIDU4NTcgU3RvbmV5IEJyb29rIFJvYWQsIEthbGFtYXpvbywgTUkgNDkwMDks
IFVuaXRlZCBTdGF0ZXMmI3hEO0dsb2JhbCBCaW9zdGF0aXN0aWNhbCBTY2llbmNlcyBBbWdlbiwg
SW5jLiwgVGhvdXNhbmQgT2FrcywgQ0EsIFVuaXRlZCBTdGF0ZXM8L2F1dGgtYWRkcmVzcz48dGl0
bGVzPjx0aXRsZT5UaGUgcHJhY3RpY2Ugb2YgcHJlLW1hcmtldGluZyBzYWZldHkgYXNzZXNzbWVu
dCBpbiBkcnVnIGRldmVsb3BtZW50PC90aXRsZT48c2Vjb25kYXJ5LXRpdGxlPkpvdXJuYWwgb2Yg
QmlvcGhhcm1hY2V1dGljYWwgU3RhdGlzdGljczwvc2Vjb25kYXJ5LXRpdGxlPjxhbHQtdGl0bGU+
Si4gQmlvcGhhcm0uIFN0YXQuPC9hbHQtdGl0bGU+PC90aXRsZXM+PHBlcmlvZGljYWw+PGZ1bGwt
dGl0bGU+Sm91cm5hbCBvZiBCaW9waGFybWFjZXV0aWNhbCBTdGF0aXN0aWNzPC9mdWxsLXRpdGxl
PjwvcGVyaW9kaWNhbD48cGFnZXM+My0yNTwvcGFnZXM+PHZvbHVtZT4yMzwvdm9sdW1lPjxudW1i
ZXI+MTwvbnVtYmVyPjxrZXl3b3Jkcz48a2V5d29yZD5EZXNpZ25hdGVkIG1lZGljYWwgZXZlbnRz
PC9rZXl3b3JkPjxrZXl3b3JkPkdyYXBoaWNhbCBkaXNwbGF5IG9mIHNhZmV0eSBkYXRhPC9rZXl3
b3JkPjxrZXl3b3JkPk11bHRpcGxpY2l0eSBhZGp1c3RtZW50PC9rZXl3b3JkPjxrZXl3b3JkPlBy
b2dyYW0gc2FmZXR5IGFuYWx5c2lzIHBsYW48L2tleXdvcmQ+PGtleXdvcmQ+VGFyZ2V0ZWQgbWVk
aWNhbCBldmVudDwva2V5d29yZD48a2V5d29yZD5UaHJlZS10aWVyIGFwcHJvYWNoPC9rZXl3b3Jk
PjxrZXl3b3JkPmFjY3VyYWN5PC9rZXl3b3JkPjxrZXl3b3JkPmFsZ29yaXRobTwva2V5d29yZD48
a2V5d29yZD5CYXllcyB0aGVvcmVtPC9rZXl3b3JkPjxrZXl3b3JkPmJpb3N0YXRpc3RpY3M8L2tl
eXdvcmQ+PGtleXdvcmQ+Y2xpbmljYWwgcHJhY3RpY2U8L2tleXdvcmQ+PGtleXdvcmQ+Y29uZmlk
ZW5jZSBpbnRlcnZhbDwva2V5d29yZD48a2V5d29yZD5jb29wZXJhdGlvbjwva2V5d29yZD48a2V5
d29yZD5kcnVnIGRldmVsb3BtZW50PC9rZXl3b3JkPjxrZXl3b3JkPmRydWcgaW5kdXN0cnk8L2tl
eXdvcmQ+PGtleXdvcmQ+ZHJ1ZyBsYWJlbGluZzwva2V5d29yZD48a2V5d29yZD5kcnVnIG1hcmtl
dGluZzwva2V5d29yZD48a2V5d29yZD5kcnVnIHNhZmV0eTwva2V5d29yZD48a2V5d29yZD5odW1h
bjwva2V5d29yZD48a2V5d29yZD5pbmZlcmVudGlhbCBzdGF0aXN0aWNzPC9rZXl3b3JkPjxrZXl3
b3JkPmluZm9ybWF0aW9uIHByb2Nlc3Npbmc8L2tleXdvcmQ+PGtleXdvcmQ+a25vd2xlZGdlPC9r
ZXl3b3JkPjxrZXl3b3JkPm1ldGEgYW5hbHlzaXMgKHRvcGljKTwva2V5d29yZD48a2V5d29yZD5v
cmdhbml6YXRpb25hbCBzdHJ1Y3R1cmU8L2tleXdvcmQ+PGtleXdvcmQ+cGF0aWVudCBzYWZldHk8
L2tleXdvcmQ+PGtleXdvcmQ+cGF0dGVybiByZWNvZ25pdGlvbjwva2V5d29yZD48a2V5d29yZD5w
aGFzZSAzIGNsaW5pY2FsIHRyaWFsICh0b3BpYyk8L2tleXdvcmQ+PGtleXdvcmQ+cG9saWN5PC9r
ZXl3b3JkPjxrZXl3b3JkPnBvc3QgaG9jIGFuYWx5c2lzPC9rZXl3b3JkPjxrZXl3b3JkPnByaW9y
aXR5IGpvdXJuYWw8L2tleXdvcmQ+PGtleXdvcmQ+cHJvYmFiaWxpdHk8L2tleXdvcmQ+PGtleXdv
cmQ+cmVjb2duaXRpb248L2tleXdvcmQ+PGtleXdvcmQ+cmVndWxhdG9yeSBtZWNoYW5pc208L2tl
eXdvcmQ+PGtleXdvcmQ+cmV2aWV3PC9rZXl3b3JkPjxrZXl3b3JkPnJpc2sgYXNzZXNzbWVudDwv
a2V5d29yZD48a2V5d29yZD5yaXNrIG1hbmFnZW1lbnQ8L2tleXdvcmQ+PGtleXdvcmQ+c2ltdWxh
dGlvbjwva2V5d29yZD48a2V5d29yZD5zdGF0aXN0aWNhbCBhbmFseXNpczwva2V5d29yZD48a2V5
d29yZD5zdGF0aXN0aWNhbCBzaWduaWZpY2FuY2U8L2tleXdvcmQ+PGtleXdvcmQ+Q2xpbmljYWwg
VHJpYWxzIGFzIFRvcGljPC9rZXl3b3JkPjxrZXl3b3JkPkRydWcgRGlzY292ZXJ5PC9rZXl3b3Jk
PjxrZXl3b3JkPkh1bWFuczwva2V5d29yZD48a2V5d29yZD5NYXJrZXRpbmc8L2tleXdvcmQ+PGtl
eXdvcmQ+UGhhcm1hY2V1dGljYWwgUHJlcGFyYXRpb25zPC9rZXl3b3JkPjwva2V5d29yZHM+PGRh
dGVzPjx5ZWFyPjIwMTM8L3llYXI+PC9kYXRlcz48aXNibj4xMDU0MzQwNiAoSVNTTik8L2lzYm4+
PHdvcmstdHlwZT5SZXZpZXc8L3dvcmstdHlwZT48dXJscz48cmVsYXRlZC11cmxzPjx1cmw+aHR0
cHM6Ly93d3cuc2NvcHVzLmNvbS9pbndhcmQvcmVjb3JkLnVyaT9laWQ9Mi1zMi4wLTg0ODczMjk3
MDgzJmFtcDtkb2k9MTAuMTA4MCUyZjEwNTQzNDA2LjIwMTMuNzM2ODA1JmFtcDtwYXJ0bmVySUQ9
NDAmYW1wO21kNT1hOGU4YWViNjBkYzg3N2UxOGE5YmQ1YzAyZDFiMGRlNDwvdXJsPjwvcmVsYXRl
ZC11cmxzPjwvdXJscz48ZWxlY3Ryb25pYy1yZXNvdXJjZS1udW0+MTAuMTA4MC8xMDU0MzQwNi4y
MDEzLjczNjgwNTwvZWxlY3Ryb25pYy1yZXNvdXJjZS1udW0+PHJlbW90ZS1kYXRhYmFzZS1uYW1l
PlNjb3B1czwvcmVtb3RlLWRhdGFiYXNlLW5hbWU+PGxhbmd1YWdlPkVuZ2xpc2g8L2xhbmd1YWdl
PjwvcmVjb3JkPjwvQ2l0ZT48L0VuZE5vdGU+AG==
</w:fldData>
              </w:fldChar>
            </w:r>
            <w:r>
              <w:rPr>
                <w:rFonts w:eastAsia="Times New Roman" w:cstheme="minorHAnsi"/>
                <w:color w:val="000000"/>
                <w:sz w:val="20"/>
                <w:szCs w:val="20"/>
                <w:lang w:eastAsia="en-GB"/>
              </w:rPr>
              <w:instrText xml:space="preserve"> ADDIN EN.CITE.DATA </w:instrText>
            </w:r>
            <w:r>
              <w:rPr>
                <w:rFonts w:eastAsia="Times New Roman" w:cstheme="minorHAnsi"/>
                <w:color w:val="000000"/>
                <w:sz w:val="20"/>
                <w:szCs w:val="20"/>
                <w:lang w:eastAsia="en-GB"/>
              </w:rPr>
            </w:r>
            <w:r>
              <w:rPr>
                <w:rFonts w:eastAsia="Times New Roman" w:cstheme="minorHAnsi"/>
                <w:color w:val="000000"/>
                <w:sz w:val="20"/>
                <w:szCs w:val="20"/>
                <w:lang w:eastAsia="en-GB"/>
              </w:rPr>
              <w:fldChar w:fldCharType="end"/>
            </w:r>
            <w:r>
              <w:rPr>
                <w:rFonts w:eastAsia="Times New Roman" w:cstheme="minorHAnsi"/>
                <w:color w:val="000000"/>
                <w:sz w:val="20"/>
                <w:szCs w:val="20"/>
                <w:lang w:eastAsia="en-GB"/>
              </w:rPr>
            </w:r>
            <w:r>
              <w:rPr>
                <w:rFonts w:eastAsia="Times New Roman" w:cstheme="minorHAnsi"/>
                <w:color w:val="000000"/>
                <w:sz w:val="20"/>
                <w:szCs w:val="20"/>
                <w:lang w:eastAsia="en-GB"/>
              </w:rPr>
              <w:fldChar w:fldCharType="separate"/>
            </w:r>
            <w:r w:rsidRPr="009A6245">
              <w:rPr>
                <w:rFonts w:eastAsia="Times New Roman" w:cstheme="minorHAnsi"/>
                <w:noProof/>
                <w:color w:val="000000"/>
                <w:sz w:val="20"/>
                <w:szCs w:val="20"/>
                <w:vertAlign w:val="superscript"/>
                <w:lang w:eastAsia="en-GB"/>
              </w:rPr>
              <w:t>6</w:t>
            </w:r>
            <w:r>
              <w:rPr>
                <w:rFonts w:eastAsia="Times New Roman" w:cstheme="minorHAnsi"/>
                <w:color w:val="000000"/>
                <w:sz w:val="20"/>
                <w:szCs w:val="20"/>
                <w:lang w:eastAsia="en-GB"/>
              </w:rPr>
              <w:fldChar w:fldCharType="end"/>
            </w:r>
            <w:r w:rsidRPr="00253ACD">
              <w:rPr>
                <w:rFonts w:eastAsia="Times New Roman" w:cstheme="minorHAnsi"/>
                <w:color w:val="000000"/>
                <w:sz w:val="20"/>
                <w:szCs w:val="20"/>
                <w:lang w:eastAsia="en-GB"/>
              </w:rPr>
              <w:t xml:space="preserve"> </w:t>
            </w:r>
          </w:p>
        </w:tc>
        <w:tc>
          <w:tcPr>
            <w:tcW w:w="5103" w:type="dxa"/>
            <w:shd w:val="clear" w:color="auto" w:fill="auto"/>
            <w:vAlign w:val="center"/>
            <w:hideMark/>
          </w:tcPr>
          <w:p w14:paraId="4FD6D3B5"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Summarises incidence of an event over time</w:t>
            </w:r>
          </w:p>
        </w:tc>
      </w:tr>
      <w:tr w:rsidR="00E37363" w:rsidRPr="00253ACD" w14:paraId="06B85204" w14:textId="77777777" w:rsidTr="00B45076">
        <w:trPr>
          <w:trHeight w:val="300"/>
        </w:trPr>
        <w:tc>
          <w:tcPr>
            <w:tcW w:w="1127" w:type="dxa"/>
            <w:shd w:val="clear" w:color="000000" w:fill="A6A6A6"/>
            <w:noWrap/>
            <w:vAlign w:val="bottom"/>
            <w:hideMark/>
          </w:tcPr>
          <w:p w14:paraId="1E53D5EB" w14:textId="77777777" w:rsidR="00E37363" w:rsidRPr="00253ACD" w:rsidRDefault="00E37363" w:rsidP="00B45076">
            <w:pPr>
              <w:spacing w:after="0" w:line="240" w:lineRule="auto"/>
              <w:jc w:val="center"/>
              <w:rPr>
                <w:rFonts w:eastAsia="Times New Roman" w:cstheme="minorHAnsi"/>
                <w:color w:val="000000"/>
                <w:sz w:val="20"/>
                <w:szCs w:val="20"/>
                <w:lang w:eastAsia="en-GB"/>
              </w:rPr>
            </w:pPr>
            <w:r w:rsidRPr="00253ACD">
              <w:rPr>
                <w:rFonts w:eastAsia="Times New Roman" w:cstheme="minorHAnsi"/>
                <w:color w:val="000000"/>
                <w:sz w:val="20"/>
                <w:szCs w:val="20"/>
                <w:lang w:eastAsia="en-GB"/>
              </w:rPr>
              <w:t> </w:t>
            </w:r>
          </w:p>
        </w:tc>
        <w:tc>
          <w:tcPr>
            <w:tcW w:w="1420" w:type="dxa"/>
            <w:shd w:val="clear" w:color="000000" w:fill="A6A6A6"/>
            <w:noWrap/>
            <w:vAlign w:val="bottom"/>
            <w:hideMark/>
          </w:tcPr>
          <w:p w14:paraId="11425FC8"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w:t>
            </w:r>
          </w:p>
        </w:tc>
        <w:tc>
          <w:tcPr>
            <w:tcW w:w="2835" w:type="dxa"/>
            <w:shd w:val="clear" w:color="000000" w:fill="A6A6A6"/>
            <w:noWrap/>
            <w:vAlign w:val="center"/>
            <w:hideMark/>
          </w:tcPr>
          <w:p w14:paraId="3A61331B"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w:t>
            </w:r>
          </w:p>
        </w:tc>
        <w:tc>
          <w:tcPr>
            <w:tcW w:w="4111" w:type="dxa"/>
            <w:shd w:val="clear" w:color="000000" w:fill="A6A6A6"/>
            <w:noWrap/>
            <w:vAlign w:val="center"/>
            <w:hideMark/>
          </w:tcPr>
          <w:p w14:paraId="3DF2562B"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w:t>
            </w:r>
          </w:p>
        </w:tc>
        <w:tc>
          <w:tcPr>
            <w:tcW w:w="5103" w:type="dxa"/>
            <w:shd w:val="clear" w:color="000000" w:fill="A6A6A6"/>
            <w:vAlign w:val="center"/>
            <w:hideMark/>
          </w:tcPr>
          <w:p w14:paraId="14E094C7"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w:t>
            </w:r>
          </w:p>
        </w:tc>
      </w:tr>
      <w:tr w:rsidR="00E37363" w:rsidRPr="00253ACD" w14:paraId="1E92B142" w14:textId="77777777" w:rsidTr="00B45076">
        <w:trPr>
          <w:trHeight w:val="900"/>
        </w:trPr>
        <w:tc>
          <w:tcPr>
            <w:tcW w:w="1127" w:type="dxa"/>
            <w:vMerge w:val="restart"/>
            <w:shd w:val="clear" w:color="auto" w:fill="auto"/>
            <w:vAlign w:val="center"/>
            <w:hideMark/>
          </w:tcPr>
          <w:p w14:paraId="682F0E03" w14:textId="77777777" w:rsidR="00E37363" w:rsidRPr="00253ACD" w:rsidRDefault="00E37363" w:rsidP="00B45076">
            <w:pPr>
              <w:spacing w:after="0" w:line="240" w:lineRule="auto"/>
              <w:jc w:val="center"/>
              <w:rPr>
                <w:rFonts w:eastAsia="Times New Roman" w:cstheme="minorHAnsi"/>
                <w:b/>
                <w:bCs/>
                <w:color w:val="000000"/>
                <w:sz w:val="20"/>
                <w:szCs w:val="20"/>
                <w:lang w:eastAsia="en-GB"/>
              </w:rPr>
            </w:pPr>
            <w:r w:rsidRPr="00253ACD">
              <w:rPr>
                <w:rFonts w:eastAsia="Times New Roman" w:cstheme="minorHAnsi"/>
                <w:b/>
                <w:bCs/>
                <w:color w:val="000000"/>
                <w:sz w:val="20"/>
                <w:szCs w:val="20"/>
                <w:lang w:eastAsia="en-GB"/>
              </w:rPr>
              <w:t>Laboratory &amp; Vital Signs</w:t>
            </w:r>
          </w:p>
        </w:tc>
        <w:tc>
          <w:tcPr>
            <w:tcW w:w="1420" w:type="dxa"/>
            <w:vMerge w:val="restart"/>
            <w:shd w:val="clear" w:color="auto" w:fill="auto"/>
            <w:noWrap/>
            <w:vAlign w:val="center"/>
            <w:hideMark/>
          </w:tcPr>
          <w:p w14:paraId="70396985"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Continuous</w:t>
            </w:r>
          </w:p>
        </w:tc>
        <w:tc>
          <w:tcPr>
            <w:tcW w:w="2835" w:type="dxa"/>
            <w:shd w:val="clear" w:color="auto" w:fill="auto"/>
            <w:vAlign w:val="center"/>
            <w:hideMark/>
          </w:tcPr>
          <w:p w14:paraId="65920AC0"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Cumulative frequency plots/empirical</w:t>
            </w:r>
            <w:r>
              <w:rPr>
                <w:rFonts w:eastAsia="Times New Roman" w:cstheme="minorHAnsi"/>
                <w:color w:val="000000"/>
                <w:sz w:val="20"/>
                <w:szCs w:val="20"/>
                <w:lang w:eastAsia="en-GB"/>
              </w:rPr>
              <w:t xml:space="preserve"> cumulative</w:t>
            </w:r>
            <w:r w:rsidRPr="00253ACD">
              <w:rPr>
                <w:rFonts w:eastAsia="Times New Roman" w:cstheme="minorHAnsi"/>
                <w:color w:val="000000"/>
                <w:sz w:val="20"/>
                <w:szCs w:val="20"/>
                <w:lang w:eastAsia="en-GB"/>
              </w:rPr>
              <w:t xml:space="preserve"> distribution function</w:t>
            </w:r>
          </w:p>
        </w:tc>
        <w:tc>
          <w:tcPr>
            <w:tcW w:w="4111" w:type="dxa"/>
            <w:shd w:val="clear" w:color="auto" w:fill="auto"/>
            <w:noWrap/>
            <w:vAlign w:val="center"/>
            <w:hideMark/>
          </w:tcPr>
          <w:p w14:paraId="2EB35645"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Amit, </w:t>
            </w:r>
            <w:proofErr w:type="spellStart"/>
            <w:r w:rsidRPr="00253ACD">
              <w:rPr>
                <w:rFonts w:eastAsia="Times New Roman" w:cstheme="minorHAnsi"/>
                <w:color w:val="000000"/>
                <w:sz w:val="20"/>
                <w:szCs w:val="20"/>
                <w:lang w:eastAsia="en-GB"/>
              </w:rPr>
              <w:t>Heiberger</w:t>
            </w:r>
            <w:proofErr w:type="spellEnd"/>
            <w:r w:rsidRPr="00253ACD">
              <w:rPr>
                <w:rFonts w:eastAsia="Times New Roman" w:cstheme="minorHAnsi"/>
                <w:color w:val="000000"/>
                <w:sz w:val="20"/>
                <w:szCs w:val="20"/>
                <w:lang w:eastAsia="en-GB"/>
              </w:rPr>
              <w:t xml:space="preserve"> </w:t>
            </w:r>
            <w:r>
              <w:rPr>
                <w:rFonts w:eastAsia="Times New Roman" w:cstheme="minorHAnsi"/>
                <w:color w:val="000000"/>
                <w:sz w:val="20"/>
                <w:szCs w:val="20"/>
                <w:lang w:eastAsia="en-GB"/>
              </w:rPr>
              <w:t>&amp;</w:t>
            </w:r>
            <w:r w:rsidRPr="00253ACD">
              <w:rPr>
                <w:rFonts w:eastAsia="Times New Roman" w:cstheme="minorHAnsi"/>
                <w:color w:val="000000"/>
                <w:sz w:val="20"/>
                <w:szCs w:val="20"/>
                <w:lang w:eastAsia="en-GB"/>
              </w:rPr>
              <w:t xml:space="preserve"> Lane, 2008</w:t>
            </w:r>
            <w:r>
              <w:rPr>
                <w:rFonts w:eastAsia="Times New Roman" w:cstheme="minorHAnsi"/>
                <w:color w:val="000000"/>
                <w:sz w:val="20"/>
                <w:szCs w:val="20"/>
                <w:lang w:eastAsia="en-GB"/>
              </w:rPr>
              <w:t>.</w:t>
            </w:r>
            <w:r>
              <w:rPr>
                <w:rFonts w:eastAsia="Times New Roman" w:cstheme="minorHAnsi"/>
                <w:color w:val="000000"/>
                <w:sz w:val="20"/>
                <w:szCs w:val="20"/>
                <w:lang w:eastAsia="en-GB"/>
              </w:rPr>
              <w:fldChar w:fldCharType="begin"/>
            </w:r>
            <w:r>
              <w:rPr>
                <w:rFonts w:eastAsia="Times New Roman" w:cstheme="minorHAnsi"/>
                <w:color w:val="000000"/>
                <w:sz w:val="20"/>
                <w:szCs w:val="20"/>
                <w:lang w:eastAsia="en-GB"/>
              </w:rPr>
              <w:instrText xml:space="preserve"> ADDIN EN.CITE &lt;EndNote&gt;&lt;Cite&gt;&lt;Author&gt;Amit&lt;/Author&gt;&lt;Year&gt;2008&lt;/Year&gt;&lt;RecNum&gt;17539&lt;/RecNum&gt;&lt;DisplayText&gt;&lt;style face="superscript"&gt;3&lt;/style&gt;&lt;/DisplayText&gt;&lt;record&gt;&lt;rec-number&gt;17539&lt;/rec-number&gt;&lt;foreign-keys&gt;&lt;key app="EN" db-id="z2f5a5pt0222p8esesuv59tow0trtzfpdxaw" timestamp="1521050069"&gt;17539&lt;/key&gt;&lt;/foreign-keys&gt;&lt;ref-type name="Journal Article"&gt;17&lt;/ref-type&gt;&lt;contributors&gt;&lt;authors&gt;&lt;author&gt;Amit, O.&lt;/author&gt;&lt;author&gt;Heiberger, R. M.&lt;/author&gt;&lt;author&gt;Lane, P. W.&lt;/author&gt;&lt;/authors&gt;&lt;/contributors&gt;&lt;auth-address&gt;(Amit) Oncology Medicine Development Center, GlaxoSmithKline, United States (Heiberger) Department of Statistics, Temple University, Philadelphia, PA, United States (Lane) Research Statistical Unit, GlaxoSmithKline, United Kingdom&lt;/auth-address&gt;&lt;titles&gt;&lt;title&gt;Graphical approaches to the analysis of safety data from clinical trials&lt;/title&gt;&lt;secondary-title&gt;Pharmaceutical Statistics&lt;/secondary-title&gt;&lt;/titles&gt;&lt;periodical&gt;&lt;full-title&gt;Pharmaceutical Statistics&lt;/full-title&gt;&lt;/periodical&gt;&lt;pages&gt;20-35&lt;/pages&gt;&lt;volume&gt;7&lt;/volume&gt;&lt;number&gt;1&lt;/number&gt;&lt;dates&gt;&lt;year&gt;2008&lt;/year&gt;&lt;pub-dates&gt;&lt;date&gt;January/March&lt;/date&gt;&lt;/pub-dates&gt;&lt;/dates&gt;&lt;accession-num&gt;351385323&lt;/accession-num&gt;&lt;urls&gt;&lt;related-urls&gt;&lt;url&gt;http://ovidsp.ovid.com/ovidweb.cgi?T=JS&amp;amp;CSC=Y&amp;amp;NEWS=N&amp;amp;PAGE=fulltext&amp;amp;D=emed11&amp;amp;AN=351385323&lt;/url&gt;&lt;/related-urls&gt;&lt;/urls&gt;&lt;remote-database-name&gt;Embase&lt;/remote-database-name&gt;&lt;remote-database-provider&gt;Ovid Technologies&lt;/remote-database-provider&gt;&lt;/record&gt;&lt;/Cite&gt;&lt;/EndNote&gt;</w:instrText>
            </w:r>
            <w:r>
              <w:rPr>
                <w:rFonts w:eastAsia="Times New Roman" w:cstheme="minorHAnsi"/>
                <w:color w:val="000000"/>
                <w:sz w:val="20"/>
                <w:szCs w:val="20"/>
                <w:lang w:eastAsia="en-GB"/>
              </w:rPr>
              <w:fldChar w:fldCharType="separate"/>
            </w:r>
            <w:r w:rsidRPr="00811DC2">
              <w:rPr>
                <w:rFonts w:eastAsia="Times New Roman" w:cstheme="minorHAnsi"/>
                <w:noProof/>
                <w:color w:val="000000"/>
                <w:sz w:val="20"/>
                <w:szCs w:val="20"/>
                <w:vertAlign w:val="superscript"/>
                <w:lang w:eastAsia="en-GB"/>
              </w:rPr>
              <w:t>3</w:t>
            </w:r>
            <w:r>
              <w:rPr>
                <w:rFonts w:eastAsia="Times New Roman" w:cstheme="minorHAnsi"/>
                <w:color w:val="000000"/>
                <w:sz w:val="20"/>
                <w:szCs w:val="20"/>
                <w:lang w:eastAsia="en-GB"/>
              </w:rPr>
              <w:fldChar w:fldCharType="end"/>
            </w:r>
            <w:r w:rsidRPr="00253ACD">
              <w:rPr>
                <w:rFonts w:eastAsia="Times New Roman" w:cstheme="minorHAnsi"/>
                <w:color w:val="000000"/>
                <w:sz w:val="20"/>
                <w:szCs w:val="20"/>
                <w:lang w:eastAsia="en-GB"/>
              </w:rPr>
              <w:t xml:space="preserve"> </w:t>
            </w:r>
          </w:p>
        </w:tc>
        <w:tc>
          <w:tcPr>
            <w:tcW w:w="5103" w:type="dxa"/>
            <w:shd w:val="clear" w:color="auto" w:fill="auto"/>
            <w:vAlign w:val="center"/>
            <w:hideMark/>
          </w:tcPr>
          <w:p w14:paraId="31016BD6"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Provides a summary</w:t>
            </w:r>
            <w:r>
              <w:rPr>
                <w:rFonts w:eastAsia="Times New Roman" w:cstheme="minorHAnsi"/>
                <w:color w:val="000000"/>
                <w:sz w:val="20"/>
                <w:szCs w:val="20"/>
                <w:lang w:eastAsia="en-GB"/>
              </w:rPr>
              <w:t xml:space="preserve"> of the distribution e.g. c</w:t>
            </w:r>
            <w:r w:rsidRPr="00253ACD">
              <w:rPr>
                <w:rFonts w:eastAsia="Times New Roman" w:cstheme="minorHAnsi"/>
                <w:color w:val="000000"/>
                <w:sz w:val="20"/>
                <w:szCs w:val="20"/>
                <w:lang w:eastAsia="en-GB"/>
              </w:rPr>
              <w:t xml:space="preserve">hange for </w:t>
            </w:r>
            <w:r>
              <w:rPr>
                <w:rFonts w:eastAsia="Times New Roman" w:cstheme="minorHAnsi"/>
                <w:color w:val="000000"/>
                <w:sz w:val="20"/>
                <w:szCs w:val="20"/>
                <w:lang w:eastAsia="en-GB"/>
              </w:rPr>
              <w:t>individual participants</w:t>
            </w:r>
            <w:r w:rsidRPr="00253ACD">
              <w:rPr>
                <w:rFonts w:eastAsia="Times New Roman" w:cstheme="minorHAnsi"/>
                <w:color w:val="000000"/>
                <w:sz w:val="20"/>
                <w:szCs w:val="20"/>
                <w:lang w:eastAsia="en-GB"/>
              </w:rPr>
              <w:t xml:space="preserve"> over time</w:t>
            </w:r>
          </w:p>
        </w:tc>
      </w:tr>
      <w:tr w:rsidR="00E37363" w:rsidRPr="00253ACD" w14:paraId="6A117CDE" w14:textId="77777777" w:rsidTr="00B45076">
        <w:trPr>
          <w:trHeight w:val="558"/>
        </w:trPr>
        <w:tc>
          <w:tcPr>
            <w:tcW w:w="1127" w:type="dxa"/>
            <w:vMerge/>
            <w:shd w:val="clear" w:color="auto" w:fill="auto"/>
            <w:vAlign w:val="center"/>
            <w:hideMark/>
          </w:tcPr>
          <w:p w14:paraId="7CA6F382" w14:textId="77777777" w:rsidR="00E37363" w:rsidRPr="00253ACD" w:rsidRDefault="00E37363" w:rsidP="00B45076">
            <w:pPr>
              <w:spacing w:after="0" w:line="240" w:lineRule="auto"/>
              <w:rPr>
                <w:rFonts w:eastAsia="Times New Roman" w:cstheme="minorHAnsi"/>
                <w:b/>
                <w:bCs/>
                <w:color w:val="000000"/>
                <w:sz w:val="20"/>
                <w:szCs w:val="20"/>
                <w:lang w:eastAsia="en-GB"/>
              </w:rPr>
            </w:pPr>
          </w:p>
        </w:tc>
        <w:tc>
          <w:tcPr>
            <w:tcW w:w="1420" w:type="dxa"/>
            <w:vMerge/>
            <w:shd w:val="clear" w:color="auto" w:fill="auto"/>
            <w:vAlign w:val="center"/>
            <w:hideMark/>
          </w:tcPr>
          <w:p w14:paraId="2BD8CDD2" w14:textId="77777777" w:rsidR="00E37363" w:rsidRPr="00253ACD" w:rsidRDefault="00E37363" w:rsidP="00B45076">
            <w:pPr>
              <w:spacing w:after="0" w:line="240" w:lineRule="auto"/>
              <w:rPr>
                <w:rFonts w:eastAsia="Times New Roman" w:cstheme="minorHAnsi"/>
                <w:color w:val="000000"/>
                <w:sz w:val="20"/>
                <w:szCs w:val="20"/>
                <w:lang w:eastAsia="en-GB"/>
              </w:rPr>
            </w:pPr>
          </w:p>
        </w:tc>
        <w:tc>
          <w:tcPr>
            <w:tcW w:w="2835" w:type="dxa"/>
            <w:shd w:val="clear" w:color="auto" w:fill="auto"/>
            <w:noWrap/>
            <w:vAlign w:val="center"/>
            <w:hideMark/>
          </w:tcPr>
          <w:p w14:paraId="375CB40D"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Boxplots</w:t>
            </w:r>
          </w:p>
        </w:tc>
        <w:tc>
          <w:tcPr>
            <w:tcW w:w="4111" w:type="dxa"/>
            <w:shd w:val="clear" w:color="auto" w:fill="auto"/>
            <w:vAlign w:val="center"/>
            <w:hideMark/>
          </w:tcPr>
          <w:p w14:paraId="7A742A7D" w14:textId="77777777" w:rsidR="00E37363" w:rsidRPr="00253ACD" w:rsidRDefault="00E37363" w:rsidP="00B45076">
            <w:pPr>
              <w:spacing w:after="0" w:line="240" w:lineRule="auto"/>
              <w:rPr>
                <w:rFonts w:eastAsia="Times New Roman" w:cstheme="minorHAnsi"/>
                <w:color w:val="000000"/>
                <w:sz w:val="20"/>
                <w:szCs w:val="20"/>
                <w:lang w:eastAsia="en-GB"/>
              </w:rPr>
            </w:pPr>
            <w:r>
              <w:rPr>
                <w:rFonts w:eastAsia="Times New Roman" w:cstheme="minorHAnsi"/>
                <w:color w:val="000000"/>
                <w:sz w:val="20"/>
                <w:szCs w:val="20"/>
                <w:lang w:eastAsia="en-GB"/>
              </w:rPr>
              <w:t xml:space="preserve">Amit, </w:t>
            </w:r>
            <w:proofErr w:type="spellStart"/>
            <w:r>
              <w:rPr>
                <w:rFonts w:eastAsia="Times New Roman" w:cstheme="minorHAnsi"/>
                <w:color w:val="000000"/>
                <w:sz w:val="20"/>
                <w:szCs w:val="20"/>
                <w:lang w:eastAsia="en-GB"/>
              </w:rPr>
              <w:t>Heiberger</w:t>
            </w:r>
            <w:proofErr w:type="spellEnd"/>
            <w:r>
              <w:rPr>
                <w:rFonts w:eastAsia="Times New Roman" w:cstheme="minorHAnsi"/>
                <w:color w:val="000000"/>
                <w:sz w:val="20"/>
                <w:szCs w:val="20"/>
                <w:lang w:eastAsia="en-GB"/>
              </w:rPr>
              <w:t xml:space="preserve"> &amp; Lane, 2008.</w:t>
            </w:r>
            <w:r w:rsidRPr="00253ACD">
              <w:rPr>
                <w:rFonts w:eastAsia="Times New Roman" w:cstheme="minorHAnsi"/>
                <w:color w:val="000000"/>
                <w:sz w:val="20"/>
                <w:szCs w:val="20"/>
                <w:lang w:eastAsia="en-GB"/>
              </w:rPr>
              <w:t xml:space="preserve"> Cooper, 2008 also proposed but for pooled trials therefore not eligible for inclusion in this review.</w:t>
            </w:r>
            <w:r>
              <w:rPr>
                <w:rFonts w:eastAsia="Times New Roman" w:cstheme="minorHAnsi"/>
                <w:color w:val="000000"/>
                <w:sz w:val="20"/>
                <w:szCs w:val="20"/>
                <w:lang w:eastAsia="en-GB"/>
              </w:rPr>
              <w:fldChar w:fldCharType="begin">
                <w:fldData xml:space="preserve">PEVuZE5vdGU+PENpdGU+PEF1dGhvcj5Db29wZXI8L0F1dGhvcj48WWVhcj4yMDA4PC9ZZWFyPjxS
ZWNOdW0+MjQ5NTA8L1JlY051bT48RGlzcGxheVRleHQ+PHN0eWxlIGZhY2U9InN1cGVyc2NyaXB0
Ij4zLCA0PC9zdHlsZT48L0Rpc3BsYXlUZXh0PjxyZWNvcmQ+PHJlYy1udW1iZXI+MjQ5NTA8L3Jl
Yy1udW1iZXI+PGZvcmVpZ24ta2V5cz48a2V5IGFwcD0iRU4iIGRiLWlkPSJ6MmY1YTVwdDAyMjJw
OGVzZXN1djU5dG93MHRydHpmcGR4YXciIHRpbWVzdGFtcD0iMTU1MDA1OTY4NyI+MjQ5NTA8L2tl
eT48L2ZvcmVpZ24ta2V5cz48cmVmLXR5cGUgbmFtZT0iSm91cm5hbCBBcnRpY2xlIj4xNzwvcmVm
LXR5cGU+PGNvbnRyaWJ1dG9ycz48YXV0aG9ycz48YXV0aG9yPkNvb3BlciwgQW5kcmV3IEouIFAu
PC9hdXRob3I+PGF1dGhvcj5MZXR0aXMsIFNhbGx5PC9hdXRob3I+PGF1dGhvcj5DaGFwbWFuLCBD
aGFybG90dGUgTC48L2F1dGhvcj48YXV0aG9yPkV2YW5zLCBTdGVwaGVuIEouIFcuPC9hdXRob3I+
PGF1dGhvcj5XYWxsZXIsIFBhdHJpY2sgQy48L2F1dGhvcj48YXV0aG9yPlNoYWtpciwgU2FhZDwv
YXV0aG9yPjxhdXRob3I+UGF5dmFuZGksIE5hc3NyaW48L2F1dGhvcj48YXV0aG9yPk11cnJheSwg
QWxpc29uIEIuPC9hdXRob3I+PC9hdXRob3JzPjwvY29udHJpYnV0b3JzPjx0aXRsZXM+PHRpdGxl
PkRldmVsb3BpbmcgdG9vbHMgZm9yIHRoZSBzYWZldHkgc3BlY2lmaWNhdGlvbiBpbiByaXNrIG1h
bmFnZW1lbnQgcGxhbnM6IGxlc3NvbnMgbGVhcm5lZCBmcm9tIGEgcGlsb3QgcHJvamVjdDwvdGl0
bGU+PHNlY29uZGFyeS10aXRsZT5QaGFybWFjb2VwaWRlbWlvbG9neSBhbmQgRHJ1ZyBTYWZldHk8
L3NlY29uZGFyeS10aXRsZT48L3RpdGxlcz48cGVyaW9kaWNhbD48ZnVsbC10aXRsZT5QaGFybWFj
b2VwaWRlbWlvbG9neSBhbmQgRHJ1ZyBTYWZldHk8L2Z1bGwtdGl0bGU+PC9wZXJpb2RpY2FsPjxw
YWdlcz40NDUtNDU0PC9wYWdlcz48dm9sdW1lPjE3PC92b2x1bWU+PG51bWJlcj41PC9udW1iZXI+
PGRhdGVzPjx5ZWFyPjIwMDg8L3llYXI+PC9kYXRlcz48dXJscz48cmVsYXRlZC11cmxzPjx1cmw+
aHR0cHM6Ly9vbmxpbmVsaWJyYXJ5LndpbGV5LmNvbS9kb2kvYWJzLzEwLjEwMDIvcGRzLjE1NzY8
L3VybD48L3JlbGF0ZWQtdXJscz48L3VybHM+PGVsZWN0cm9uaWMtcmVzb3VyY2UtbnVtPmRvaTox
MC4xMDAyL3Bkcy4xNTc2PC9lbGVjdHJvbmljLXJlc291cmNlLW51bT48L3JlY29yZD48L0NpdGU+
PENpdGU+PEF1dGhvcj5BbWl0PC9BdXRob3I+PFllYXI+MjAwODwvWWVhcj48UmVjTnVtPjE3NTM5
PC9SZWNOdW0+PHJlY29yZD48cmVjLW51bWJlcj4xNzUzOTwvcmVjLW51bWJlcj48Zm9yZWlnbi1r
ZXlzPjxrZXkgYXBwPSJFTiIgZGItaWQ9InoyZjVhNXB0MDIyMnA4ZXNlc3V2NTl0b3cwdHJ0emZw
ZHhhdyIgdGltZXN0YW1wPSIxNTIxMDUwMDY5Ij4xNzUzOTwva2V5PjwvZm9yZWlnbi1rZXlzPjxy
ZWYtdHlwZSBuYW1lPSJKb3VybmFsIEFydGljbGUiPjE3PC9yZWYtdHlwZT48Y29udHJpYnV0b3Jz
PjxhdXRob3JzPjxhdXRob3I+QW1pdCwgTy48L2F1dGhvcj48YXV0aG9yPkhlaWJlcmdlciwgUi4g
TS48L2F1dGhvcj48YXV0aG9yPkxhbmUsIFAuIFcuPC9hdXRob3I+PC9hdXRob3JzPjwvY29udHJp
YnV0b3JzPjxhdXRoLWFkZHJlc3M+KEFtaXQpIE9uY29sb2d5IE1lZGljaW5lIERldmVsb3BtZW50
IENlbnRlciwgR2xheG9TbWl0aEtsaW5lLCBVbml0ZWQgU3RhdGVzIChIZWliZXJnZXIpIERlcGFy
dG1lbnQgb2YgU3RhdGlzdGljcywgVGVtcGxlIFVuaXZlcnNpdHksIFBoaWxhZGVscGhpYSwgUEEs
IFVuaXRlZCBTdGF0ZXMgKExhbmUpIFJlc2VhcmNoIFN0YXRpc3RpY2FsIFVuaXQsIEdsYXhvU21p
dGhLbGluZSwgVW5pdGVkIEtpbmdkb208L2F1dGgtYWRkcmVzcz48dGl0bGVzPjx0aXRsZT5HcmFw
aGljYWwgYXBwcm9hY2hlcyB0byB0aGUgYW5hbHlzaXMgb2Ygc2FmZXR5IGRhdGEgZnJvbSBjbGlu
aWNhbCB0cmlhbHM8L3RpdGxlPjxzZWNvbmRhcnktdGl0bGU+UGhhcm1hY2V1dGljYWwgU3RhdGlz
dGljczwvc2Vjb25kYXJ5LXRpdGxlPjwvdGl0bGVzPjxwZXJpb2RpY2FsPjxmdWxsLXRpdGxlPlBo
YXJtYWNldXRpY2FsIFN0YXRpc3RpY3M8L2Z1bGwtdGl0bGU+PC9wZXJpb2RpY2FsPjxwYWdlcz4y
MC0zNTwvcGFnZXM+PHZvbHVtZT43PC92b2x1bWU+PG51bWJlcj4xPC9udW1iZXI+PGRhdGVzPjx5
ZWFyPjIwMDg8L3llYXI+PHB1Yi1kYXRlcz48ZGF0ZT5KYW51YXJ5L01hcmNoPC9kYXRlPjwvcHVi
LWRhdGVzPjwvZGF0ZXM+PGFjY2Vzc2lvbi1udW0+MzUxMzg1MzIzPC9hY2Nlc3Npb24tbnVtPjx1
cmxzPjxyZWxhdGVkLXVybHM+PHVybD5odHRwOi8vb3ZpZHNwLm92aWQuY29tL292aWR3ZWIuY2dp
P1Q9SlMmYW1wO0NTQz1ZJmFtcDtORVdTPU4mYW1wO1BBR0U9ZnVsbHRleHQmYW1wO0Q9ZW1lZDEx
JmFtcDtBTj0zNTEzODUzMjM8L3VybD48L3JlbGF0ZWQtdXJscz48L3VybHM+PHJlbW90ZS1kYXRh
YmFzZS1uYW1lPkVtYmFzZTwvcmVtb3RlLWRhdGFiYXNlLW5hbWU+PHJlbW90ZS1kYXRhYmFzZS1w
cm92aWRlcj5PdmlkIFRlY2hub2xvZ2llczwvcmVtb3RlLWRhdGFiYXNlLXByb3ZpZGVyPjwvcmVj
b3JkPjwvQ2l0ZT48L0VuZE5vdGU+AG==
</w:fldData>
              </w:fldChar>
            </w:r>
            <w:r>
              <w:rPr>
                <w:rFonts w:eastAsia="Times New Roman" w:cstheme="minorHAnsi"/>
                <w:color w:val="000000"/>
                <w:sz w:val="20"/>
                <w:szCs w:val="20"/>
                <w:lang w:eastAsia="en-GB"/>
              </w:rPr>
              <w:instrText xml:space="preserve"> ADDIN EN.CITE </w:instrText>
            </w:r>
            <w:r>
              <w:rPr>
                <w:rFonts w:eastAsia="Times New Roman" w:cstheme="minorHAnsi"/>
                <w:color w:val="000000"/>
                <w:sz w:val="20"/>
                <w:szCs w:val="20"/>
                <w:lang w:eastAsia="en-GB"/>
              </w:rPr>
              <w:fldChar w:fldCharType="begin">
                <w:fldData xml:space="preserve">PEVuZE5vdGU+PENpdGU+PEF1dGhvcj5Db29wZXI8L0F1dGhvcj48WWVhcj4yMDA4PC9ZZWFyPjxS
ZWNOdW0+MjQ5NTA8L1JlY051bT48RGlzcGxheVRleHQ+PHN0eWxlIGZhY2U9InN1cGVyc2NyaXB0
Ij4zLCA0PC9zdHlsZT48L0Rpc3BsYXlUZXh0PjxyZWNvcmQ+PHJlYy1udW1iZXI+MjQ5NTA8L3Jl
Yy1udW1iZXI+PGZvcmVpZ24ta2V5cz48a2V5IGFwcD0iRU4iIGRiLWlkPSJ6MmY1YTVwdDAyMjJw
OGVzZXN1djU5dG93MHRydHpmcGR4YXciIHRpbWVzdGFtcD0iMTU1MDA1OTY4NyI+MjQ5NTA8L2tl
eT48L2ZvcmVpZ24ta2V5cz48cmVmLXR5cGUgbmFtZT0iSm91cm5hbCBBcnRpY2xlIj4xNzwvcmVm
LXR5cGU+PGNvbnRyaWJ1dG9ycz48YXV0aG9ycz48YXV0aG9yPkNvb3BlciwgQW5kcmV3IEouIFAu
PC9hdXRob3I+PGF1dGhvcj5MZXR0aXMsIFNhbGx5PC9hdXRob3I+PGF1dGhvcj5DaGFwbWFuLCBD
aGFybG90dGUgTC48L2F1dGhvcj48YXV0aG9yPkV2YW5zLCBTdGVwaGVuIEouIFcuPC9hdXRob3I+
PGF1dGhvcj5XYWxsZXIsIFBhdHJpY2sgQy48L2F1dGhvcj48YXV0aG9yPlNoYWtpciwgU2FhZDwv
YXV0aG9yPjxhdXRob3I+UGF5dmFuZGksIE5hc3NyaW48L2F1dGhvcj48YXV0aG9yPk11cnJheSwg
QWxpc29uIEIuPC9hdXRob3I+PC9hdXRob3JzPjwvY29udHJpYnV0b3JzPjx0aXRsZXM+PHRpdGxl
PkRldmVsb3BpbmcgdG9vbHMgZm9yIHRoZSBzYWZldHkgc3BlY2lmaWNhdGlvbiBpbiByaXNrIG1h
bmFnZW1lbnQgcGxhbnM6IGxlc3NvbnMgbGVhcm5lZCBmcm9tIGEgcGlsb3QgcHJvamVjdDwvdGl0
bGU+PHNlY29uZGFyeS10aXRsZT5QaGFybWFjb2VwaWRlbWlvbG9neSBhbmQgRHJ1ZyBTYWZldHk8
L3NlY29uZGFyeS10aXRsZT48L3RpdGxlcz48cGVyaW9kaWNhbD48ZnVsbC10aXRsZT5QaGFybWFj
b2VwaWRlbWlvbG9neSBhbmQgRHJ1ZyBTYWZldHk8L2Z1bGwtdGl0bGU+PC9wZXJpb2RpY2FsPjxw
YWdlcz40NDUtNDU0PC9wYWdlcz48dm9sdW1lPjE3PC92b2x1bWU+PG51bWJlcj41PC9udW1iZXI+
PGRhdGVzPjx5ZWFyPjIwMDg8L3llYXI+PC9kYXRlcz48dXJscz48cmVsYXRlZC11cmxzPjx1cmw+
aHR0cHM6Ly9vbmxpbmVsaWJyYXJ5LndpbGV5LmNvbS9kb2kvYWJzLzEwLjEwMDIvcGRzLjE1NzY8
L3VybD48L3JlbGF0ZWQtdXJscz48L3VybHM+PGVsZWN0cm9uaWMtcmVzb3VyY2UtbnVtPmRvaTox
MC4xMDAyL3Bkcy4xNTc2PC9lbGVjdHJvbmljLXJlc291cmNlLW51bT48L3JlY29yZD48L0NpdGU+
PENpdGU+PEF1dGhvcj5BbWl0PC9BdXRob3I+PFllYXI+MjAwODwvWWVhcj48UmVjTnVtPjE3NTM5
PC9SZWNOdW0+PHJlY29yZD48cmVjLW51bWJlcj4xNzUzOTwvcmVjLW51bWJlcj48Zm9yZWlnbi1r
ZXlzPjxrZXkgYXBwPSJFTiIgZGItaWQ9InoyZjVhNXB0MDIyMnA4ZXNlc3V2NTl0b3cwdHJ0emZw
ZHhhdyIgdGltZXN0YW1wPSIxNTIxMDUwMDY5Ij4xNzUzOTwva2V5PjwvZm9yZWlnbi1rZXlzPjxy
ZWYtdHlwZSBuYW1lPSJKb3VybmFsIEFydGljbGUiPjE3PC9yZWYtdHlwZT48Y29udHJpYnV0b3Jz
PjxhdXRob3JzPjxhdXRob3I+QW1pdCwgTy48L2F1dGhvcj48YXV0aG9yPkhlaWJlcmdlciwgUi4g
TS48L2F1dGhvcj48YXV0aG9yPkxhbmUsIFAuIFcuPC9hdXRob3I+PC9hdXRob3JzPjwvY29udHJp
YnV0b3JzPjxhdXRoLWFkZHJlc3M+KEFtaXQpIE9uY29sb2d5IE1lZGljaW5lIERldmVsb3BtZW50
IENlbnRlciwgR2xheG9TbWl0aEtsaW5lLCBVbml0ZWQgU3RhdGVzIChIZWliZXJnZXIpIERlcGFy
dG1lbnQgb2YgU3RhdGlzdGljcywgVGVtcGxlIFVuaXZlcnNpdHksIFBoaWxhZGVscGhpYSwgUEEs
IFVuaXRlZCBTdGF0ZXMgKExhbmUpIFJlc2VhcmNoIFN0YXRpc3RpY2FsIFVuaXQsIEdsYXhvU21p
dGhLbGluZSwgVW5pdGVkIEtpbmdkb208L2F1dGgtYWRkcmVzcz48dGl0bGVzPjx0aXRsZT5HcmFw
aGljYWwgYXBwcm9hY2hlcyB0byB0aGUgYW5hbHlzaXMgb2Ygc2FmZXR5IGRhdGEgZnJvbSBjbGlu
aWNhbCB0cmlhbHM8L3RpdGxlPjxzZWNvbmRhcnktdGl0bGU+UGhhcm1hY2V1dGljYWwgU3RhdGlz
dGljczwvc2Vjb25kYXJ5LXRpdGxlPjwvdGl0bGVzPjxwZXJpb2RpY2FsPjxmdWxsLXRpdGxlPlBo
YXJtYWNldXRpY2FsIFN0YXRpc3RpY3M8L2Z1bGwtdGl0bGU+PC9wZXJpb2RpY2FsPjxwYWdlcz4y
MC0zNTwvcGFnZXM+PHZvbHVtZT43PC92b2x1bWU+PG51bWJlcj4xPC9udW1iZXI+PGRhdGVzPjx5
ZWFyPjIwMDg8L3llYXI+PHB1Yi1kYXRlcz48ZGF0ZT5KYW51YXJ5L01hcmNoPC9kYXRlPjwvcHVi
LWRhdGVzPjwvZGF0ZXM+PGFjY2Vzc2lvbi1udW0+MzUxMzg1MzIzPC9hY2Nlc3Npb24tbnVtPjx1
cmxzPjxyZWxhdGVkLXVybHM+PHVybD5odHRwOi8vb3ZpZHNwLm92aWQuY29tL292aWR3ZWIuY2dp
P1Q9SlMmYW1wO0NTQz1ZJmFtcDtORVdTPU4mYW1wO1BBR0U9ZnVsbHRleHQmYW1wO0Q9ZW1lZDEx
JmFtcDtBTj0zNTEzODUzMjM8L3VybD48L3JlbGF0ZWQtdXJscz48L3VybHM+PHJlbW90ZS1kYXRh
YmFzZS1uYW1lPkVtYmFzZTwvcmVtb3RlLWRhdGFiYXNlLW5hbWU+PHJlbW90ZS1kYXRhYmFzZS1w
cm92aWRlcj5PdmlkIFRlY2hub2xvZ2llczwvcmVtb3RlLWRhdGFiYXNlLXByb3ZpZGVyPjwvcmVj
b3JkPjwvQ2l0ZT48L0VuZE5vdGU+AG==
</w:fldData>
              </w:fldChar>
            </w:r>
            <w:r>
              <w:rPr>
                <w:rFonts w:eastAsia="Times New Roman" w:cstheme="minorHAnsi"/>
                <w:color w:val="000000"/>
                <w:sz w:val="20"/>
                <w:szCs w:val="20"/>
                <w:lang w:eastAsia="en-GB"/>
              </w:rPr>
              <w:instrText xml:space="preserve"> ADDIN EN.CITE.DATA </w:instrText>
            </w:r>
            <w:r>
              <w:rPr>
                <w:rFonts w:eastAsia="Times New Roman" w:cstheme="minorHAnsi"/>
                <w:color w:val="000000"/>
                <w:sz w:val="20"/>
                <w:szCs w:val="20"/>
                <w:lang w:eastAsia="en-GB"/>
              </w:rPr>
            </w:r>
            <w:r>
              <w:rPr>
                <w:rFonts w:eastAsia="Times New Roman" w:cstheme="minorHAnsi"/>
                <w:color w:val="000000"/>
                <w:sz w:val="20"/>
                <w:szCs w:val="20"/>
                <w:lang w:eastAsia="en-GB"/>
              </w:rPr>
              <w:fldChar w:fldCharType="end"/>
            </w:r>
            <w:r>
              <w:rPr>
                <w:rFonts w:eastAsia="Times New Roman" w:cstheme="minorHAnsi"/>
                <w:color w:val="000000"/>
                <w:sz w:val="20"/>
                <w:szCs w:val="20"/>
                <w:lang w:eastAsia="en-GB"/>
              </w:rPr>
            </w:r>
            <w:r>
              <w:rPr>
                <w:rFonts w:eastAsia="Times New Roman" w:cstheme="minorHAnsi"/>
                <w:color w:val="000000"/>
                <w:sz w:val="20"/>
                <w:szCs w:val="20"/>
                <w:lang w:eastAsia="en-GB"/>
              </w:rPr>
              <w:fldChar w:fldCharType="separate"/>
            </w:r>
            <w:r w:rsidRPr="00811DC2">
              <w:rPr>
                <w:rFonts w:eastAsia="Times New Roman" w:cstheme="minorHAnsi"/>
                <w:noProof/>
                <w:color w:val="000000"/>
                <w:sz w:val="20"/>
                <w:szCs w:val="20"/>
                <w:vertAlign w:val="superscript"/>
                <w:lang w:eastAsia="en-GB"/>
              </w:rPr>
              <w:t>3, 4</w:t>
            </w:r>
            <w:r>
              <w:rPr>
                <w:rFonts w:eastAsia="Times New Roman" w:cstheme="minorHAnsi"/>
                <w:color w:val="000000"/>
                <w:sz w:val="20"/>
                <w:szCs w:val="20"/>
                <w:lang w:eastAsia="en-GB"/>
              </w:rPr>
              <w:fldChar w:fldCharType="end"/>
            </w:r>
          </w:p>
        </w:tc>
        <w:tc>
          <w:tcPr>
            <w:tcW w:w="5103" w:type="dxa"/>
            <w:shd w:val="clear" w:color="auto" w:fill="auto"/>
            <w:vAlign w:val="center"/>
            <w:hideMark/>
          </w:tcPr>
          <w:p w14:paraId="558F0075"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Provides a summary of</w:t>
            </w:r>
            <w:r>
              <w:rPr>
                <w:rFonts w:eastAsia="Times New Roman" w:cstheme="minorHAnsi"/>
                <w:color w:val="000000"/>
                <w:sz w:val="20"/>
                <w:szCs w:val="20"/>
                <w:lang w:eastAsia="en-GB"/>
              </w:rPr>
              <w:t xml:space="preserve"> the distribution e.g.</w:t>
            </w:r>
            <w:r w:rsidRPr="00253ACD">
              <w:rPr>
                <w:rFonts w:eastAsia="Times New Roman" w:cstheme="minorHAnsi"/>
                <w:color w:val="000000"/>
                <w:sz w:val="20"/>
                <w:szCs w:val="20"/>
                <w:lang w:eastAsia="en-GB"/>
              </w:rPr>
              <w:t xml:space="preserve"> change at specific time points</w:t>
            </w:r>
          </w:p>
        </w:tc>
      </w:tr>
      <w:tr w:rsidR="00E37363" w:rsidRPr="00253ACD" w14:paraId="11D6D985" w14:textId="77777777" w:rsidTr="00B45076">
        <w:trPr>
          <w:trHeight w:val="242"/>
        </w:trPr>
        <w:tc>
          <w:tcPr>
            <w:tcW w:w="1127" w:type="dxa"/>
            <w:vMerge/>
            <w:shd w:val="clear" w:color="auto" w:fill="auto"/>
            <w:vAlign w:val="center"/>
            <w:hideMark/>
          </w:tcPr>
          <w:p w14:paraId="3BF02DDC" w14:textId="77777777" w:rsidR="00E37363" w:rsidRPr="00253ACD" w:rsidRDefault="00E37363" w:rsidP="00B45076">
            <w:pPr>
              <w:spacing w:after="0" w:line="240" w:lineRule="auto"/>
              <w:rPr>
                <w:rFonts w:eastAsia="Times New Roman" w:cstheme="minorHAnsi"/>
                <w:b/>
                <w:bCs/>
                <w:color w:val="000000"/>
                <w:sz w:val="20"/>
                <w:szCs w:val="20"/>
                <w:lang w:eastAsia="en-GB"/>
              </w:rPr>
            </w:pPr>
          </w:p>
        </w:tc>
        <w:tc>
          <w:tcPr>
            <w:tcW w:w="1420" w:type="dxa"/>
            <w:vMerge/>
            <w:shd w:val="clear" w:color="auto" w:fill="auto"/>
            <w:vAlign w:val="center"/>
            <w:hideMark/>
          </w:tcPr>
          <w:p w14:paraId="081C2944" w14:textId="77777777" w:rsidR="00E37363" w:rsidRPr="00253ACD" w:rsidRDefault="00E37363" w:rsidP="00B45076">
            <w:pPr>
              <w:spacing w:after="0" w:line="240" w:lineRule="auto"/>
              <w:rPr>
                <w:rFonts w:eastAsia="Times New Roman" w:cstheme="minorHAnsi"/>
                <w:color w:val="000000"/>
                <w:sz w:val="20"/>
                <w:szCs w:val="20"/>
                <w:lang w:eastAsia="en-GB"/>
              </w:rPr>
            </w:pPr>
          </w:p>
        </w:tc>
        <w:tc>
          <w:tcPr>
            <w:tcW w:w="2835" w:type="dxa"/>
            <w:shd w:val="clear" w:color="auto" w:fill="auto"/>
            <w:noWrap/>
            <w:vAlign w:val="center"/>
            <w:hideMark/>
          </w:tcPr>
          <w:p w14:paraId="3B67CF19"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Line graphs</w:t>
            </w:r>
          </w:p>
        </w:tc>
        <w:tc>
          <w:tcPr>
            <w:tcW w:w="4111" w:type="dxa"/>
            <w:shd w:val="clear" w:color="auto" w:fill="auto"/>
            <w:noWrap/>
            <w:vAlign w:val="center"/>
            <w:hideMark/>
          </w:tcPr>
          <w:p w14:paraId="1880D12B"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Amit, </w:t>
            </w:r>
            <w:proofErr w:type="spellStart"/>
            <w:r w:rsidRPr="00253ACD">
              <w:rPr>
                <w:rFonts w:eastAsia="Times New Roman" w:cstheme="minorHAnsi"/>
                <w:color w:val="000000"/>
                <w:sz w:val="20"/>
                <w:szCs w:val="20"/>
                <w:lang w:eastAsia="en-GB"/>
              </w:rPr>
              <w:t>Heiberger</w:t>
            </w:r>
            <w:proofErr w:type="spellEnd"/>
            <w:r w:rsidRPr="00253ACD">
              <w:rPr>
                <w:rFonts w:eastAsia="Times New Roman" w:cstheme="minorHAnsi"/>
                <w:color w:val="000000"/>
                <w:sz w:val="20"/>
                <w:szCs w:val="20"/>
                <w:lang w:eastAsia="en-GB"/>
              </w:rPr>
              <w:t xml:space="preserve"> </w:t>
            </w:r>
            <w:r>
              <w:rPr>
                <w:rFonts w:eastAsia="Times New Roman" w:cstheme="minorHAnsi"/>
                <w:color w:val="000000"/>
                <w:sz w:val="20"/>
                <w:szCs w:val="20"/>
                <w:lang w:eastAsia="en-GB"/>
              </w:rPr>
              <w:t>&amp;</w:t>
            </w:r>
            <w:r w:rsidRPr="00253ACD">
              <w:rPr>
                <w:rFonts w:eastAsia="Times New Roman" w:cstheme="minorHAnsi"/>
                <w:color w:val="000000"/>
                <w:sz w:val="20"/>
                <w:szCs w:val="20"/>
                <w:lang w:eastAsia="en-GB"/>
              </w:rPr>
              <w:t xml:space="preserve"> Lane, 2008</w:t>
            </w:r>
            <w:r>
              <w:rPr>
                <w:rFonts w:eastAsia="Times New Roman" w:cstheme="minorHAnsi"/>
                <w:color w:val="000000"/>
                <w:sz w:val="20"/>
                <w:szCs w:val="20"/>
                <w:lang w:eastAsia="en-GB"/>
              </w:rPr>
              <w:t>.</w:t>
            </w:r>
            <w:r>
              <w:rPr>
                <w:rFonts w:eastAsia="Times New Roman" w:cstheme="minorHAnsi"/>
                <w:color w:val="000000"/>
                <w:sz w:val="20"/>
                <w:szCs w:val="20"/>
                <w:lang w:eastAsia="en-GB"/>
              </w:rPr>
              <w:fldChar w:fldCharType="begin"/>
            </w:r>
            <w:r>
              <w:rPr>
                <w:rFonts w:eastAsia="Times New Roman" w:cstheme="minorHAnsi"/>
                <w:color w:val="000000"/>
                <w:sz w:val="20"/>
                <w:szCs w:val="20"/>
                <w:lang w:eastAsia="en-GB"/>
              </w:rPr>
              <w:instrText xml:space="preserve"> ADDIN EN.CITE &lt;EndNote&gt;&lt;Cite&gt;&lt;Author&gt;Amit&lt;/Author&gt;&lt;Year&gt;2008&lt;/Year&gt;&lt;RecNum&gt;17539&lt;/RecNum&gt;&lt;DisplayText&gt;&lt;style face="superscript"&gt;3&lt;/style&gt;&lt;/DisplayText&gt;&lt;record&gt;&lt;rec-number&gt;17539&lt;/rec-number&gt;&lt;foreign-keys&gt;&lt;key app="EN" db-id="z2f5a5pt0222p8esesuv59tow0trtzfpdxaw" timestamp="1521050069"&gt;17539&lt;/key&gt;&lt;/foreign-keys&gt;&lt;ref-type name="Journal Article"&gt;17&lt;/ref-type&gt;&lt;contributors&gt;&lt;authors&gt;&lt;author&gt;Amit, O.&lt;/author&gt;&lt;author&gt;Heiberger, R. M.&lt;/author&gt;&lt;author&gt;Lane, P. W.&lt;/author&gt;&lt;/authors&gt;&lt;/contributors&gt;&lt;auth-address&gt;(Amit) Oncology Medicine Development Center, GlaxoSmithKline, United States (Heiberger) Department of Statistics, Temple University, Philadelphia, PA, United States (Lane) Research Statistical Unit, GlaxoSmithKline, United Kingdom&lt;/auth-address&gt;&lt;titles&gt;&lt;title&gt;Graphical approaches to the analysis of safety data from clinical trials&lt;/title&gt;&lt;secondary-title&gt;Pharmaceutical Statistics&lt;/secondary-title&gt;&lt;/titles&gt;&lt;periodical&gt;&lt;full-title&gt;Pharmaceutical Statistics&lt;/full-title&gt;&lt;/periodical&gt;&lt;pages&gt;20-35&lt;/pages&gt;&lt;volume&gt;7&lt;/volume&gt;&lt;number&gt;1&lt;/number&gt;&lt;dates&gt;&lt;year&gt;2008&lt;/year&gt;&lt;pub-dates&gt;&lt;date&gt;January/March&lt;/date&gt;&lt;/pub-dates&gt;&lt;/dates&gt;&lt;accession-num&gt;351385323&lt;/accession-num&gt;&lt;urls&gt;&lt;related-urls&gt;&lt;url&gt;http://ovidsp.ovid.com/ovidweb.cgi?T=JS&amp;amp;CSC=Y&amp;amp;NEWS=N&amp;amp;PAGE=fulltext&amp;amp;D=emed11&amp;amp;AN=351385323&lt;/url&gt;&lt;/related-urls&gt;&lt;/urls&gt;&lt;remote-database-name&gt;Embase&lt;/remote-database-name&gt;&lt;remote-database-provider&gt;Ovid Technologies&lt;/remote-database-provider&gt;&lt;/record&gt;&lt;/Cite&gt;&lt;/EndNote&gt;</w:instrText>
            </w:r>
            <w:r>
              <w:rPr>
                <w:rFonts w:eastAsia="Times New Roman" w:cstheme="minorHAnsi"/>
                <w:color w:val="000000"/>
                <w:sz w:val="20"/>
                <w:szCs w:val="20"/>
                <w:lang w:eastAsia="en-GB"/>
              </w:rPr>
              <w:fldChar w:fldCharType="separate"/>
            </w:r>
            <w:r w:rsidRPr="00811DC2">
              <w:rPr>
                <w:rFonts w:eastAsia="Times New Roman" w:cstheme="minorHAnsi"/>
                <w:noProof/>
                <w:color w:val="000000"/>
                <w:sz w:val="20"/>
                <w:szCs w:val="20"/>
                <w:vertAlign w:val="superscript"/>
                <w:lang w:eastAsia="en-GB"/>
              </w:rPr>
              <w:t>3</w:t>
            </w:r>
            <w:r>
              <w:rPr>
                <w:rFonts w:eastAsia="Times New Roman" w:cstheme="minorHAnsi"/>
                <w:color w:val="000000"/>
                <w:sz w:val="20"/>
                <w:szCs w:val="20"/>
                <w:lang w:eastAsia="en-GB"/>
              </w:rPr>
              <w:fldChar w:fldCharType="end"/>
            </w:r>
            <w:r w:rsidRPr="00253ACD">
              <w:rPr>
                <w:rFonts w:eastAsia="Times New Roman" w:cstheme="minorHAnsi"/>
                <w:color w:val="000000"/>
                <w:sz w:val="20"/>
                <w:szCs w:val="20"/>
                <w:lang w:eastAsia="en-GB"/>
              </w:rPr>
              <w:t xml:space="preserve"> </w:t>
            </w:r>
          </w:p>
        </w:tc>
        <w:tc>
          <w:tcPr>
            <w:tcW w:w="5103" w:type="dxa"/>
            <w:shd w:val="clear" w:color="auto" w:fill="auto"/>
            <w:vAlign w:val="center"/>
            <w:hideMark/>
          </w:tcPr>
          <w:p w14:paraId="20E5255B"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Provides a summary of change at specific time points</w:t>
            </w:r>
          </w:p>
        </w:tc>
      </w:tr>
      <w:tr w:rsidR="00E37363" w:rsidRPr="00253ACD" w14:paraId="28D949E6" w14:textId="77777777" w:rsidTr="00B45076">
        <w:trPr>
          <w:trHeight w:val="448"/>
        </w:trPr>
        <w:tc>
          <w:tcPr>
            <w:tcW w:w="1127" w:type="dxa"/>
            <w:vMerge/>
            <w:shd w:val="clear" w:color="auto" w:fill="auto"/>
            <w:vAlign w:val="center"/>
            <w:hideMark/>
          </w:tcPr>
          <w:p w14:paraId="7A638566" w14:textId="77777777" w:rsidR="00E37363" w:rsidRPr="00253ACD" w:rsidRDefault="00E37363" w:rsidP="00B45076">
            <w:pPr>
              <w:spacing w:after="0" w:line="240" w:lineRule="auto"/>
              <w:rPr>
                <w:rFonts w:eastAsia="Times New Roman" w:cstheme="minorHAnsi"/>
                <w:b/>
                <w:bCs/>
                <w:color w:val="000000"/>
                <w:sz w:val="20"/>
                <w:szCs w:val="20"/>
                <w:lang w:eastAsia="en-GB"/>
              </w:rPr>
            </w:pPr>
          </w:p>
        </w:tc>
        <w:tc>
          <w:tcPr>
            <w:tcW w:w="1420" w:type="dxa"/>
            <w:vMerge/>
            <w:shd w:val="clear" w:color="auto" w:fill="auto"/>
            <w:vAlign w:val="center"/>
            <w:hideMark/>
          </w:tcPr>
          <w:p w14:paraId="5701A233" w14:textId="77777777" w:rsidR="00E37363" w:rsidRPr="00253ACD" w:rsidRDefault="00E37363" w:rsidP="00B45076">
            <w:pPr>
              <w:spacing w:after="0" w:line="240" w:lineRule="auto"/>
              <w:rPr>
                <w:rFonts w:eastAsia="Times New Roman" w:cstheme="minorHAnsi"/>
                <w:color w:val="000000"/>
                <w:sz w:val="20"/>
                <w:szCs w:val="20"/>
                <w:lang w:eastAsia="en-GB"/>
              </w:rPr>
            </w:pPr>
          </w:p>
        </w:tc>
        <w:tc>
          <w:tcPr>
            <w:tcW w:w="2835" w:type="dxa"/>
            <w:shd w:val="clear" w:color="auto" w:fill="auto"/>
            <w:noWrap/>
            <w:vAlign w:val="center"/>
            <w:hideMark/>
          </w:tcPr>
          <w:p w14:paraId="74B85A03"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Histograms</w:t>
            </w:r>
          </w:p>
        </w:tc>
        <w:tc>
          <w:tcPr>
            <w:tcW w:w="4111" w:type="dxa"/>
            <w:shd w:val="clear" w:color="auto" w:fill="auto"/>
            <w:noWrap/>
            <w:vAlign w:val="center"/>
            <w:hideMark/>
          </w:tcPr>
          <w:p w14:paraId="5F621CF9"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Chuang-Stein, Le </w:t>
            </w:r>
            <w:r>
              <w:rPr>
                <w:rFonts w:eastAsia="Times New Roman" w:cstheme="minorHAnsi"/>
                <w:color w:val="000000"/>
                <w:sz w:val="20"/>
                <w:szCs w:val="20"/>
                <w:lang w:eastAsia="en-GB"/>
              </w:rPr>
              <w:t>&amp;</w:t>
            </w:r>
            <w:r w:rsidRPr="00253ACD">
              <w:rPr>
                <w:rFonts w:eastAsia="Times New Roman" w:cstheme="minorHAnsi"/>
                <w:color w:val="000000"/>
                <w:sz w:val="20"/>
                <w:szCs w:val="20"/>
                <w:lang w:eastAsia="en-GB"/>
              </w:rPr>
              <w:t xml:space="preserve"> Chen, 2001</w:t>
            </w:r>
            <w:r>
              <w:rPr>
                <w:rFonts w:eastAsia="Times New Roman" w:cstheme="minorHAnsi"/>
                <w:color w:val="000000"/>
                <w:sz w:val="20"/>
                <w:szCs w:val="20"/>
                <w:lang w:eastAsia="en-GB"/>
              </w:rPr>
              <w:t>.</w:t>
            </w:r>
            <w:r>
              <w:rPr>
                <w:rFonts w:eastAsia="Times New Roman" w:cstheme="minorHAnsi"/>
                <w:color w:val="000000"/>
                <w:sz w:val="20"/>
                <w:szCs w:val="20"/>
                <w:lang w:eastAsia="en-GB"/>
              </w:rPr>
              <w:fldChar w:fldCharType="begin"/>
            </w:r>
            <w:r>
              <w:rPr>
                <w:rFonts w:eastAsia="Times New Roman" w:cstheme="minorHAnsi"/>
                <w:color w:val="000000"/>
                <w:sz w:val="20"/>
                <w:szCs w:val="20"/>
                <w:lang w:eastAsia="en-GB"/>
              </w:rPr>
              <w:instrText xml:space="preserve"> ADDIN EN.CITE &lt;EndNote&gt;&lt;Cite&gt;&lt;Author&gt;Chuang-Stein&lt;/Author&gt;&lt;Year&gt;2001&lt;/Year&gt;&lt;RecNum&gt;24902&lt;/RecNum&gt;&lt;DisplayText&gt;&lt;style face="superscript"&gt;7&lt;/style&gt;&lt;/DisplayText&gt;&lt;record&gt;&lt;rec-number&gt;24902&lt;/rec-number&gt;&lt;foreign-keys&gt;&lt;key app="EN" db-id="z2f5a5pt0222p8esesuv59tow0trtzfpdxaw" timestamp="1528469152"&gt;24902&lt;/key&gt;&lt;/foreign-keys&gt;&lt;ref-type name="Journal Article"&gt;17&lt;/ref-type&gt;&lt;contributors&gt;&lt;authors&gt;&lt;author&gt;Chuang-Stein, Christy&lt;/author&gt;&lt;author&gt;Le, Vu&lt;/author&gt;&lt;author&gt;Chen, William&lt;/author&gt;&lt;/authors&gt;&lt;/contributors&gt;&lt;titles&gt;&lt;title&gt;Recent Advancements in the Analysis and Presentation of Safety Data&lt;/title&gt;&lt;secondary-title&gt;Drug Information Journal&lt;/secondary-title&gt;&lt;/titles&gt;&lt;periodical&gt;&lt;full-title&gt;Drug Information Journal&lt;/full-title&gt;&lt;/periodical&gt;&lt;pages&gt;377-397&lt;/pages&gt;&lt;volume&gt;35&lt;/volume&gt;&lt;number&gt;2&lt;/number&gt;&lt;keywords&gt;&lt;keyword&gt;Baseline diagnostic plot,Delta plot,Distribution plot,Empirical Bayes estimate,Hazard function plot,Patient timeline summary&lt;/keyword&gt;&lt;/keywords&gt;&lt;dates&gt;&lt;year&gt;2001&lt;/year&gt;&lt;/dates&gt;&lt;urls&gt;&lt;related-urls&gt;&lt;url&gt;http://journals.sagepub.com/doi/abs/10.1177/009286150103500207&lt;/url&gt;&lt;/related-urls&gt;&lt;/urls&gt;&lt;electronic-resource-num&gt;10.1177/009286150103500207&lt;/electronic-resource-num&gt;&lt;/record&gt;&lt;/Cite&gt;&lt;/EndNote&gt;</w:instrText>
            </w:r>
            <w:r>
              <w:rPr>
                <w:rFonts w:eastAsia="Times New Roman" w:cstheme="minorHAnsi"/>
                <w:color w:val="000000"/>
                <w:sz w:val="20"/>
                <w:szCs w:val="20"/>
                <w:lang w:eastAsia="en-GB"/>
              </w:rPr>
              <w:fldChar w:fldCharType="separate"/>
            </w:r>
            <w:r w:rsidRPr="009A6245">
              <w:rPr>
                <w:rFonts w:eastAsia="Times New Roman" w:cstheme="minorHAnsi"/>
                <w:noProof/>
                <w:color w:val="000000"/>
                <w:sz w:val="20"/>
                <w:szCs w:val="20"/>
                <w:vertAlign w:val="superscript"/>
                <w:lang w:eastAsia="en-GB"/>
              </w:rPr>
              <w:t>7</w:t>
            </w:r>
            <w:r>
              <w:rPr>
                <w:rFonts w:eastAsia="Times New Roman" w:cstheme="minorHAnsi"/>
                <w:color w:val="000000"/>
                <w:sz w:val="20"/>
                <w:szCs w:val="20"/>
                <w:lang w:eastAsia="en-GB"/>
              </w:rPr>
              <w:fldChar w:fldCharType="end"/>
            </w:r>
            <w:r w:rsidRPr="00253ACD">
              <w:rPr>
                <w:rFonts w:eastAsia="Times New Roman" w:cstheme="minorHAnsi"/>
                <w:color w:val="000000"/>
                <w:sz w:val="20"/>
                <w:szCs w:val="20"/>
                <w:lang w:eastAsia="en-GB"/>
              </w:rPr>
              <w:t xml:space="preserve"> </w:t>
            </w:r>
          </w:p>
        </w:tc>
        <w:tc>
          <w:tcPr>
            <w:tcW w:w="5103" w:type="dxa"/>
            <w:shd w:val="clear" w:color="auto" w:fill="auto"/>
            <w:vAlign w:val="center"/>
            <w:hideMark/>
          </w:tcPr>
          <w:p w14:paraId="51FE6E46"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Provides a summary of </w:t>
            </w:r>
            <w:r>
              <w:rPr>
                <w:rFonts w:eastAsia="Times New Roman" w:cstheme="minorHAnsi"/>
                <w:color w:val="000000"/>
                <w:sz w:val="20"/>
                <w:szCs w:val="20"/>
                <w:lang w:eastAsia="en-GB"/>
              </w:rPr>
              <w:t xml:space="preserve">the distribution e.g. </w:t>
            </w:r>
            <w:r w:rsidRPr="00253ACD">
              <w:rPr>
                <w:rFonts w:eastAsia="Times New Roman" w:cstheme="minorHAnsi"/>
                <w:color w:val="000000"/>
                <w:sz w:val="20"/>
                <w:szCs w:val="20"/>
                <w:lang w:eastAsia="en-GB"/>
              </w:rPr>
              <w:t>change at specific time points</w:t>
            </w:r>
          </w:p>
        </w:tc>
      </w:tr>
      <w:tr w:rsidR="00E37363" w:rsidRPr="00253ACD" w14:paraId="244D46ED" w14:textId="77777777" w:rsidTr="00B45076">
        <w:trPr>
          <w:trHeight w:val="652"/>
        </w:trPr>
        <w:tc>
          <w:tcPr>
            <w:tcW w:w="1127" w:type="dxa"/>
            <w:vMerge/>
            <w:shd w:val="clear" w:color="auto" w:fill="auto"/>
            <w:vAlign w:val="center"/>
            <w:hideMark/>
          </w:tcPr>
          <w:p w14:paraId="32F4C78F" w14:textId="77777777" w:rsidR="00E37363" w:rsidRPr="00253ACD" w:rsidRDefault="00E37363" w:rsidP="00B45076">
            <w:pPr>
              <w:spacing w:after="0" w:line="240" w:lineRule="auto"/>
              <w:rPr>
                <w:rFonts w:eastAsia="Times New Roman" w:cstheme="minorHAnsi"/>
                <w:b/>
                <w:bCs/>
                <w:color w:val="000000"/>
                <w:sz w:val="20"/>
                <w:szCs w:val="20"/>
                <w:lang w:eastAsia="en-GB"/>
              </w:rPr>
            </w:pPr>
          </w:p>
        </w:tc>
        <w:tc>
          <w:tcPr>
            <w:tcW w:w="1420" w:type="dxa"/>
            <w:vMerge/>
            <w:shd w:val="clear" w:color="auto" w:fill="auto"/>
            <w:vAlign w:val="center"/>
            <w:hideMark/>
          </w:tcPr>
          <w:p w14:paraId="73988BF8" w14:textId="77777777" w:rsidR="00E37363" w:rsidRPr="00253ACD" w:rsidRDefault="00E37363" w:rsidP="00B45076">
            <w:pPr>
              <w:spacing w:after="0" w:line="240" w:lineRule="auto"/>
              <w:rPr>
                <w:rFonts w:eastAsia="Times New Roman" w:cstheme="minorHAnsi"/>
                <w:color w:val="000000"/>
                <w:sz w:val="20"/>
                <w:szCs w:val="20"/>
                <w:lang w:eastAsia="en-GB"/>
              </w:rPr>
            </w:pPr>
          </w:p>
        </w:tc>
        <w:tc>
          <w:tcPr>
            <w:tcW w:w="2835" w:type="dxa"/>
            <w:shd w:val="clear" w:color="auto" w:fill="auto"/>
            <w:noWrap/>
            <w:vAlign w:val="center"/>
            <w:hideMark/>
          </w:tcPr>
          <w:p w14:paraId="3E3E8CD3"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Scatter plots</w:t>
            </w:r>
          </w:p>
        </w:tc>
        <w:tc>
          <w:tcPr>
            <w:tcW w:w="4111" w:type="dxa"/>
            <w:shd w:val="clear" w:color="auto" w:fill="auto"/>
            <w:vAlign w:val="center"/>
            <w:hideMark/>
          </w:tcPr>
          <w:p w14:paraId="00AD4B81"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Amit, </w:t>
            </w:r>
            <w:proofErr w:type="spellStart"/>
            <w:r w:rsidRPr="00253ACD">
              <w:rPr>
                <w:rFonts w:eastAsia="Times New Roman" w:cstheme="minorHAnsi"/>
                <w:color w:val="000000"/>
                <w:sz w:val="20"/>
                <w:szCs w:val="20"/>
                <w:lang w:eastAsia="en-GB"/>
              </w:rPr>
              <w:t>Heiberger</w:t>
            </w:r>
            <w:proofErr w:type="spellEnd"/>
            <w:r w:rsidRPr="00253ACD">
              <w:rPr>
                <w:rFonts w:eastAsia="Times New Roman" w:cstheme="minorHAnsi"/>
                <w:color w:val="000000"/>
                <w:sz w:val="20"/>
                <w:szCs w:val="20"/>
                <w:lang w:eastAsia="en-GB"/>
              </w:rPr>
              <w:t xml:space="preserve"> </w:t>
            </w:r>
            <w:r>
              <w:rPr>
                <w:rFonts w:eastAsia="Times New Roman" w:cstheme="minorHAnsi"/>
                <w:color w:val="000000"/>
                <w:sz w:val="20"/>
                <w:szCs w:val="20"/>
                <w:lang w:eastAsia="en-GB"/>
              </w:rPr>
              <w:t>&amp;</w:t>
            </w:r>
            <w:r w:rsidRPr="00253ACD">
              <w:rPr>
                <w:rFonts w:eastAsia="Times New Roman" w:cstheme="minorHAnsi"/>
                <w:color w:val="000000"/>
                <w:sz w:val="20"/>
                <w:szCs w:val="20"/>
                <w:lang w:eastAsia="en-GB"/>
              </w:rPr>
              <w:t xml:space="preserve"> Lane, 2008. Cooper, 2008 also proposed but for pooled trials therefore not eligible for inclusion in this review.</w:t>
            </w:r>
            <w:r>
              <w:rPr>
                <w:rFonts w:eastAsia="Times New Roman" w:cstheme="minorHAnsi"/>
                <w:color w:val="000000"/>
                <w:sz w:val="20"/>
                <w:szCs w:val="20"/>
                <w:lang w:eastAsia="en-GB"/>
              </w:rPr>
              <w:fldChar w:fldCharType="begin">
                <w:fldData xml:space="preserve">PEVuZE5vdGU+PENpdGU+PEF1dGhvcj5Db29wZXI8L0F1dGhvcj48WWVhcj4yMDA4PC9ZZWFyPjxS
ZWNOdW0+MjQ5NTA8L1JlY051bT48RGlzcGxheVRleHQ+PHN0eWxlIGZhY2U9InN1cGVyc2NyaXB0
Ij4zLCA0PC9zdHlsZT48L0Rpc3BsYXlUZXh0PjxyZWNvcmQ+PHJlYy1udW1iZXI+MjQ5NTA8L3Jl
Yy1udW1iZXI+PGZvcmVpZ24ta2V5cz48a2V5IGFwcD0iRU4iIGRiLWlkPSJ6MmY1YTVwdDAyMjJw
OGVzZXN1djU5dG93MHRydHpmcGR4YXciIHRpbWVzdGFtcD0iMTU1MDA1OTY4NyI+MjQ5NTA8L2tl
eT48L2ZvcmVpZ24ta2V5cz48cmVmLXR5cGUgbmFtZT0iSm91cm5hbCBBcnRpY2xlIj4xNzwvcmVm
LXR5cGU+PGNvbnRyaWJ1dG9ycz48YXV0aG9ycz48YXV0aG9yPkNvb3BlciwgQW5kcmV3IEouIFAu
PC9hdXRob3I+PGF1dGhvcj5MZXR0aXMsIFNhbGx5PC9hdXRob3I+PGF1dGhvcj5DaGFwbWFuLCBD
aGFybG90dGUgTC48L2F1dGhvcj48YXV0aG9yPkV2YW5zLCBTdGVwaGVuIEouIFcuPC9hdXRob3I+
PGF1dGhvcj5XYWxsZXIsIFBhdHJpY2sgQy48L2F1dGhvcj48YXV0aG9yPlNoYWtpciwgU2FhZDwv
YXV0aG9yPjxhdXRob3I+UGF5dmFuZGksIE5hc3NyaW48L2F1dGhvcj48YXV0aG9yPk11cnJheSwg
QWxpc29uIEIuPC9hdXRob3I+PC9hdXRob3JzPjwvY29udHJpYnV0b3JzPjx0aXRsZXM+PHRpdGxl
PkRldmVsb3BpbmcgdG9vbHMgZm9yIHRoZSBzYWZldHkgc3BlY2lmaWNhdGlvbiBpbiByaXNrIG1h
bmFnZW1lbnQgcGxhbnM6IGxlc3NvbnMgbGVhcm5lZCBmcm9tIGEgcGlsb3QgcHJvamVjdDwvdGl0
bGU+PHNlY29uZGFyeS10aXRsZT5QaGFybWFjb2VwaWRlbWlvbG9neSBhbmQgRHJ1ZyBTYWZldHk8
L3NlY29uZGFyeS10aXRsZT48L3RpdGxlcz48cGVyaW9kaWNhbD48ZnVsbC10aXRsZT5QaGFybWFj
b2VwaWRlbWlvbG9neSBhbmQgRHJ1ZyBTYWZldHk8L2Z1bGwtdGl0bGU+PC9wZXJpb2RpY2FsPjxw
YWdlcz40NDUtNDU0PC9wYWdlcz48dm9sdW1lPjE3PC92b2x1bWU+PG51bWJlcj41PC9udW1iZXI+
PGRhdGVzPjx5ZWFyPjIwMDg8L3llYXI+PC9kYXRlcz48dXJscz48cmVsYXRlZC11cmxzPjx1cmw+
aHR0cHM6Ly9vbmxpbmVsaWJyYXJ5LndpbGV5LmNvbS9kb2kvYWJzLzEwLjEwMDIvcGRzLjE1NzY8
L3VybD48L3JlbGF0ZWQtdXJscz48L3VybHM+PGVsZWN0cm9uaWMtcmVzb3VyY2UtbnVtPmRvaTox
MC4xMDAyL3Bkcy4xNTc2PC9lbGVjdHJvbmljLXJlc291cmNlLW51bT48L3JlY29yZD48L0NpdGU+
PENpdGU+PEF1dGhvcj5BbWl0PC9BdXRob3I+PFllYXI+MjAwODwvWWVhcj48UmVjTnVtPjE3NTM5
PC9SZWNOdW0+PHJlY29yZD48cmVjLW51bWJlcj4xNzUzOTwvcmVjLW51bWJlcj48Zm9yZWlnbi1r
ZXlzPjxrZXkgYXBwPSJFTiIgZGItaWQ9InoyZjVhNXB0MDIyMnA4ZXNlc3V2NTl0b3cwdHJ0emZw
ZHhhdyIgdGltZXN0YW1wPSIxNTIxMDUwMDY5Ij4xNzUzOTwva2V5PjwvZm9yZWlnbi1rZXlzPjxy
ZWYtdHlwZSBuYW1lPSJKb3VybmFsIEFydGljbGUiPjE3PC9yZWYtdHlwZT48Y29udHJpYnV0b3Jz
PjxhdXRob3JzPjxhdXRob3I+QW1pdCwgTy48L2F1dGhvcj48YXV0aG9yPkhlaWJlcmdlciwgUi4g
TS48L2F1dGhvcj48YXV0aG9yPkxhbmUsIFAuIFcuPC9hdXRob3I+PC9hdXRob3JzPjwvY29udHJp
YnV0b3JzPjxhdXRoLWFkZHJlc3M+KEFtaXQpIE9uY29sb2d5IE1lZGljaW5lIERldmVsb3BtZW50
IENlbnRlciwgR2xheG9TbWl0aEtsaW5lLCBVbml0ZWQgU3RhdGVzIChIZWliZXJnZXIpIERlcGFy
dG1lbnQgb2YgU3RhdGlzdGljcywgVGVtcGxlIFVuaXZlcnNpdHksIFBoaWxhZGVscGhpYSwgUEEs
IFVuaXRlZCBTdGF0ZXMgKExhbmUpIFJlc2VhcmNoIFN0YXRpc3RpY2FsIFVuaXQsIEdsYXhvU21p
dGhLbGluZSwgVW5pdGVkIEtpbmdkb208L2F1dGgtYWRkcmVzcz48dGl0bGVzPjx0aXRsZT5HcmFw
aGljYWwgYXBwcm9hY2hlcyB0byB0aGUgYW5hbHlzaXMgb2Ygc2FmZXR5IGRhdGEgZnJvbSBjbGlu
aWNhbCB0cmlhbHM8L3RpdGxlPjxzZWNvbmRhcnktdGl0bGU+UGhhcm1hY2V1dGljYWwgU3RhdGlz
dGljczwvc2Vjb25kYXJ5LXRpdGxlPjwvdGl0bGVzPjxwZXJpb2RpY2FsPjxmdWxsLXRpdGxlPlBo
YXJtYWNldXRpY2FsIFN0YXRpc3RpY3M8L2Z1bGwtdGl0bGU+PC9wZXJpb2RpY2FsPjxwYWdlcz4y
MC0zNTwvcGFnZXM+PHZvbHVtZT43PC92b2x1bWU+PG51bWJlcj4xPC9udW1iZXI+PGRhdGVzPjx5
ZWFyPjIwMDg8L3llYXI+PHB1Yi1kYXRlcz48ZGF0ZT5KYW51YXJ5L01hcmNoPC9kYXRlPjwvcHVi
LWRhdGVzPjwvZGF0ZXM+PGFjY2Vzc2lvbi1udW0+MzUxMzg1MzIzPC9hY2Nlc3Npb24tbnVtPjx1
cmxzPjxyZWxhdGVkLXVybHM+PHVybD5odHRwOi8vb3ZpZHNwLm92aWQuY29tL292aWR3ZWIuY2dp
P1Q9SlMmYW1wO0NTQz1ZJmFtcDtORVdTPU4mYW1wO1BBR0U9ZnVsbHRleHQmYW1wO0Q9ZW1lZDEx
JmFtcDtBTj0zNTEzODUzMjM8L3VybD48L3JlbGF0ZWQtdXJscz48L3VybHM+PHJlbW90ZS1kYXRh
YmFzZS1uYW1lPkVtYmFzZTwvcmVtb3RlLWRhdGFiYXNlLW5hbWU+PHJlbW90ZS1kYXRhYmFzZS1w
cm92aWRlcj5PdmlkIFRlY2hub2xvZ2llczwvcmVtb3RlLWRhdGFiYXNlLXByb3ZpZGVyPjwvcmVj
b3JkPjwvQ2l0ZT48L0VuZE5vdGU+AG==
</w:fldData>
              </w:fldChar>
            </w:r>
            <w:r>
              <w:rPr>
                <w:rFonts w:eastAsia="Times New Roman" w:cstheme="minorHAnsi"/>
                <w:color w:val="000000"/>
                <w:sz w:val="20"/>
                <w:szCs w:val="20"/>
                <w:lang w:eastAsia="en-GB"/>
              </w:rPr>
              <w:instrText xml:space="preserve"> ADDIN EN.CITE </w:instrText>
            </w:r>
            <w:r>
              <w:rPr>
                <w:rFonts w:eastAsia="Times New Roman" w:cstheme="minorHAnsi"/>
                <w:color w:val="000000"/>
                <w:sz w:val="20"/>
                <w:szCs w:val="20"/>
                <w:lang w:eastAsia="en-GB"/>
              </w:rPr>
              <w:fldChar w:fldCharType="begin">
                <w:fldData xml:space="preserve">PEVuZE5vdGU+PENpdGU+PEF1dGhvcj5Db29wZXI8L0F1dGhvcj48WWVhcj4yMDA4PC9ZZWFyPjxS
ZWNOdW0+MjQ5NTA8L1JlY051bT48RGlzcGxheVRleHQ+PHN0eWxlIGZhY2U9InN1cGVyc2NyaXB0
Ij4zLCA0PC9zdHlsZT48L0Rpc3BsYXlUZXh0PjxyZWNvcmQ+PHJlYy1udW1iZXI+MjQ5NTA8L3Jl
Yy1udW1iZXI+PGZvcmVpZ24ta2V5cz48a2V5IGFwcD0iRU4iIGRiLWlkPSJ6MmY1YTVwdDAyMjJw
OGVzZXN1djU5dG93MHRydHpmcGR4YXciIHRpbWVzdGFtcD0iMTU1MDA1OTY4NyI+MjQ5NTA8L2tl
eT48L2ZvcmVpZ24ta2V5cz48cmVmLXR5cGUgbmFtZT0iSm91cm5hbCBBcnRpY2xlIj4xNzwvcmVm
LXR5cGU+PGNvbnRyaWJ1dG9ycz48YXV0aG9ycz48YXV0aG9yPkNvb3BlciwgQW5kcmV3IEouIFAu
PC9hdXRob3I+PGF1dGhvcj5MZXR0aXMsIFNhbGx5PC9hdXRob3I+PGF1dGhvcj5DaGFwbWFuLCBD
aGFybG90dGUgTC48L2F1dGhvcj48YXV0aG9yPkV2YW5zLCBTdGVwaGVuIEouIFcuPC9hdXRob3I+
PGF1dGhvcj5XYWxsZXIsIFBhdHJpY2sgQy48L2F1dGhvcj48YXV0aG9yPlNoYWtpciwgU2FhZDwv
YXV0aG9yPjxhdXRob3I+UGF5dmFuZGksIE5hc3NyaW48L2F1dGhvcj48YXV0aG9yPk11cnJheSwg
QWxpc29uIEIuPC9hdXRob3I+PC9hdXRob3JzPjwvY29udHJpYnV0b3JzPjx0aXRsZXM+PHRpdGxl
PkRldmVsb3BpbmcgdG9vbHMgZm9yIHRoZSBzYWZldHkgc3BlY2lmaWNhdGlvbiBpbiByaXNrIG1h
bmFnZW1lbnQgcGxhbnM6IGxlc3NvbnMgbGVhcm5lZCBmcm9tIGEgcGlsb3QgcHJvamVjdDwvdGl0
bGU+PHNlY29uZGFyeS10aXRsZT5QaGFybWFjb2VwaWRlbWlvbG9neSBhbmQgRHJ1ZyBTYWZldHk8
L3NlY29uZGFyeS10aXRsZT48L3RpdGxlcz48cGVyaW9kaWNhbD48ZnVsbC10aXRsZT5QaGFybWFj
b2VwaWRlbWlvbG9neSBhbmQgRHJ1ZyBTYWZldHk8L2Z1bGwtdGl0bGU+PC9wZXJpb2RpY2FsPjxw
YWdlcz40NDUtNDU0PC9wYWdlcz48dm9sdW1lPjE3PC92b2x1bWU+PG51bWJlcj41PC9udW1iZXI+
PGRhdGVzPjx5ZWFyPjIwMDg8L3llYXI+PC9kYXRlcz48dXJscz48cmVsYXRlZC11cmxzPjx1cmw+
aHR0cHM6Ly9vbmxpbmVsaWJyYXJ5LndpbGV5LmNvbS9kb2kvYWJzLzEwLjEwMDIvcGRzLjE1NzY8
L3VybD48L3JlbGF0ZWQtdXJscz48L3VybHM+PGVsZWN0cm9uaWMtcmVzb3VyY2UtbnVtPmRvaTox
MC4xMDAyL3Bkcy4xNTc2PC9lbGVjdHJvbmljLXJlc291cmNlLW51bT48L3JlY29yZD48L0NpdGU+
PENpdGU+PEF1dGhvcj5BbWl0PC9BdXRob3I+PFllYXI+MjAwODwvWWVhcj48UmVjTnVtPjE3NTM5
PC9SZWNOdW0+PHJlY29yZD48cmVjLW51bWJlcj4xNzUzOTwvcmVjLW51bWJlcj48Zm9yZWlnbi1r
ZXlzPjxrZXkgYXBwPSJFTiIgZGItaWQ9InoyZjVhNXB0MDIyMnA4ZXNlc3V2NTl0b3cwdHJ0emZw
ZHhhdyIgdGltZXN0YW1wPSIxNTIxMDUwMDY5Ij4xNzUzOTwva2V5PjwvZm9yZWlnbi1rZXlzPjxy
ZWYtdHlwZSBuYW1lPSJKb3VybmFsIEFydGljbGUiPjE3PC9yZWYtdHlwZT48Y29udHJpYnV0b3Jz
PjxhdXRob3JzPjxhdXRob3I+QW1pdCwgTy48L2F1dGhvcj48YXV0aG9yPkhlaWJlcmdlciwgUi4g
TS48L2F1dGhvcj48YXV0aG9yPkxhbmUsIFAuIFcuPC9hdXRob3I+PC9hdXRob3JzPjwvY29udHJp
YnV0b3JzPjxhdXRoLWFkZHJlc3M+KEFtaXQpIE9uY29sb2d5IE1lZGljaW5lIERldmVsb3BtZW50
IENlbnRlciwgR2xheG9TbWl0aEtsaW5lLCBVbml0ZWQgU3RhdGVzIChIZWliZXJnZXIpIERlcGFy
dG1lbnQgb2YgU3RhdGlzdGljcywgVGVtcGxlIFVuaXZlcnNpdHksIFBoaWxhZGVscGhpYSwgUEEs
IFVuaXRlZCBTdGF0ZXMgKExhbmUpIFJlc2VhcmNoIFN0YXRpc3RpY2FsIFVuaXQsIEdsYXhvU21p
dGhLbGluZSwgVW5pdGVkIEtpbmdkb208L2F1dGgtYWRkcmVzcz48dGl0bGVzPjx0aXRsZT5HcmFw
aGljYWwgYXBwcm9hY2hlcyB0byB0aGUgYW5hbHlzaXMgb2Ygc2FmZXR5IGRhdGEgZnJvbSBjbGlu
aWNhbCB0cmlhbHM8L3RpdGxlPjxzZWNvbmRhcnktdGl0bGU+UGhhcm1hY2V1dGljYWwgU3RhdGlz
dGljczwvc2Vjb25kYXJ5LXRpdGxlPjwvdGl0bGVzPjxwZXJpb2RpY2FsPjxmdWxsLXRpdGxlPlBo
YXJtYWNldXRpY2FsIFN0YXRpc3RpY3M8L2Z1bGwtdGl0bGU+PC9wZXJpb2RpY2FsPjxwYWdlcz4y
MC0zNTwvcGFnZXM+PHZvbHVtZT43PC92b2x1bWU+PG51bWJlcj4xPC9udW1iZXI+PGRhdGVzPjx5
ZWFyPjIwMDg8L3llYXI+PHB1Yi1kYXRlcz48ZGF0ZT5KYW51YXJ5L01hcmNoPC9kYXRlPjwvcHVi
LWRhdGVzPjwvZGF0ZXM+PGFjY2Vzc2lvbi1udW0+MzUxMzg1MzIzPC9hY2Nlc3Npb24tbnVtPjx1
cmxzPjxyZWxhdGVkLXVybHM+PHVybD5odHRwOi8vb3ZpZHNwLm92aWQuY29tL292aWR3ZWIuY2dp
P1Q9SlMmYW1wO0NTQz1ZJmFtcDtORVdTPU4mYW1wO1BBR0U9ZnVsbHRleHQmYW1wO0Q9ZW1lZDEx
JmFtcDtBTj0zNTEzODUzMjM8L3VybD48L3JlbGF0ZWQtdXJscz48L3VybHM+PHJlbW90ZS1kYXRh
YmFzZS1uYW1lPkVtYmFzZTwvcmVtb3RlLWRhdGFiYXNlLW5hbWU+PHJlbW90ZS1kYXRhYmFzZS1w
cm92aWRlcj5PdmlkIFRlY2hub2xvZ2llczwvcmVtb3RlLWRhdGFiYXNlLXByb3ZpZGVyPjwvcmVj
b3JkPjwvQ2l0ZT48L0VuZE5vdGU+AG==
</w:fldData>
              </w:fldChar>
            </w:r>
            <w:r>
              <w:rPr>
                <w:rFonts w:eastAsia="Times New Roman" w:cstheme="minorHAnsi"/>
                <w:color w:val="000000"/>
                <w:sz w:val="20"/>
                <w:szCs w:val="20"/>
                <w:lang w:eastAsia="en-GB"/>
              </w:rPr>
              <w:instrText xml:space="preserve"> ADDIN EN.CITE.DATA </w:instrText>
            </w:r>
            <w:r>
              <w:rPr>
                <w:rFonts w:eastAsia="Times New Roman" w:cstheme="minorHAnsi"/>
                <w:color w:val="000000"/>
                <w:sz w:val="20"/>
                <w:szCs w:val="20"/>
                <w:lang w:eastAsia="en-GB"/>
              </w:rPr>
            </w:r>
            <w:r>
              <w:rPr>
                <w:rFonts w:eastAsia="Times New Roman" w:cstheme="minorHAnsi"/>
                <w:color w:val="000000"/>
                <w:sz w:val="20"/>
                <w:szCs w:val="20"/>
                <w:lang w:eastAsia="en-GB"/>
              </w:rPr>
              <w:fldChar w:fldCharType="end"/>
            </w:r>
            <w:r>
              <w:rPr>
                <w:rFonts w:eastAsia="Times New Roman" w:cstheme="minorHAnsi"/>
                <w:color w:val="000000"/>
                <w:sz w:val="20"/>
                <w:szCs w:val="20"/>
                <w:lang w:eastAsia="en-GB"/>
              </w:rPr>
            </w:r>
            <w:r>
              <w:rPr>
                <w:rFonts w:eastAsia="Times New Roman" w:cstheme="minorHAnsi"/>
                <w:color w:val="000000"/>
                <w:sz w:val="20"/>
                <w:szCs w:val="20"/>
                <w:lang w:eastAsia="en-GB"/>
              </w:rPr>
              <w:fldChar w:fldCharType="separate"/>
            </w:r>
            <w:r w:rsidRPr="009A6245">
              <w:rPr>
                <w:rFonts w:eastAsia="Times New Roman" w:cstheme="minorHAnsi"/>
                <w:noProof/>
                <w:color w:val="000000"/>
                <w:sz w:val="20"/>
                <w:szCs w:val="20"/>
                <w:vertAlign w:val="superscript"/>
                <w:lang w:eastAsia="en-GB"/>
              </w:rPr>
              <w:t>3, 4</w:t>
            </w:r>
            <w:r>
              <w:rPr>
                <w:rFonts w:eastAsia="Times New Roman" w:cstheme="minorHAnsi"/>
                <w:color w:val="000000"/>
                <w:sz w:val="20"/>
                <w:szCs w:val="20"/>
                <w:lang w:eastAsia="en-GB"/>
              </w:rPr>
              <w:fldChar w:fldCharType="end"/>
            </w:r>
          </w:p>
        </w:tc>
        <w:tc>
          <w:tcPr>
            <w:tcW w:w="5103" w:type="dxa"/>
            <w:shd w:val="clear" w:color="auto" w:fill="auto"/>
            <w:vAlign w:val="center"/>
            <w:hideMark/>
          </w:tcPr>
          <w:p w14:paraId="133646F8"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Provides a summary of change for </w:t>
            </w:r>
            <w:r>
              <w:rPr>
                <w:rFonts w:eastAsia="Times New Roman" w:cstheme="minorHAnsi"/>
                <w:color w:val="000000"/>
                <w:sz w:val="20"/>
                <w:szCs w:val="20"/>
                <w:lang w:eastAsia="en-GB"/>
              </w:rPr>
              <w:t>individual participants</w:t>
            </w:r>
            <w:r w:rsidRPr="00253ACD">
              <w:rPr>
                <w:rFonts w:eastAsia="Times New Roman" w:cstheme="minorHAnsi"/>
                <w:color w:val="000000"/>
                <w:sz w:val="20"/>
                <w:szCs w:val="20"/>
                <w:lang w:eastAsia="en-GB"/>
              </w:rPr>
              <w:t xml:space="preserve"> over time</w:t>
            </w:r>
          </w:p>
        </w:tc>
      </w:tr>
      <w:tr w:rsidR="00E37363" w:rsidRPr="00253ACD" w14:paraId="7B90C62A" w14:textId="77777777" w:rsidTr="00B45076">
        <w:trPr>
          <w:trHeight w:val="634"/>
        </w:trPr>
        <w:tc>
          <w:tcPr>
            <w:tcW w:w="1127" w:type="dxa"/>
            <w:vMerge/>
            <w:shd w:val="clear" w:color="auto" w:fill="auto"/>
            <w:vAlign w:val="center"/>
            <w:hideMark/>
          </w:tcPr>
          <w:p w14:paraId="43A6C53B" w14:textId="77777777" w:rsidR="00E37363" w:rsidRPr="00253ACD" w:rsidRDefault="00E37363" w:rsidP="00B45076">
            <w:pPr>
              <w:spacing w:after="0" w:line="240" w:lineRule="auto"/>
              <w:rPr>
                <w:rFonts w:eastAsia="Times New Roman" w:cstheme="minorHAnsi"/>
                <w:b/>
                <w:bCs/>
                <w:color w:val="000000"/>
                <w:sz w:val="20"/>
                <w:szCs w:val="20"/>
                <w:lang w:eastAsia="en-GB"/>
              </w:rPr>
            </w:pPr>
          </w:p>
        </w:tc>
        <w:tc>
          <w:tcPr>
            <w:tcW w:w="1420" w:type="dxa"/>
            <w:vMerge/>
            <w:shd w:val="clear" w:color="auto" w:fill="auto"/>
            <w:vAlign w:val="center"/>
            <w:hideMark/>
          </w:tcPr>
          <w:p w14:paraId="6FE9436E" w14:textId="77777777" w:rsidR="00E37363" w:rsidRPr="00253ACD" w:rsidRDefault="00E37363" w:rsidP="00B45076">
            <w:pPr>
              <w:spacing w:after="0" w:line="240" w:lineRule="auto"/>
              <w:rPr>
                <w:rFonts w:eastAsia="Times New Roman" w:cstheme="minorHAnsi"/>
                <w:color w:val="000000"/>
                <w:sz w:val="20"/>
                <w:szCs w:val="20"/>
                <w:lang w:eastAsia="en-GB"/>
              </w:rPr>
            </w:pPr>
          </w:p>
        </w:tc>
        <w:tc>
          <w:tcPr>
            <w:tcW w:w="2835" w:type="dxa"/>
            <w:shd w:val="clear" w:color="auto" w:fill="auto"/>
            <w:vAlign w:val="center"/>
            <w:hideMark/>
          </w:tcPr>
          <w:p w14:paraId="62CCD722"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Scatter plot with regression</w:t>
            </w:r>
          </w:p>
        </w:tc>
        <w:tc>
          <w:tcPr>
            <w:tcW w:w="4111" w:type="dxa"/>
            <w:shd w:val="clear" w:color="auto" w:fill="auto"/>
            <w:noWrap/>
            <w:vAlign w:val="center"/>
            <w:hideMark/>
          </w:tcPr>
          <w:p w14:paraId="67661D13" w14:textId="77777777" w:rsidR="00E37363" w:rsidRPr="00253ACD" w:rsidRDefault="00E37363" w:rsidP="00B45076">
            <w:pPr>
              <w:spacing w:after="0" w:line="240" w:lineRule="auto"/>
              <w:rPr>
                <w:rFonts w:eastAsia="Times New Roman" w:cstheme="minorHAnsi"/>
                <w:color w:val="000000"/>
                <w:sz w:val="20"/>
                <w:szCs w:val="20"/>
                <w:lang w:eastAsia="en-GB"/>
              </w:rPr>
            </w:pPr>
            <w:proofErr w:type="spellStart"/>
            <w:r w:rsidRPr="00253ACD">
              <w:rPr>
                <w:rFonts w:eastAsia="Times New Roman" w:cstheme="minorHAnsi"/>
                <w:color w:val="000000"/>
                <w:sz w:val="20"/>
                <w:szCs w:val="20"/>
                <w:lang w:eastAsia="en-GB"/>
              </w:rPr>
              <w:t>Southworth</w:t>
            </w:r>
            <w:proofErr w:type="spellEnd"/>
            <w:r w:rsidRPr="00253ACD">
              <w:rPr>
                <w:rFonts w:eastAsia="Times New Roman" w:cstheme="minorHAnsi"/>
                <w:color w:val="000000"/>
                <w:sz w:val="20"/>
                <w:szCs w:val="20"/>
                <w:lang w:eastAsia="en-GB"/>
              </w:rPr>
              <w:t>, 2008</w:t>
            </w:r>
            <w:r>
              <w:rPr>
                <w:rFonts w:eastAsia="Times New Roman" w:cstheme="minorHAnsi"/>
                <w:color w:val="000000"/>
                <w:sz w:val="20"/>
                <w:szCs w:val="20"/>
                <w:lang w:eastAsia="en-GB"/>
              </w:rPr>
              <w:t>.</w:t>
            </w:r>
            <w:r>
              <w:rPr>
                <w:rFonts w:eastAsia="Times New Roman" w:cstheme="minorHAnsi"/>
                <w:color w:val="000000"/>
                <w:sz w:val="20"/>
                <w:szCs w:val="20"/>
                <w:lang w:eastAsia="en-GB"/>
              </w:rPr>
              <w:fldChar w:fldCharType="begin"/>
            </w:r>
            <w:r>
              <w:rPr>
                <w:rFonts w:eastAsia="Times New Roman" w:cstheme="minorHAnsi"/>
                <w:color w:val="000000"/>
                <w:sz w:val="20"/>
                <w:szCs w:val="20"/>
                <w:lang w:eastAsia="en-GB"/>
              </w:rPr>
              <w:instrText xml:space="preserve"> ADDIN EN.CITE &lt;EndNote&gt;&lt;Cite&gt;&lt;Author&gt;Southworth&lt;/Author&gt;&lt;Year&gt;2008&lt;/Year&gt;&lt;RecNum&gt;22182&lt;/RecNum&gt;&lt;DisplayText&gt;&lt;style face="superscript"&gt;9&lt;/style&gt;&lt;/DisplayText&gt;&lt;record&gt;&lt;rec-number&gt;22182&lt;/rec-number&gt;&lt;foreign-keys&gt;&lt;key app="EN" db-id="z2f5a5pt0222p8esesuv59tow0trtzfpdxaw" timestamp="1521051147"&gt;22182&lt;/key&gt;&lt;/foreign-keys&gt;&lt;ref-type name="Journal Article"&gt;17&lt;/ref-type&gt;&lt;contributors&gt;&lt;authors&gt;&lt;author&gt;Southworth, H.&lt;/author&gt;&lt;/authors&gt;&lt;/contributors&gt;&lt;auth-address&gt;Southworth, Harry. Clinical Development, AstraZeneca, Alderley Park, Macclesfield, UK. Harry.Southworth@astrazeneca.com&lt;/auth-address&gt;&lt;titles&gt;&lt;title&gt;Detecting outliers in multivariate laboratory data&lt;/title&gt;&lt;secondary-title&gt;Journal of Biopharmaceutical Statistics&lt;/secondary-title&gt;&lt;/titles&gt;&lt;periodical&gt;&lt;full-title&gt;Journal of Biopharmaceutical Statistics&lt;/full-title&gt;&lt;/periodical&gt;&lt;pages&gt;1178-83&lt;/pages&gt;&lt;volume&gt;18&lt;/volume&gt;&lt;number&gt;6&lt;/number&gt;&lt;dates&gt;&lt;year&gt;2008&lt;/year&gt;&lt;/dates&gt;&lt;accession-num&gt;18991115&lt;/accession-num&gt;&lt;urls&gt;&lt;related-urls&gt;&lt;url&gt;http://ovidsp.ovid.com/ovidweb.cgi?T=JS&amp;amp;CSC=Y&amp;amp;NEWS=N&amp;amp;PAGE=fulltext&amp;amp;D=med6&amp;amp;AN=18991115&lt;/url&gt;&lt;/related-urls&gt;&lt;/urls&gt;&lt;remote-database-name&gt;MEDLINE&lt;/remote-database-name&gt;&lt;remote-database-provider&gt;Ovid Technologies&lt;/remote-database-provider&gt;&lt;/record&gt;&lt;/Cite&gt;&lt;/EndNote&gt;</w:instrText>
            </w:r>
            <w:r>
              <w:rPr>
                <w:rFonts w:eastAsia="Times New Roman" w:cstheme="minorHAnsi"/>
                <w:color w:val="000000"/>
                <w:sz w:val="20"/>
                <w:szCs w:val="20"/>
                <w:lang w:eastAsia="en-GB"/>
              </w:rPr>
              <w:fldChar w:fldCharType="separate"/>
            </w:r>
            <w:r w:rsidRPr="009A6245">
              <w:rPr>
                <w:rFonts w:eastAsia="Times New Roman" w:cstheme="minorHAnsi"/>
                <w:noProof/>
                <w:color w:val="000000"/>
                <w:sz w:val="20"/>
                <w:szCs w:val="20"/>
                <w:vertAlign w:val="superscript"/>
                <w:lang w:eastAsia="en-GB"/>
              </w:rPr>
              <w:t>9</w:t>
            </w:r>
            <w:r>
              <w:rPr>
                <w:rFonts w:eastAsia="Times New Roman" w:cstheme="minorHAnsi"/>
                <w:color w:val="000000"/>
                <w:sz w:val="20"/>
                <w:szCs w:val="20"/>
                <w:lang w:eastAsia="en-GB"/>
              </w:rPr>
              <w:fldChar w:fldCharType="end"/>
            </w:r>
            <w:r w:rsidRPr="00253ACD">
              <w:rPr>
                <w:rFonts w:eastAsia="Times New Roman" w:cstheme="minorHAnsi"/>
                <w:color w:val="000000"/>
                <w:sz w:val="20"/>
                <w:szCs w:val="20"/>
                <w:lang w:eastAsia="en-GB"/>
              </w:rPr>
              <w:t xml:space="preserve"> </w:t>
            </w:r>
          </w:p>
        </w:tc>
        <w:tc>
          <w:tcPr>
            <w:tcW w:w="5103" w:type="dxa"/>
            <w:shd w:val="clear" w:color="auto" w:fill="auto"/>
            <w:vAlign w:val="center"/>
            <w:hideMark/>
          </w:tcPr>
          <w:p w14:paraId="5376470E"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Provides a summary of change for </w:t>
            </w:r>
            <w:r>
              <w:rPr>
                <w:rFonts w:eastAsia="Times New Roman" w:cstheme="minorHAnsi"/>
                <w:color w:val="000000"/>
                <w:sz w:val="20"/>
                <w:szCs w:val="20"/>
                <w:lang w:eastAsia="en-GB"/>
              </w:rPr>
              <w:t>individual participants</w:t>
            </w:r>
            <w:r w:rsidRPr="00253ACD">
              <w:rPr>
                <w:rFonts w:eastAsia="Times New Roman" w:cstheme="minorHAnsi"/>
                <w:color w:val="000000"/>
                <w:sz w:val="20"/>
                <w:szCs w:val="20"/>
                <w:lang w:eastAsia="en-GB"/>
              </w:rPr>
              <w:t xml:space="preserve"> over time highlighting any outliers</w:t>
            </w:r>
          </w:p>
        </w:tc>
      </w:tr>
      <w:tr w:rsidR="00E37363" w:rsidRPr="00253ACD" w14:paraId="33E46F7A" w14:textId="77777777" w:rsidTr="00B45076">
        <w:trPr>
          <w:trHeight w:val="300"/>
        </w:trPr>
        <w:tc>
          <w:tcPr>
            <w:tcW w:w="1127" w:type="dxa"/>
            <w:vMerge/>
            <w:shd w:val="clear" w:color="auto" w:fill="auto"/>
            <w:vAlign w:val="center"/>
            <w:hideMark/>
          </w:tcPr>
          <w:p w14:paraId="7C0F308A" w14:textId="77777777" w:rsidR="00E37363" w:rsidRPr="00253ACD" w:rsidRDefault="00E37363" w:rsidP="00B45076">
            <w:pPr>
              <w:spacing w:after="0" w:line="240" w:lineRule="auto"/>
              <w:rPr>
                <w:rFonts w:eastAsia="Times New Roman" w:cstheme="minorHAnsi"/>
                <w:b/>
                <w:bCs/>
                <w:color w:val="000000"/>
                <w:sz w:val="20"/>
                <w:szCs w:val="20"/>
                <w:lang w:eastAsia="en-GB"/>
              </w:rPr>
            </w:pPr>
          </w:p>
        </w:tc>
        <w:tc>
          <w:tcPr>
            <w:tcW w:w="1420" w:type="dxa"/>
            <w:vMerge/>
            <w:shd w:val="clear" w:color="auto" w:fill="auto"/>
            <w:vAlign w:val="center"/>
            <w:hideMark/>
          </w:tcPr>
          <w:p w14:paraId="6DC624ED" w14:textId="77777777" w:rsidR="00E37363" w:rsidRPr="00253ACD" w:rsidRDefault="00E37363" w:rsidP="00B45076">
            <w:pPr>
              <w:spacing w:after="0" w:line="240" w:lineRule="auto"/>
              <w:rPr>
                <w:rFonts w:eastAsia="Times New Roman" w:cstheme="minorHAnsi"/>
                <w:color w:val="000000"/>
                <w:sz w:val="20"/>
                <w:szCs w:val="20"/>
                <w:lang w:eastAsia="en-GB"/>
              </w:rPr>
            </w:pPr>
          </w:p>
        </w:tc>
        <w:tc>
          <w:tcPr>
            <w:tcW w:w="2835" w:type="dxa"/>
            <w:shd w:val="clear" w:color="auto" w:fill="auto"/>
            <w:noWrap/>
            <w:vAlign w:val="center"/>
            <w:hideMark/>
          </w:tcPr>
          <w:p w14:paraId="65838F9B"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Delta</w:t>
            </w:r>
          </w:p>
        </w:tc>
        <w:tc>
          <w:tcPr>
            <w:tcW w:w="4111" w:type="dxa"/>
            <w:shd w:val="clear" w:color="auto" w:fill="auto"/>
            <w:noWrap/>
            <w:vAlign w:val="center"/>
            <w:hideMark/>
          </w:tcPr>
          <w:p w14:paraId="032922BA"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Chuang-Stein, Le </w:t>
            </w:r>
            <w:r>
              <w:rPr>
                <w:rFonts w:eastAsia="Times New Roman" w:cstheme="minorHAnsi"/>
                <w:color w:val="000000"/>
                <w:sz w:val="20"/>
                <w:szCs w:val="20"/>
                <w:lang w:eastAsia="en-GB"/>
              </w:rPr>
              <w:t>&amp;</w:t>
            </w:r>
            <w:r w:rsidRPr="00253ACD">
              <w:rPr>
                <w:rFonts w:eastAsia="Times New Roman" w:cstheme="minorHAnsi"/>
                <w:color w:val="000000"/>
                <w:sz w:val="20"/>
                <w:szCs w:val="20"/>
                <w:lang w:eastAsia="en-GB"/>
              </w:rPr>
              <w:t xml:space="preserve"> Chen, 2001</w:t>
            </w:r>
            <w:r>
              <w:rPr>
                <w:rFonts w:eastAsia="Times New Roman" w:cstheme="minorHAnsi"/>
                <w:color w:val="000000"/>
                <w:sz w:val="20"/>
                <w:szCs w:val="20"/>
                <w:lang w:eastAsia="en-GB"/>
              </w:rPr>
              <w:t>.</w:t>
            </w:r>
            <w:r>
              <w:rPr>
                <w:rFonts w:eastAsia="Times New Roman" w:cstheme="minorHAnsi"/>
                <w:color w:val="000000"/>
                <w:sz w:val="20"/>
                <w:szCs w:val="20"/>
                <w:lang w:eastAsia="en-GB"/>
              </w:rPr>
              <w:fldChar w:fldCharType="begin"/>
            </w:r>
            <w:r>
              <w:rPr>
                <w:rFonts w:eastAsia="Times New Roman" w:cstheme="minorHAnsi"/>
                <w:color w:val="000000"/>
                <w:sz w:val="20"/>
                <w:szCs w:val="20"/>
                <w:lang w:eastAsia="en-GB"/>
              </w:rPr>
              <w:instrText xml:space="preserve"> ADDIN EN.CITE &lt;EndNote&gt;&lt;Cite&gt;&lt;Author&gt;Chuang-Stein&lt;/Author&gt;&lt;Year&gt;2001&lt;/Year&gt;&lt;RecNum&gt;24902&lt;/RecNum&gt;&lt;DisplayText&gt;&lt;style face="superscript"&gt;7&lt;/style&gt;&lt;/DisplayText&gt;&lt;record&gt;&lt;rec-number&gt;24902&lt;/rec-number&gt;&lt;foreign-keys&gt;&lt;key app="EN" db-id="z2f5a5pt0222p8esesuv59tow0trtzfpdxaw" timestamp="1528469152"&gt;24902&lt;/key&gt;&lt;/foreign-keys&gt;&lt;ref-type name="Journal Article"&gt;17&lt;/ref-type&gt;&lt;contributors&gt;&lt;authors&gt;&lt;author&gt;Chuang-Stein, Christy&lt;/author&gt;&lt;author&gt;Le, Vu&lt;/author&gt;&lt;author&gt;Chen, William&lt;/author&gt;&lt;/authors&gt;&lt;/contributors&gt;&lt;titles&gt;&lt;title&gt;Recent Advancements in the Analysis and Presentation of Safety Data&lt;/title&gt;&lt;secondary-title&gt;Drug Information Journal&lt;/secondary-title&gt;&lt;/titles&gt;&lt;periodical&gt;&lt;full-title&gt;Drug Information Journal&lt;/full-title&gt;&lt;/periodical&gt;&lt;pages&gt;377-397&lt;/pages&gt;&lt;volume&gt;35&lt;/volume&gt;&lt;number&gt;2&lt;/number&gt;&lt;keywords&gt;&lt;keyword&gt;Baseline diagnostic plot,Delta plot,Distribution plot,Empirical Bayes estimate,Hazard function plot,Patient timeline summary&lt;/keyword&gt;&lt;/keywords&gt;&lt;dates&gt;&lt;year&gt;2001&lt;/year&gt;&lt;/dates&gt;&lt;urls&gt;&lt;related-urls&gt;&lt;url&gt;http://journals.sagepub.com/doi/abs/10.1177/009286150103500207&lt;/url&gt;&lt;/related-urls&gt;&lt;/urls&gt;&lt;electronic-resource-num&gt;10.1177/009286150103500207&lt;/electronic-resource-num&gt;&lt;/record&gt;&lt;/Cite&gt;&lt;/EndNote&gt;</w:instrText>
            </w:r>
            <w:r>
              <w:rPr>
                <w:rFonts w:eastAsia="Times New Roman" w:cstheme="minorHAnsi"/>
                <w:color w:val="000000"/>
                <w:sz w:val="20"/>
                <w:szCs w:val="20"/>
                <w:lang w:eastAsia="en-GB"/>
              </w:rPr>
              <w:fldChar w:fldCharType="separate"/>
            </w:r>
            <w:r w:rsidRPr="009A6245">
              <w:rPr>
                <w:rFonts w:eastAsia="Times New Roman" w:cstheme="minorHAnsi"/>
                <w:noProof/>
                <w:color w:val="000000"/>
                <w:sz w:val="20"/>
                <w:szCs w:val="20"/>
                <w:vertAlign w:val="superscript"/>
                <w:lang w:eastAsia="en-GB"/>
              </w:rPr>
              <w:t>7</w:t>
            </w:r>
            <w:r>
              <w:rPr>
                <w:rFonts w:eastAsia="Times New Roman" w:cstheme="minorHAnsi"/>
                <w:color w:val="000000"/>
                <w:sz w:val="20"/>
                <w:szCs w:val="20"/>
                <w:lang w:eastAsia="en-GB"/>
              </w:rPr>
              <w:fldChar w:fldCharType="end"/>
            </w:r>
            <w:r w:rsidRPr="00253ACD">
              <w:rPr>
                <w:rFonts w:eastAsia="Times New Roman" w:cstheme="minorHAnsi"/>
                <w:color w:val="000000"/>
                <w:sz w:val="20"/>
                <w:szCs w:val="20"/>
                <w:lang w:eastAsia="en-GB"/>
              </w:rPr>
              <w:t xml:space="preserve"> </w:t>
            </w:r>
          </w:p>
        </w:tc>
        <w:tc>
          <w:tcPr>
            <w:tcW w:w="5103" w:type="dxa"/>
            <w:shd w:val="clear" w:color="auto" w:fill="auto"/>
            <w:vAlign w:val="center"/>
            <w:hideMark/>
          </w:tcPr>
          <w:p w14:paraId="5C25DEE2"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Display individual </w:t>
            </w:r>
            <w:r>
              <w:rPr>
                <w:rFonts w:eastAsia="Times New Roman" w:cstheme="minorHAnsi"/>
                <w:color w:val="000000"/>
                <w:sz w:val="20"/>
                <w:szCs w:val="20"/>
                <w:lang w:eastAsia="en-GB"/>
              </w:rPr>
              <w:t>participant</w:t>
            </w:r>
            <w:r w:rsidRPr="00253ACD">
              <w:rPr>
                <w:rFonts w:eastAsia="Times New Roman" w:cstheme="minorHAnsi"/>
                <w:color w:val="000000"/>
                <w:sz w:val="20"/>
                <w:szCs w:val="20"/>
                <w:lang w:eastAsia="en-GB"/>
              </w:rPr>
              <w:t xml:space="preserve"> changes</w:t>
            </w:r>
          </w:p>
        </w:tc>
      </w:tr>
      <w:tr w:rsidR="00E37363" w:rsidRPr="00253ACD" w14:paraId="7742E533" w14:textId="77777777" w:rsidTr="00B45076">
        <w:trPr>
          <w:trHeight w:val="251"/>
        </w:trPr>
        <w:tc>
          <w:tcPr>
            <w:tcW w:w="1127" w:type="dxa"/>
            <w:vMerge/>
            <w:shd w:val="clear" w:color="auto" w:fill="auto"/>
            <w:vAlign w:val="center"/>
            <w:hideMark/>
          </w:tcPr>
          <w:p w14:paraId="5D9570F6" w14:textId="77777777" w:rsidR="00E37363" w:rsidRPr="00253ACD" w:rsidRDefault="00E37363" w:rsidP="00B45076">
            <w:pPr>
              <w:spacing w:after="0" w:line="240" w:lineRule="auto"/>
              <w:rPr>
                <w:rFonts w:eastAsia="Times New Roman" w:cstheme="minorHAnsi"/>
                <w:b/>
                <w:bCs/>
                <w:color w:val="000000"/>
                <w:sz w:val="20"/>
                <w:szCs w:val="20"/>
                <w:lang w:eastAsia="en-GB"/>
              </w:rPr>
            </w:pPr>
          </w:p>
        </w:tc>
        <w:tc>
          <w:tcPr>
            <w:tcW w:w="1420" w:type="dxa"/>
            <w:vMerge/>
            <w:shd w:val="clear" w:color="auto" w:fill="auto"/>
            <w:vAlign w:val="center"/>
            <w:hideMark/>
          </w:tcPr>
          <w:p w14:paraId="491B7ECF" w14:textId="77777777" w:rsidR="00E37363" w:rsidRPr="00253ACD" w:rsidRDefault="00E37363" w:rsidP="00B45076">
            <w:pPr>
              <w:spacing w:after="0" w:line="240" w:lineRule="auto"/>
              <w:rPr>
                <w:rFonts w:eastAsia="Times New Roman" w:cstheme="minorHAnsi"/>
                <w:color w:val="000000"/>
                <w:sz w:val="20"/>
                <w:szCs w:val="20"/>
                <w:lang w:eastAsia="en-GB"/>
              </w:rPr>
            </w:pPr>
          </w:p>
        </w:tc>
        <w:tc>
          <w:tcPr>
            <w:tcW w:w="2835" w:type="dxa"/>
            <w:shd w:val="clear" w:color="auto" w:fill="auto"/>
            <w:noWrap/>
            <w:vAlign w:val="center"/>
            <w:hideMark/>
          </w:tcPr>
          <w:p w14:paraId="3EDCA530"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Vector plots</w:t>
            </w:r>
          </w:p>
        </w:tc>
        <w:tc>
          <w:tcPr>
            <w:tcW w:w="4111" w:type="dxa"/>
            <w:shd w:val="clear" w:color="auto" w:fill="auto"/>
            <w:noWrap/>
            <w:vAlign w:val="center"/>
            <w:hideMark/>
          </w:tcPr>
          <w:p w14:paraId="31BA020C" w14:textId="77777777" w:rsidR="00E37363" w:rsidRPr="00253ACD" w:rsidRDefault="00E37363" w:rsidP="00B45076">
            <w:pPr>
              <w:spacing w:after="0" w:line="240" w:lineRule="auto"/>
              <w:rPr>
                <w:rFonts w:eastAsia="Times New Roman" w:cstheme="minorHAnsi"/>
                <w:color w:val="000000"/>
                <w:sz w:val="20"/>
                <w:szCs w:val="20"/>
                <w:lang w:eastAsia="en-GB"/>
              </w:rPr>
            </w:pPr>
            <w:proofErr w:type="spellStart"/>
            <w:r w:rsidRPr="00253ACD">
              <w:rPr>
                <w:rFonts w:eastAsia="Times New Roman" w:cstheme="minorHAnsi"/>
                <w:color w:val="000000"/>
                <w:sz w:val="20"/>
                <w:szCs w:val="20"/>
                <w:lang w:eastAsia="en-GB"/>
              </w:rPr>
              <w:t>Trost</w:t>
            </w:r>
            <w:proofErr w:type="spellEnd"/>
            <w:r w:rsidRPr="00253ACD">
              <w:rPr>
                <w:rFonts w:eastAsia="Times New Roman" w:cstheme="minorHAnsi"/>
                <w:color w:val="000000"/>
                <w:sz w:val="20"/>
                <w:szCs w:val="20"/>
                <w:lang w:eastAsia="en-GB"/>
              </w:rPr>
              <w:t xml:space="preserve"> </w:t>
            </w:r>
            <w:r>
              <w:rPr>
                <w:rFonts w:eastAsia="Times New Roman" w:cstheme="minorHAnsi"/>
                <w:color w:val="000000"/>
                <w:sz w:val="20"/>
                <w:szCs w:val="20"/>
                <w:lang w:eastAsia="en-GB"/>
              </w:rPr>
              <w:t>&amp;</w:t>
            </w:r>
            <w:r w:rsidRPr="00253ACD">
              <w:rPr>
                <w:rFonts w:eastAsia="Times New Roman" w:cstheme="minorHAnsi"/>
                <w:color w:val="000000"/>
                <w:sz w:val="20"/>
                <w:szCs w:val="20"/>
                <w:lang w:eastAsia="en-GB"/>
              </w:rPr>
              <w:t xml:space="preserve"> </w:t>
            </w:r>
            <w:proofErr w:type="spellStart"/>
            <w:r w:rsidRPr="00253ACD">
              <w:rPr>
                <w:rFonts w:eastAsia="Times New Roman" w:cstheme="minorHAnsi"/>
                <w:color w:val="000000"/>
                <w:sz w:val="20"/>
                <w:szCs w:val="20"/>
                <w:lang w:eastAsia="en-GB"/>
              </w:rPr>
              <w:t>Freston</w:t>
            </w:r>
            <w:proofErr w:type="spellEnd"/>
            <w:r w:rsidRPr="00253ACD">
              <w:rPr>
                <w:rFonts w:eastAsia="Times New Roman" w:cstheme="minorHAnsi"/>
                <w:color w:val="000000"/>
                <w:sz w:val="20"/>
                <w:szCs w:val="20"/>
                <w:lang w:eastAsia="en-GB"/>
              </w:rPr>
              <w:t>, 2008</w:t>
            </w:r>
            <w:r>
              <w:rPr>
                <w:rFonts w:eastAsia="Times New Roman" w:cstheme="minorHAnsi"/>
                <w:color w:val="000000"/>
                <w:sz w:val="20"/>
                <w:szCs w:val="20"/>
                <w:lang w:eastAsia="en-GB"/>
              </w:rPr>
              <w:t>.</w:t>
            </w:r>
            <w:r>
              <w:rPr>
                <w:rFonts w:eastAsia="Times New Roman" w:cstheme="minorHAnsi"/>
                <w:color w:val="000000"/>
                <w:sz w:val="20"/>
                <w:szCs w:val="20"/>
                <w:lang w:eastAsia="en-GB"/>
              </w:rPr>
              <w:fldChar w:fldCharType="begin"/>
            </w:r>
            <w:r>
              <w:rPr>
                <w:rFonts w:eastAsia="Times New Roman" w:cstheme="minorHAnsi"/>
                <w:color w:val="000000"/>
                <w:sz w:val="20"/>
                <w:szCs w:val="20"/>
                <w:lang w:eastAsia="en-GB"/>
              </w:rPr>
              <w:instrText xml:space="preserve"> ADDIN EN.CITE &lt;EndNote&gt;&lt;Cite&gt;&lt;Author&gt;Trost&lt;/Author&gt;&lt;Year&gt;2008&lt;/Year&gt;&lt;RecNum&gt;8958&lt;/RecNum&gt;&lt;DisplayText&gt;&lt;style face="superscript"&gt;10&lt;/style&gt;&lt;/DisplayText&gt;&lt;record&gt;&lt;rec-number&gt;8958&lt;/rec-number&gt;&lt;foreign-keys&gt;&lt;key app="EN" db-id="z2f5a5pt0222p8esesuv59tow0trtzfpdxaw" timestamp="1521047394"&gt;8958&lt;/key&gt;&lt;/foreign-keys&gt;&lt;ref-type name="Journal Article"&gt;17&lt;/ref-type&gt;&lt;contributors&gt;&lt;authors&gt;&lt;author&gt;Trost, D. C.&lt;/author&gt;&lt;author&gt;Freston, J. W.&lt;/author&gt;&lt;/authors&gt;&lt;/contributors&gt;&lt;auth-address&gt;Translational and Molecular Medicine, Pfizer Global Research and Development, Groton, Connecticut, United States&amp;#xD;Ingelheim Chair of Clinical Pharmacology, University of Connecticut Health Center, Farmington, Connecticut, United States&lt;/auth-address&gt;&lt;titles&gt;&lt;title&gt;Vector Analysis to Detect Hepatotoxicity Signals in Drug Development&lt;/title&gt;&lt;secondary-title&gt;Therapeutic Innovation &amp;amp; Regulatory Science&lt;/secondary-title&gt;&lt;alt-title&gt;Ther. Innov. Regul. Sci.&lt;/alt-title&gt;&lt;/titles&gt;&lt;periodical&gt;&lt;full-title&gt;Therapeutic Innovation &amp;amp; Regulatory Science&lt;/full-title&gt;&lt;/periodical&gt;&lt;pages&gt;27-34&lt;/pages&gt;&lt;volume&gt;42&lt;/volume&gt;&lt;number&gt;1&lt;/number&gt;&lt;keywords&gt;&lt;keyword&gt;Adverse events&lt;/keyword&gt;&lt;keyword&gt;Hepatotoxicity&lt;/keyword&gt;&lt;keyword&gt;Liver cell injury&lt;/keyword&gt;&lt;keyword&gt;Pathodynamics&lt;/keyword&gt;&lt;keyword&gt;Vector analysis&lt;/keyword&gt;&lt;/keywords&gt;&lt;dates&gt;&lt;year&gt;2008&lt;/year&gt;&lt;/dates&gt;&lt;isbn&gt;21684790 (ISSN)&lt;/isbn&gt;&lt;work-type&gt;Article&lt;/work-type&gt;&lt;urls&gt;&lt;related-urls&gt;&lt;url&gt;https://www.scopus.com/inward/record.uri?eid=2-s2.0-84996198400&amp;amp;doi=10.1177%2f009286150804200106&amp;amp;partnerID=40&amp;amp;md5=cb055b00b0a7332f3a267f6555943b31&lt;/url&gt;&lt;/related-urls&gt;&lt;/urls&gt;&lt;electronic-resource-num&gt;10.1177/009286150804200106&lt;/electronic-resource-num&gt;&lt;remote-database-name&gt;Scopus&lt;/remote-database-name&gt;&lt;language&gt;English&lt;/language&gt;&lt;/record&gt;&lt;/Cite&gt;&lt;/EndNote&gt;</w:instrText>
            </w:r>
            <w:r>
              <w:rPr>
                <w:rFonts w:eastAsia="Times New Roman" w:cstheme="minorHAnsi"/>
                <w:color w:val="000000"/>
                <w:sz w:val="20"/>
                <w:szCs w:val="20"/>
                <w:lang w:eastAsia="en-GB"/>
              </w:rPr>
              <w:fldChar w:fldCharType="separate"/>
            </w:r>
            <w:r w:rsidRPr="009A6245">
              <w:rPr>
                <w:rFonts w:eastAsia="Times New Roman" w:cstheme="minorHAnsi"/>
                <w:noProof/>
                <w:color w:val="000000"/>
                <w:sz w:val="20"/>
                <w:szCs w:val="20"/>
                <w:vertAlign w:val="superscript"/>
                <w:lang w:eastAsia="en-GB"/>
              </w:rPr>
              <w:t>10</w:t>
            </w:r>
            <w:r>
              <w:rPr>
                <w:rFonts w:eastAsia="Times New Roman" w:cstheme="minorHAnsi"/>
                <w:color w:val="000000"/>
                <w:sz w:val="20"/>
                <w:szCs w:val="20"/>
                <w:lang w:eastAsia="en-GB"/>
              </w:rPr>
              <w:fldChar w:fldCharType="end"/>
            </w:r>
            <w:r w:rsidRPr="00253ACD">
              <w:rPr>
                <w:rFonts w:eastAsia="Times New Roman" w:cstheme="minorHAnsi"/>
                <w:color w:val="000000"/>
                <w:sz w:val="20"/>
                <w:szCs w:val="20"/>
                <w:lang w:eastAsia="en-GB"/>
              </w:rPr>
              <w:t xml:space="preserve"> </w:t>
            </w:r>
          </w:p>
        </w:tc>
        <w:tc>
          <w:tcPr>
            <w:tcW w:w="5103" w:type="dxa"/>
            <w:shd w:val="clear" w:color="auto" w:fill="auto"/>
            <w:vAlign w:val="center"/>
            <w:hideMark/>
          </w:tcPr>
          <w:p w14:paraId="47ED5782"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Simultaneously displays individual </w:t>
            </w:r>
            <w:r>
              <w:rPr>
                <w:rFonts w:eastAsia="Times New Roman" w:cstheme="minorHAnsi"/>
                <w:color w:val="000000"/>
                <w:sz w:val="20"/>
                <w:szCs w:val="20"/>
                <w:lang w:eastAsia="en-GB"/>
              </w:rPr>
              <w:t>participant</w:t>
            </w:r>
            <w:r w:rsidRPr="00253ACD">
              <w:rPr>
                <w:rFonts w:eastAsia="Times New Roman" w:cstheme="minorHAnsi"/>
                <w:color w:val="000000"/>
                <w:sz w:val="20"/>
                <w:szCs w:val="20"/>
                <w:lang w:eastAsia="en-GB"/>
              </w:rPr>
              <w:t xml:space="preserve"> changes across three laboratory values </w:t>
            </w:r>
          </w:p>
        </w:tc>
      </w:tr>
      <w:tr w:rsidR="00E37363" w:rsidRPr="00253ACD" w14:paraId="491F4AE1" w14:textId="77777777" w:rsidTr="00B45076">
        <w:trPr>
          <w:trHeight w:val="599"/>
        </w:trPr>
        <w:tc>
          <w:tcPr>
            <w:tcW w:w="1127" w:type="dxa"/>
            <w:vMerge/>
            <w:shd w:val="clear" w:color="auto" w:fill="auto"/>
            <w:vAlign w:val="center"/>
            <w:hideMark/>
          </w:tcPr>
          <w:p w14:paraId="5C5FC099" w14:textId="77777777" w:rsidR="00E37363" w:rsidRPr="00253ACD" w:rsidRDefault="00E37363" w:rsidP="00B45076">
            <w:pPr>
              <w:spacing w:after="0" w:line="240" w:lineRule="auto"/>
              <w:rPr>
                <w:rFonts w:eastAsia="Times New Roman" w:cstheme="minorHAnsi"/>
                <w:b/>
                <w:bCs/>
                <w:color w:val="000000"/>
                <w:sz w:val="20"/>
                <w:szCs w:val="20"/>
                <w:lang w:eastAsia="en-GB"/>
              </w:rPr>
            </w:pPr>
          </w:p>
        </w:tc>
        <w:tc>
          <w:tcPr>
            <w:tcW w:w="1420" w:type="dxa"/>
            <w:vMerge/>
            <w:shd w:val="clear" w:color="auto" w:fill="auto"/>
            <w:vAlign w:val="center"/>
            <w:hideMark/>
          </w:tcPr>
          <w:p w14:paraId="606C9D26" w14:textId="77777777" w:rsidR="00E37363" w:rsidRPr="00253ACD" w:rsidRDefault="00E37363" w:rsidP="00B45076">
            <w:pPr>
              <w:spacing w:after="0" w:line="240" w:lineRule="auto"/>
              <w:rPr>
                <w:rFonts w:eastAsia="Times New Roman" w:cstheme="minorHAnsi"/>
                <w:color w:val="000000"/>
                <w:sz w:val="20"/>
                <w:szCs w:val="20"/>
                <w:lang w:eastAsia="en-GB"/>
              </w:rPr>
            </w:pPr>
          </w:p>
        </w:tc>
        <w:tc>
          <w:tcPr>
            <w:tcW w:w="2835" w:type="dxa"/>
            <w:shd w:val="clear" w:color="auto" w:fill="auto"/>
            <w:noWrap/>
            <w:vAlign w:val="center"/>
            <w:hideMark/>
          </w:tcPr>
          <w:p w14:paraId="41D5A667"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e-Dish</w:t>
            </w:r>
          </w:p>
        </w:tc>
        <w:tc>
          <w:tcPr>
            <w:tcW w:w="4111" w:type="dxa"/>
            <w:shd w:val="clear" w:color="auto" w:fill="auto"/>
            <w:noWrap/>
            <w:vAlign w:val="center"/>
            <w:hideMark/>
          </w:tcPr>
          <w:p w14:paraId="3C5D90F7" w14:textId="77777777" w:rsidR="00E37363" w:rsidRPr="00253ACD" w:rsidRDefault="00E37363" w:rsidP="00B45076">
            <w:pPr>
              <w:spacing w:after="0" w:line="240" w:lineRule="auto"/>
              <w:rPr>
                <w:rFonts w:eastAsia="Times New Roman" w:cstheme="minorHAnsi"/>
                <w:color w:val="000000"/>
                <w:sz w:val="20"/>
                <w:szCs w:val="20"/>
                <w:lang w:eastAsia="en-GB"/>
              </w:rPr>
            </w:pPr>
            <w:r>
              <w:rPr>
                <w:rFonts w:eastAsia="Times New Roman" w:cstheme="minorHAnsi"/>
                <w:color w:val="000000"/>
                <w:sz w:val="20"/>
                <w:szCs w:val="20"/>
                <w:lang w:eastAsia="en-GB"/>
              </w:rPr>
              <w:t>Chuang-Stein &amp; Xia,</w:t>
            </w:r>
            <w:r w:rsidRPr="00253ACD">
              <w:rPr>
                <w:rFonts w:eastAsia="Times New Roman" w:cstheme="minorHAnsi"/>
                <w:color w:val="000000"/>
                <w:sz w:val="20"/>
                <w:szCs w:val="20"/>
                <w:lang w:eastAsia="en-GB"/>
              </w:rPr>
              <w:t xml:space="preserve"> 2013</w:t>
            </w:r>
            <w:r>
              <w:rPr>
                <w:rFonts w:eastAsia="Times New Roman" w:cstheme="minorHAnsi"/>
                <w:color w:val="000000"/>
                <w:sz w:val="20"/>
                <w:szCs w:val="20"/>
                <w:lang w:eastAsia="en-GB"/>
              </w:rPr>
              <w:t>.</w:t>
            </w:r>
            <w:r>
              <w:rPr>
                <w:rFonts w:eastAsia="Times New Roman" w:cstheme="minorHAnsi"/>
                <w:color w:val="000000"/>
                <w:sz w:val="20"/>
                <w:szCs w:val="20"/>
                <w:lang w:eastAsia="en-GB"/>
              </w:rPr>
              <w:fldChar w:fldCharType="begin">
                <w:fldData xml:space="preserve">PEVuZE5vdGU+PENpdGU+PEF1dGhvcj5DaHVhbmctU3RlaW48L0F1dGhvcj48WWVhcj4yMDEzPC9Z
ZWFyPjxSZWNOdW0+ODU3OTwvUmVjTnVtPjxEaXNwbGF5VGV4dD48c3R5bGUgZmFjZT0ic3VwZXJz
Y3JpcHQiPjY8L3N0eWxlPjwvRGlzcGxheVRleHQ+PHJlY29yZD48cmVjLW51bWJlcj44NTc5PC9y
ZWMtbnVtYmVyPjxmb3JlaWduLWtleXM+PGtleSBhcHA9IkVOIiBkYi1pZD0iejJmNWE1cHQwMjIy
cDhlc2VzdXY1OXRvdzB0cnR6ZnBkeGF3IiB0aW1lc3RhbXA9IjE1MjEwNDczOTAiPjg1Nzk8L2tl
eT48L2ZvcmVpZ24ta2V5cz48cmVmLXR5cGUgbmFtZT0iSm91cm5hbCBBcnRpY2xlIj4xNzwvcmVm
LXR5cGU+PGNvbnRyaWJ1dG9ycz48YXV0aG9ycz48YXV0aG9yPkNodWFuZy1TdGVpbiwgQy48L2F1
dGhvcj48YXV0aG9yPlhpYSwgSC4gQS48L2F1dGhvcj48L2F1dGhvcnM+PC9jb250cmlidXRvcnM+
PGF1dGgtYWRkcmVzcz5TdGF0aXN0aWNhbCBSZXNlYXJjaCBhbmQgQ29uc3VsdGluZyBDZW50ZXIg
UGZpemVyIEluYy4sIDU4NTcgU3RvbmV5IEJyb29rIFJvYWQsIEthbGFtYXpvbywgTUkgNDkwMDks
IFVuaXRlZCBTdGF0ZXMmI3hEO0dsb2JhbCBCaW9zdGF0aXN0aWNhbCBTY2llbmNlcyBBbWdlbiwg
SW5jLiwgVGhvdXNhbmQgT2FrcywgQ0EsIFVuaXRlZCBTdGF0ZXM8L2F1dGgtYWRkcmVzcz48dGl0
bGVzPjx0aXRsZT5UaGUgcHJhY3RpY2Ugb2YgcHJlLW1hcmtldGluZyBzYWZldHkgYXNzZXNzbWVu
dCBpbiBkcnVnIGRldmVsb3BtZW50PC90aXRsZT48c2Vjb25kYXJ5LXRpdGxlPkpvdXJuYWwgb2Yg
QmlvcGhhcm1hY2V1dGljYWwgU3RhdGlzdGljczwvc2Vjb25kYXJ5LXRpdGxlPjxhbHQtdGl0bGU+
Si4gQmlvcGhhcm0uIFN0YXQuPC9hbHQtdGl0bGU+PC90aXRsZXM+PHBlcmlvZGljYWw+PGZ1bGwt
dGl0bGU+Sm91cm5hbCBvZiBCaW9waGFybWFjZXV0aWNhbCBTdGF0aXN0aWNzPC9mdWxsLXRpdGxl
PjwvcGVyaW9kaWNhbD48cGFnZXM+My0yNTwvcGFnZXM+PHZvbHVtZT4yMzwvdm9sdW1lPjxudW1i
ZXI+MTwvbnVtYmVyPjxrZXl3b3Jkcz48a2V5d29yZD5EZXNpZ25hdGVkIG1lZGljYWwgZXZlbnRz
PC9rZXl3b3JkPjxrZXl3b3JkPkdyYXBoaWNhbCBkaXNwbGF5IG9mIHNhZmV0eSBkYXRhPC9rZXl3
b3JkPjxrZXl3b3JkPk11bHRpcGxpY2l0eSBhZGp1c3RtZW50PC9rZXl3b3JkPjxrZXl3b3JkPlBy
b2dyYW0gc2FmZXR5IGFuYWx5c2lzIHBsYW48L2tleXdvcmQ+PGtleXdvcmQ+VGFyZ2V0ZWQgbWVk
aWNhbCBldmVudDwva2V5d29yZD48a2V5d29yZD5UaHJlZS10aWVyIGFwcHJvYWNoPC9rZXl3b3Jk
PjxrZXl3b3JkPmFjY3VyYWN5PC9rZXl3b3JkPjxrZXl3b3JkPmFsZ29yaXRobTwva2V5d29yZD48
a2V5d29yZD5CYXllcyB0aGVvcmVtPC9rZXl3b3JkPjxrZXl3b3JkPmJpb3N0YXRpc3RpY3M8L2tl
eXdvcmQ+PGtleXdvcmQ+Y2xpbmljYWwgcHJhY3RpY2U8L2tleXdvcmQ+PGtleXdvcmQ+Y29uZmlk
ZW5jZSBpbnRlcnZhbDwva2V5d29yZD48a2V5d29yZD5jb29wZXJhdGlvbjwva2V5d29yZD48a2V5
d29yZD5kcnVnIGRldmVsb3BtZW50PC9rZXl3b3JkPjxrZXl3b3JkPmRydWcgaW5kdXN0cnk8L2tl
eXdvcmQ+PGtleXdvcmQ+ZHJ1ZyBsYWJlbGluZzwva2V5d29yZD48a2V5d29yZD5kcnVnIG1hcmtl
dGluZzwva2V5d29yZD48a2V5d29yZD5kcnVnIHNhZmV0eTwva2V5d29yZD48a2V5d29yZD5odW1h
bjwva2V5d29yZD48a2V5d29yZD5pbmZlcmVudGlhbCBzdGF0aXN0aWNzPC9rZXl3b3JkPjxrZXl3
b3JkPmluZm9ybWF0aW9uIHByb2Nlc3Npbmc8L2tleXdvcmQ+PGtleXdvcmQ+a25vd2xlZGdlPC9r
ZXl3b3JkPjxrZXl3b3JkPm1ldGEgYW5hbHlzaXMgKHRvcGljKTwva2V5d29yZD48a2V5d29yZD5v
cmdhbml6YXRpb25hbCBzdHJ1Y3R1cmU8L2tleXdvcmQ+PGtleXdvcmQ+cGF0aWVudCBzYWZldHk8
L2tleXdvcmQ+PGtleXdvcmQ+cGF0dGVybiByZWNvZ25pdGlvbjwva2V5d29yZD48a2V5d29yZD5w
aGFzZSAzIGNsaW5pY2FsIHRyaWFsICh0b3BpYyk8L2tleXdvcmQ+PGtleXdvcmQ+cG9saWN5PC9r
ZXl3b3JkPjxrZXl3b3JkPnBvc3QgaG9jIGFuYWx5c2lzPC9rZXl3b3JkPjxrZXl3b3JkPnByaW9y
aXR5IGpvdXJuYWw8L2tleXdvcmQ+PGtleXdvcmQ+cHJvYmFiaWxpdHk8L2tleXdvcmQ+PGtleXdv
cmQ+cmVjb2duaXRpb248L2tleXdvcmQ+PGtleXdvcmQ+cmVndWxhdG9yeSBtZWNoYW5pc208L2tl
eXdvcmQ+PGtleXdvcmQ+cmV2aWV3PC9rZXl3b3JkPjxrZXl3b3JkPnJpc2sgYXNzZXNzbWVudDwv
a2V5d29yZD48a2V5d29yZD5yaXNrIG1hbmFnZW1lbnQ8L2tleXdvcmQ+PGtleXdvcmQ+c2ltdWxh
dGlvbjwva2V5d29yZD48a2V5d29yZD5zdGF0aXN0aWNhbCBhbmFseXNpczwva2V5d29yZD48a2V5
d29yZD5zdGF0aXN0aWNhbCBzaWduaWZpY2FuY2U8L2tleXdvcmQ+PGtleXdvcmQ+Q2xpbmljYWwg
VHJpYWxzIGFzIFRvcGljPC9rZXl3b3JkPjxrZXl3b3JkPkRydWcgRGlzY292ZXJ5PC9rZXl3b3Jk
PjxrZXl3b3JkPkh1bWFuczwva2V5d29yZD48a2V5d29yZD5NYXJrZXRpbmc8L2tleXdvcmQ+PGtl
eXdvcmQ+UGhhcm1hY2V1dGljYWwgUHJlcGFyYXRpb25zPC9rZXl3b3JkPjwva2V5d29yZHM+PGRh
dGVzPjx5ZWFyPjIwMTM8L3llYXI+PC9kYXRlcz48aXNibj4xMDU0MzQwNiAoSVNTTik8L2lzYm4+
PHdvcmstdHlwZT5SZXZpZXc8L3dvcmstdHlwZT48dXJscz48cmVsYXRlZC11cmxzPjx1cmw+aHR0
cHM6Ly93d3cuc2NvcHVzLmNvbS9pbndhcmQvcmVjb3JkLnVyaT9laWQ9Mi1zMi4wLTg0ODczMjk3
MDgzJmFtcDtkb2k9MTAuMTA4MCUyZjEwNTQzNDA2LjIwMTMuNzM2ODA1JmFtcDtwYXJ0bmVySUQ9
NDAmYW1wO21kNT1hOGU4YWViNjBkYzg3N2UxOGE5YmQ1YzAyZDFiMGRlNDwvdXJsPjwvcmVsYXRl
ZC11cmxzPjwvdXJscz48ZWxlY3Ryb25pYy1yZXNvdXJjZS1udW0+MTAuMTA4MC8xMDU0MzQwNi4y
MDEzLjczNjgwNTwvZWxlY3Ryb25pYy1yZXNvdXJjZS1udW0+PHJlbW90ZS1kYXRhYmFzZS1uYW1l
PlNjb3B1czwvcmVtb3RlLWRhdGFiYXNlLW5hbWU+PGxhbmd1YWdlPkVuZ2xpc2g8L2xhbmd1YWdl
PjwvcmVjb3JkPjwvQ2l0ZT48L0VuZE5vdGU+AG==
</w:fldData>
              </w:fldChar>
            </w:r>
            <w:r>
              <w:rPr>
                <w:rFonts w:eastAsia="Times New Roman" w:cstheme="minorHAnsi"/>
                <w:color w:val="000000"/>
                <w:sz w:val="20"/>
                <w:szCs w:val="20"/>
                <w:lang w:eastAsia="en-GB"/>
              </w:rPr>
              <w:instrText xml:space="preserve"> ADDIN EN.CITE </w:instrText>
            </w:r>
            <w:r>
              <w:rPr>
                <w:rFonts w:eastAsia="Times New Roman" w:cstheme="minorHAnsi"/>
                <w:color w:val="000000"/>
                <w:sz w:val="20"/>
                <w:szCs w:val="20"/>
                <w:lang w:eastAsia="en-GB"/>
              </w:rPr>
              <w:fldChar w:fldCharType="begin">
                <w:fldData xml:space="preserve">PEVuZE5vdGU+PENpdGU+PEF1dGhvcj5DaHVhbmctU3RlaW48L0F1dGhvcj48WWVhcj4yMDEzPC9Z
ZWFyPjxSZWNOdW0+ODU3OTwvUmVjTnVtPjxEaXNwbGF5VGV4dD48c3R5bGUgZmFjZT0ic3VwZXJz
Y3JpcHQiPjY8L3N0eWxlPjwvRGlzcGxheVRleHQ+PHJlY29yZD48cmVjLW51bWJlcj44NTc5PC9y
ZWMtbnVtYmVyPjxmb3JlaWduLWtleXM+PGtleSBhcHA9IkVOIiBkYi1pZD0iejJmNWE1cHQwMjIy
cDhlc2VzdXY1OXRvdzB0cnR6ZnBkeGF3IiB0aW1lc3RhbXA9IjE1MjEwNDczOTAiPjg1Nzk8L2tl
eT48L2ZvcmVpZ24ta2V5cz48cmVmLXR5cGUgbmFtZT0iSm91cm5hbCBBcnRpY2xlIj4xNzwvcmVm
LXR5cGU+PGNvbnRyaWJ1dG9ycz48YXV0aG9ycz48YXV0aG9yPkNodWFuZy1TdGVpbiwgQy48L2F1
dGhvcj48YXV0aG9yPlhpYSwgSC4gQS48L2F1dGhvcj48L2F1dGhvcnM+PC9jb250cmlidXRvcnM+
PGF1dGgtYWRkcmVzcz5TdGF0aXN0aWNhbCBSZXNlYXJjaCBhbmQgQ29uc3VsdGluZyBDZW50ZXIg
UGZpemVyIEluYy4sIDU4NTcgU3RvbmV5IEJyb29rIFJvYWQsIEthbGFtYXpvbywgTUkgNDkwMDks
IFVuaXRlZCBTdGF0ZXMmI3hEO0dsb2JhbCBCaW9zdGF0aXN0aWNhbCBTY2llbmNlcyBBbWdlbiwg
SW5jLiwgVGhvdXNhbmQgT2FrcywgQ0EsIFVuaXRlZCBTdGF0ZXM8L2F1dGgtYWRkcmVzcz48dGl0
bGVzPjx0aXRsZT5UaGUgcHJhY3RpY2Ugb2YgcHJlLW1hcmtldGluZyBzYWZldHkgYXNzZXNzbWVu
dCBpbiBkcnVnIGRldmVsb3BtZW50PC90aXRsZT48c2Vjb25kYXJ5LXRpdGxlPkpvdXJuYWwgb2Yg
QmlvcGhhcm1hY2V1dGljYWwgU3RhdGlzdGljczwvc2Vjb25kYXJ5LXRpdGxlPjxhbHQtdGl0bGU+
Si4gQmlvcGhhcm0uIFN0YXQuPC9hbHQtdGl0bGU+PC90aXRsZXM+PHBlcmlvZGljYWw+PGZ1bGwt
dGl0bGU+Sm91cm5hbCBvZiBCaW9waGFybWFjZXV0aWNhbCBTdGF0aXN0aWNzPC9mdWxsLXRpdGxl
PjwvcGVyaW9kaWNhbD48cGFnZXM+My0yNTwvcGFnZXM+PHZvbHVtZT4yMzwvdm9sdW1lPjxudW1i
ZXI+MTwvbnVtYmVyPjxrZXl3b3Jkcz48a2V5d29yZD5EZXNpZ25hdGVkIG1lZGljYWwgZXZlbnRz
PC9rZXl3b3JkPjxrZXl3b3JkPkdyYXBoaWNhbCBkaXNwbGF5IG9mIHNhZmV0eSBkYXRhPC9rZXl3
b3JkPjxrZXl3b3JkPk11bHRpcGxpY2l0eSBhZGp1c3RtZW50PC9rZXl3b3JkPjxrZXl3b3JkPlBy
b2dyYW0gc2FmZXR5IGFuYWx5c2lzIHBsYW48L2tleXdvcmQ+PGtleXdvcmQ+VGFyZ2V0ZWQgbWVk
aWNhbCBldmVudDwva2V5d29yZD48a2V5d29yZD5UaHJlZS10aWVyIGFwcHJvYWNoPC9rZXl3b3Jk
PjxrZXl3b3JkPmFjY3VyYWN5PC9rZXl3b3JkPjxrZXl3b3JkPmFsZ29yaXRobTwva2V5d29yZD48
a2V5d29yZD5CYXllcyB0aGVvcmVtPC9rZXl3b3JkPjxrZXl3b3JkPmJpb3N0YXRpc3RpY3M8L2tl
eXdvcmQ+PGtleXdvcmQ+Y2xpbmljYWwgcHJhY3RpY2U8L2tleXdvcmQ+PGtleXdvcmQ+Y29uZmlk
ZW5jZSBpbnRlcnZhbDwva2V5d29yZD48a2V5d29yZD5jb29wZXJhdGlvbjwva2V5d29yZD48a2V5
d29yZD5kcnVnIGRldmVsb3BtZW50PC9rZXl3b3JkPjxrZXl3b3JkPmRydWcgaW5kdXN0cnk8L2tl
eXdvcmQ+PGtleXdvcmQ+ZHJ1ZyBsYWJlbGluZzwva2V5d29yZD48a2V5d29yZD5kcnVnIG1hcmtl
dGluZzwva2V5d29yZD48a2V5d29yZD5kcnVnIHNhZmV0eTwva2V5d29yZD48a2V5d29yZD5odW1h
bjwva2V5d29yZD48a2V5d29yZD5pbmZlcmVudGlhbCBzdGF0aXN0aWNzPC9rZXl3b3JkPjxrZXl3
b3JkPmluZm9ybWF0aW9uIHByb2Nlc3Npbmc8L2tleXdvcmQ+PGtleXdvcmQ+a25vd2xlZGdlPC9r
ZXl3b3JkPjxrZXl3b3JkPm1ldGEgYW5hbHlzaXMgKHRvcGljKTwva2V5d29yZD48a2V5d29yZD5v
cmdhbml6YXRpb25hbCBzdHJ1Y3R1cmU8L2tleXdvcmQ+PGtleXdvcmQ+cGF0aWVudCBzYWZldHk8
L2tleXdvcmQ+PGtleXdvcmQ+cGF0dGVybiByZWNvZ25pdGlvbjwva2V5d29yZD48a2V5d29yZD5w
aGFzZSAzIGNsaW5pY2FsIHRyaWFsICh0b3BpYyk8L2tleXdvcmQ+PGtleXdvcmQ+cG9saWN5PC9r
ZXl3b3JkPjxrZXl3b3JkPnBvc3QgaG9jIGFuYWx5c2lzPC9rZXl3b3JkPjxrZXl3b3JkPnByaW9y
aXR5IGpvdXJuYWw8L2tleXdvcmQ+PGtleXdvcmQ+cHJvYmFiaWxpdHk8L2tleXdvcmQ+PGtleXdv
cmQ+cmVjb2duaXRpb248L2tleXdvcmQ+PGtleXdvcmQ+cmVndWxhdG9yeSBtZWNoYW5pc208L2tl
eXdvcmQ+PGtleXdvcmQ+cmV2aWV3PC9rZXl3b3JkPjxrZXl3b3JkPnJpc2sgYXNzZXNzbWVudDwv
a2V5d29yZD48a2V5d29yZD5yaXNrIG1hbmFnZW1lbnQ8L2tleXdvcmQ+PGtleXdvcmQ+c2ltdWxh
dGlvbjwva2V5d29yZD48a2V5d29yZD5zdGF0aXN0aWNhbCBhbmFseXNpczwva2V5d29yZD48a2V5
d29yZD5zdGF0aXN0aWNhbCBzaWduaWZpY2FuY2U8L2tleXdvcmQ+PGtleXdvcmQ+Q2xpbmljYWwg
VHJpYWxzIGFzIFRvcGljPC9rZXl3b3JkPjxrZXl3b3JkPkRydWcgRGlzY292ZXJ5PC9rZXl3b3Jk
PjxrZXl3b3JkPkh1bWFuczwva2V5d29yZD48a2V5d29yZD5NYXJrZXRpbmc8L2tleXdvcmQ+PGtl
eXdvcmQ+UGhhcm1hY2V1dGljYWwgUHJlcGFyYXRpb25zPC9rZXl3b3JkPjwva2V5d29yZHM+PGRh
dGVzPjx5ZWFyPjIwMTM8L3llYXI+PC9kYXRlcz48aXNibj4xMDU0MzQwNiAoSVNTTik8L2lzYm4+
PHdvcmstdHlwZT5SZXZpZXc8L3dvcmstdHlwZT48dXJscz48cmVsYXRlZC11cmxzPjx1cmw+aHR0
cHM6Ly93d3cuc2NvcHVzLmNvbS9pbndhcmQvcmVjb3JkLnVyaT9laWQ9Mi1zMi4wLTg0ODczMjk3
MDgzJmFtcDtkb2k9MTAuMTA4MCUyZjEwNTQzNDA2LjIwMTMuNzM2ODA1JmFtcDtwYXJ0bmVySUQ9
NDAmYW1wO21kNT1hOGU4YWViNjBkYzg3N2UxOGE5YmQ1YzAyZDFiMGRlNDwvdXJsPjwvcmVsYXRl
ZC11cmxzPjwvdXJscz48ZWxlY3Ryb25pYy1yZXNvdXJjZS1udW0+MTAuMTA4MC8xMDU0MzQwNi4y
MDEzLjczNjgwNTwvZWxlY3Ryb25pYy1yZXNvdXJjZS1udW0+PHJlbW90ZS1kYXRhYmFzZS1uYW1l
PlNjb3B1czwvcmVtb3RlLWRhdGFiYXNlLW5hbWU+PGxhbmd1YWdlPkVuZ2xpc2g8L2xhbmd1YWdl
PjwvcmVjb3JkPjwvQ2l0ZT48L0VuZE5vdGU+AG==
</w:fldData>
              </w:fldChar>
            </w:r>
            <w:r>
              <w:rPr>
                <w:rFonts w:eastAsia="Times New Roman" w:cstheme="minorHAnsi"/>
                <w:color w:val="000000"/>
                <w:sz w:val="20"/>
                <w:szCs w:val="20"/>
                <w:lang w:eastAsia="en-GB"/>
              </w:rPr>
              <w:instrText xml:space="preserve"> ADDIN EN.CITE.DATA </w:instrText>
            </w:r>
            <w:r>
              <w:rPr>
                <w:rFonts w:eastAsia="Times New Roman" w:cstheme="minorHAnsi"/>
                <w:color w:val="000000"/>
                <w:sz w:val="20"/>
                <w:szCs w:val="20"/>
                <w:lang w:eastAsia="en-GB"/>
              </w:rPr>
            </w:r>
            <w:r>
              <w:rPr>
                <w:rFonts w:eastAsia="Times New Roman" w:cstheme="minorHAnsi"/>
                <w:color w:val="000000"/>
                <w:sz w:val="20"/>
                <w:szCs w:val="20"/>
                <w:lang w:eastAsia="en-GB"/>
              </w:rPr>
              <w:fldChar w:fldCharType="end"/>
            </w:r>
            <w:r>
              <w:rPr>
                <w:rFonts w:eastAsia="Times New Roman" w:cstheme="minorHAnsi"/>
                <w:color w:val="000000"/>
                <w:sz w:val="20"/>
                <w:szCs w:val="20"/>
                <w:lang w:eastAsia="en-GB"/>
              </w:rPr>
            </w:r>
            <w:r>
              <w:rPr>
                <w:rFonts w:eastAsia="Times New Roman" w:cstheme="minorHAnsi"/>
                <w:color w:val="000000"/>
                <w:sz w:val="20"/>
                <w:szCs w:val="20"/>
                <w:lang w:eastAsia="en-GB"/>
              </w:rPr>
              <w:fldChar w:fldCharType="separate"/>
            </w:r>
            <w:r w:rsidRPr="009A6245">
              <w:rPr>
                <w:rFonts w:eastAsia="Times New Roman" w:cstheme="minorHAnsi"/>
                <w:noProof/>
                <w:color w:val="000000"/>
                <w:sz w:val="20"/>
                <w:szCs w:val="20"/>
                <w:vertAlign w:val="superscript"/>
                <w:lang w:eastAsia="en-GB"/>
              </w:rPr>
              <w:t>6</w:t>
            </w:r>
            <w:r>
              <w:rPr>
                <w:rFonts w:eastAsia="Times New Roman" w:cstheme="minorHAnsi"/>
                <w:color w:val="000000"/>
                <w:sz w:val="20"/>
                <w:szCs w:val="20"/>
                <w:lang w:eastAsia="en-GB"/>
              </w:rPr>
              <w:fldChar w:fldCharType="end"/>
            </w:r>
            <w:r w:rsidRPr="00253ACD">
              <w:rPr>
                <w:rFonts w:eastAsia="Times New Roman" w:cstheme="minorHAnsi"/>
                <w:color w:val="000000"/>
                <w:sz w:val="20"/>
                <w:szCs w:val="20"/>
                <w:lang w:eastAsia="en-GB"/>
              </w:rPr>
              <w:t xml:space="preserve"> </w:t>
            </w:r>
          </w:p>
        </w:tc>
        <w:tc>
          <w:tcPr>
            <w:tcW w:w="5103" w:type="dxa"/>
            <w:shd w:val="clear" w:color="auto" w:fill="auto"/>
            <w:vAlign w:val="center"/>
            <w:hideMark/>
          </w:tcPr>
          <w:p w14:paraId="6C8F1B82" w14:textId="77777777" w:rsidR="00E37363" w:rsidRPr="00253ACD" w:rsidRDefault="00E37363" w:rsidP="00B45076">
            <w:pPr>
              <w:spacing w:after="0" w:line="240" w:lineRule="auto"/>
              <w:rPr>
                <w:rFonts w:eastAsia="Times New Roman" w:cstheme="minorHAnsi"/>
                <w:color w:val="000000"/>
                <w:sz w:val="20"/>
                <w:szCs w:val="20"/>
                <w:lang w:eastAsia="en-GB"/>
              </w:rPr>
            </w:pPr>
            <w:r w:rsidRPr="00253ACD">
              <w:rPr>
                <w:rFonts w:eastAsia="Times New Roman" w:cstheme="minorHAnsi"/>
                <w:color w:val="000000"/>
                <w:sz w:val="20"/>
                <w:szCs w:val="20"/>
                <w:lang w:eastAsia="en-GB"/>
              </w:rPr>
              <w:t xml:space="preserve">Scatter plot of peak serum ALT and TB levels for </w:t>
            </w:r>
            <w:r>
              <w:rPr>
                <w:rFonts w:eastAsia="Times New Roman" w:cstheme="minorHAnsi"/>
                <w:color w:val="000000"/>
                <w:sz w:val="20"/>
                <w:szCs w:val="20"/>
                <w:lang w:eastAsia="en-GB"/>
              </w:rPr>
              <w:t>individual participants</w:t>
            </w:r>
            <w:r w:rsidRPr="00253ACD">
              <w:rPr>
                <w:rFonts w:eastAsia="Times New Roman" w:cstheme="minorHAnsi"/>
                <w:color w:val="000000"/>
                <w:sz w:val="20"/>
                <w:szCs w:val="20"/>
                <w:lang w:eastAsia="en-GB"/>
              </w:rPr>
              <w:t xml:space="preserve"> to identify drug induced serious hepatotoxicity</w:t>
            </w:r>
          </w:p>
        </w:tc>
      </w:tr>
    </w:tbl>
    <w:p w14:paraId="50886EEE" w14:textId="77777777" w:rsidR="00E37363" w:rsidRDefault="00E37363" w:rsidP="00E37363">
      <w:pPr>
        <w:rPr>
          <w:b/>
        </w:rPr>
      </w:pPr>
    </w:p>
    <w:p w14:paraId="1D148E75" w14:textId="77777777" w:rsidR="00E37363" w:rsidRPr="005C4178" w:rsidRDefault="00E37363" w:rsidP="00E37363"/>
    <w:p w14:paraId="38A9EADB" w14:textId="77777777" w:rsidR="00871E41" w:rsidRDefault="00871E41"/>
    <w:p w14:paraId="69A3B0EB" w14:textId="77777777" w:rsidR="00E37363" w:rsidRDefault="00E37363"/>
    <w:p w14:paraId="47C70DA6" w14:textId="77777777" w:rsidR="00E37363" w:rsidRDefault="00E37363"/>
    <w:p w14:paraId="3A6370D2" w14:textId="77777777" w:rsidR="00E37363" w:rsidRDefault="00E37363"/>
    <w:p w14:paraId="13EC0820" w14:textId="77777777" w:rsidR="00E37363" w:rsidRDefault="00E37363"/>
    <w:p w14:paraId="61007350" w14:textId="77777777" w:rsidR="00E37363" w:rsidRDefault="00E37363"/>
    <w:p w14:paraId="6954AD09" w14:textId="77777777" w:rsidR="00E37363" w:rsidRDefault="00E37363"/>
    <w:p w14:paraId="707F1E77" w14:textId="77777777" w:rsidR="00E37363" w:rsidRDefault="00E37363">
      <w:pPr>
        <w:sectPr w:rsidR="00E37363" w:rsidSect="00E37363">
          <w:headerReference w:type="even" r:id="rId9"/>
          <w:headerReference w:type="default" r:id="rId10"/>
          <w:footerReference w:type="even" r:id="rId11"/>
          <w:footerReference w:type="default" r:id="rId12"/>
          <w:headerReference w:type="first" r:id="rId13"/>
          <w:footerReference w:type="first" r:id="rId14"/>
          <w:pgSz w:w="16838" w:h="11906" w:orient="landscape"/>
          <w:pgMar w:top="1440" w:right="1440" w:bottom="1440" w:left="1440" w:header="709" w:footer="709" w:gutter="0"/>
          <w:cols w:space="708"/>
          <w:docGrid w:linePitch="360"/>
        </w:sectPr>
      </w:pPr>
    </w:p>
    <w:p w14:paraId="57C0A028" w14:textId="77777777" w:rsidR="00E37363" w:rsidRDefault="00E37363"/>
    <w:tbl>
      <w:tblPr>
        <w:tblStyle w:val="TableGrid"/>
        <w:tblW w:w="9923" w:type="dxa"/>
        <w:tblLook w:val="04A0" w:firstRow="1" w:lastRow="0" w:firstColumn="1" w:lastColumn="0" w:noHBand="0" w:noVBand="1"/>
      </w:tblPr>
      <w:tblGrid>
        <w:gridCol w:w="1331"/>
        <w:gridCol w:w="2630"/>
        <w:gridCol w:w="1569"/>
        <w:gridCol w:w="1455"/>
        <w:gridCol w:w="2938"/>
      </w:tblGrid>
      <w:tr w:rsidR="00E37363" w:rsidRPr="00554871" w14:paraId="3D3DF9B2" w14:textId="77777777" w:rsidTr="00B45076">
        <w:trPr>
          <w:trHeight w:val="300"/>
        </w:trPr>
        <w:tc>
          <w:tcPr>
            <w:tcW w:w="9923" w:type="dxa"/>
            <w:gridSpan w:val="5"/>
            <w:tcBorders>
              <w:top w:val="nil"/>
              <w:left w:val="nil"/>
              <w:bottom w:val="single" w:sz="4" w:space="0" w:color="auto"/>
              <w:right w:val="nil"/>
            </w:tcBorders>
            <w:noWrap/>
          </w:tcPr>
          <w:p w14:paraId="13CD1226" w14:textId="77777777" w:rsidR="00E37363" w:rsidRPr="00E566E5" w:rsidRDefault="00E37363" w:rsidP="00B45076">
            <w:pPr>
              <w:rPr>
                <w:b/>
                <w:bCs/>
              </w:rPr>
            </w:pPr>
            <w:r w:rsidRPr="00E566E5">
              <w:rPr>
                <w:b/>
                <w:bCs/>
              </w:rPr>
              <w:t xml:space="preserve">Table 4: Summary of hypothesis tests to analyse prespecified harm outcomes </w:t>
            </w:r>
            <w:r w:rsidRPr="00E566E5">
              <w:rPr>
                <w:rFonts w:cstheme="minorHAnsi"/>
                <w:b/>
              </w:rPr>
              <w:t>in phase II/III RCTs</w:t>
            </w:r>
          </w:p>
        </w:tc>
      </w:tr>
      <w:tr w:rsidR="00E37363" w:rsidRPr="00554871" w14:paraId="6C3CA5C9" w14:textId="77777777" w:rsidTr="00B45076">
        <w:trPr>
          <w:trHeight w:val="300"/>
        </w:trPr>
        <w:tc>
          <w:tcPr>
            <w:tcW w:w="1331" w:type="dxa"/>
            <w:tcBorders>
              <w:top w:val="single" w:sz="4" w:space="0" w:color="auto"/>
            </w:tcBorders>
            <w:noWrap/>
            <w:hideMark/>
          </w:tcPr>
          <w:p w14:paraId="0DA0FCDB" w14:textId="77777777" w:rsidR="00E37363" w:rsidRPr="00A344D2" w:rsidRDefault="00E37363" w:rsidP="00B45076">
            <w:pPr>
              <w:rPr>
                <w:b/>
                <w:bCs/>
                <w:sz w:val="20"/>
              </w:rPr>
            </w:pPr>
            <w:r w:rsidRPr="00A344D2">
              <w:rPr>
                <w:b/>
                <w:bCs/>
                <w:sz w:val="20"/>
              </w:rPr>
              <w:t>Outcome</w:t>
            </w:r>
          </w:p>
        </w:tc>
        <w:tc>
          <w:tcPr>
            <w:tcW w:w="2630" w:type="dxa"/>
            <w:tcBorders>
              <w:top w:val="single" w:sz="4" w:space="0" w:color="auto"/>
            </w:tcBorders>
            <w:noWrap/>
            <w:hideMark/>
          </w:tcPr>
          <w:p w14:paraId="74111334" w14:textId="77777777" w:rsidR="00E37363" w:rsidRPr="00A344D2" w:rsidRDefault="00E37363" w:rsidP="00B45076">
            <w:pPr>
              <w:rPr>
                <w:b/>
                <w:bCs/>
                <w:sz w:val="20"/>
              </w:rPr>
            </w:pPr>
            <w:r>
              <w:rPr>
                <w:b/>
                <w:bCs/>
                <w:sz w:val="20"/>
              </w:rPr>
              <w:t>Data type</w:t>
            </w:r>
          </w:p>
        </w:tc>
        <w:tc>
          <w:tcPr>
            <w:tcW w:w="1569" w:type="dxa"/>
            <w:tcBorders>
              <w:top w:val="single" w:sz="4" w:space="0" w:color="auto"/>
            </w:tcBorders>
            <w:noWrap/>
            <w:hideMark/>
          </w:tcPr>
          <w:p w14:paraId="4E1AB431" w14:textId="77777777" w:rsidR="00E37363" w:rsidRPr="00A344D2" w:rsidRDefault="00E37363" w:rsidP="00B45076">
            <w:pPr>
              <w:rPr>
                <w:b/>
                <w:bCs/>
                <w:sz w:val="20"/>
              </w:rPr>
            </w:pPr>
            <w:r w:rsidRPr="00A344D2">
              <w:rPr>
                <w:b/>
                <w:bCs/>
                <w:sz w:val="20"/>
              </w:rPr>
              <w:t>Model</w:t>
            </w:r>
          </w:p>
        </w:tc>
        <w:tc>
          <w:tcPr>
            <w:tcW w:w="1455" w:type="dxa"/>
            <w:tcBorders>
              <w:top w:val="single" w:sz="4" w:space="0" w:color="auto"/>
            </w:tcBorders>
            <w:noWrap/>
            <w:hideMark/>
          </w:tcPr>
          <w:p w14:paraId="717F90D7" w14:textId="77777777" w:rsidR="00E37363" w:rsidRPr="00A344D2" w:rsidRDefault="00E37363" w:rsidP="00B45076">
            <w:pPr>
              <w:rPr>
                <w:b/>
                <w:bCs/>
                <w:sz w:val="20"/>
              </w:rPr>
            </w:pPr>
            <w:r w:rsidRPr="00A344D2">
              <w:rPr>
                <w:b/>
                <w:bCs/>
                <w:sz w:val="20"/>
              </w:rPr>
              <w:t>Reference</w:t>
            </w:r>
          </w:p>
        </w:tc>
        <w:tc>
          <w:tcPr>
            <w:tcW w:w="2938" w:type="dxa"/>
            <w:tcBorders>
              <w:top w:val="single" w:sz="4" w:space="0" w:color="auto"/>
            </w:tcBorders>
            <w:hideMark/>
          </w:tcPr>
          <w:p w14:paraId="45E48E87" w14:textId="77777777" w:rsidR="00E37363" w:rsidRPr="00A344D2" w:rsidRDefault="00E37363" w:rsidP="00B45076">
            <w:pPr>
              <w:rPr>
                <w:b/>
                <w:bCs/>
                <w:sz w:val="20"/>
              </w:rPr>
            </w:pPr>
            <w:r w:rsidRPr="00A344D2">
              <w:rPr>
                <w:b/>
                <w:bCs/>
                <w:sz w:val="20"/>
              </w:rPr>
              <w:t>Brief Description</w:t>
            </w:r>
          </w:p>
        </w:tc>
      </w:tr>
      <w:tr w:rsidR="00E37363" w:rsidRPr="00554871" w14:paraId="470C4CD4" w14:textId="77777777" w:rsidTr="00B45076">
        <w:trPr>
          <w:trHeight w:val="300"/>
        </w:trPr>
        <w:tc>
          <w:tcPr>
            <w:tcW w:w="1331" w:type="dxa"/>
            <w:vMerge w:val="restart"/>
            <w:noWrap/>
            <w:vAlign w:val="center"/>
            <w:hideMark/>
          </w:tcPr>
          <w:p w14:paraId="6DB0FA91" w14:textId="77777777" w:rsidR="00E37363" w:rsidRPr="00A344D2" w:rsidRDefault="00E37363" w:rsidP="00B45076">
            <w:pPr>
              <w:jc w:val="center"/>
              <w:rPr>
                <w:b/>
                <w:sz w:val="20"/>
              </w:rPr>
            </w:pPr>
            <w:r w:rsidRPr="00A344D2">
              <w:rPr>
                <w:b/>
                <w:sz w:val="20"/>
              </w:rPr>
              <w:t>Pre</w:t>
            </w:r>
            <w:r>
              <w:rPr>
                <w:b/>
                <w:sz w:val="20"/>
              </w:rPr>
              <w:t>specified</w:t>
            </w:r>
            <w:r w:rsidRPr="00A344D2">
              <w:rPr>
                <w:b/>
                <w:sz w:val="20"/>
              </w:rPr>
              <w:t xml:space="preserve"> safety outcome</w:t>
            </w:r>
          </w:p>
        </w:tc>
        <w:tc>
          <w:tcPr>
            <w:tcW w:w="2630" w:type="dxa"/>
            <w:noWrap/>
            <w:hideMark/>
          </w:tcPr>
          <w:p w14:paraId="398971E8" w14:textId="77777777" w:rsidR="00E37363" w:rsidRPr="00A344D2" w:rsidRDefault="00E37363" w:rsidP="00B45076">
            <w:pPr>
              <w:rPr>
                <w:sz w:val="20"/>
              </w:rPr>
            </w:pPr>
            <w:r w:rsidRPr="00A344D2">
              <w:rPr>
                <w:sz w:val="20"/>
              </w:rPr>
              <w:t xml:space="preserve">Binary </w:t>
            </w:r>
          </w:p>
        </w:tc>
        <w:tc>
          <w:tcPr>
            <w:tcW w:w="1569" w:type="dxa"/>
            <w:noWrap/>
            <w:hideMark/>
          </w:tcPr>
          <w:p w14:paraId="68E3940A" w14:textId="77777777" w:rsidR="00E37363" w:rsidRPr="00A344D2" w:rsidRDefault="00E37363" w:rsidP="00B45076">
            <w:pPr>
              <w:rPr>
                <w:sz w:val="20"/>
              </w:rPr>
            </w:pPr>
            <w:r w:rsidRPr="00A344D2">
              <w:rPr>
                <w:sz w:val="20"/>
              </w:rPr>
              <w:t xml:space="preserve">Logit </w:t>
            </w:r>
          </w:p>
        </w:tc>
        <w:tc>
          <w:tcPr>
            <w:tcW w:w="1455" w:type="dxa"/>
            <w:noWrap/>
            <w:hideMark/>
          </w:tcPr>
          <w:p w14:paraId="7DB33DC3" w14:textId="77777777" w:rsidR="00E37363" w:rsidRPr="00A344D2" w:rsidRDefault="00E37363" w:rsidP="00B45076">
            <w:pPr>
              <w:rPr>
                <w:sz w:val="20"/>
              </w:rPr>
            </w:pPr>
            <w:r w:rsidRPr="00A344D2">
              <w:rPr>
                <w:sz w:val="20"/>
              </w:rPr>
              <w:t>Bolland &amp; Whitehead</w:t>
            </w:r>
            <w:r>
              <w:rPr>
                <w:sz w:val="20"/>
              </w:rPr>
              <w:fldChar w:fldCharType="begin">
                <w:fldData xml:space="preserve">PEVuZE5vdGU+PENpdGU+PEF1dGhvcj5Cb2xsYW5kPC9BdXRob3I+PFllYXI+MjAwMDwvWWVhcj48
UmVjTnVtPjkyNjc8L1JlY051bT48RGlzcGxheVRleHQ+PHN0eWxlIGZhY2U9InN1cGVyc2NyaXB0
Ij4xMTwvc3R5bGU+PC9EaXNwbGF5VGV4dD48cmVjb3JkPjxyZWMtbnVtYmVyPjkyNjc8L3JlYy1u
dW1iZXI+PGZvcmVpZ24ta2V5cz48a2V5IGFwcD0iRU4iIGRiLWlkPSJ6MmY1YTVwdDAyMjJwOGVz
ZXN1djU5dG93MHRydHpmcGR4YXciIHRpbWVzdGFtcD0iMTUyMTA0NzM5NyI+OTI2Nzwva2V5Pjwv
Zm9yZWlnbi1rZXlzPjxyZWYtdHlwZSBuYW1lPSJKb3VybmFsIEFydGljbGUiPjE3PC9yZWYtdHlw
ZT48Y29udHJpYnV0b3JzPjxhdXRob3JzPjxhdXRob3I+Qm9sbGFuZCwgSy48L2F1dGhvcj48YXV0
aG9yPldoaXRlaGVhZCwgSi48L2F1dGhvcj48L2F1dGhvcnM+PC9jb250cmlidXRvcnM+PGF1dGgt
YWRkcmVzcz5NZWRpY2FsIGFuZCBQaGFybWFjZXV0aWNhbCBTdGF0aXN0aWNzIFJlc2VhcmNoIFVu
aXQsIFVuaXZlcnNpdHkgb2YgUmVhZGluZywgUC5PLiBCb3ggMjQwLCBFYXJsZXkgR2F0ZSwgUmVh
ZGluZyBSRzYgNkZOLCBVbml0ZWQgS2luZ2RvbTwvYXV0aC1hZGRyZXNzPjx0aXRsZXM+PHRpdGxl
PkZvcm1hbCBhcHByb2FjaGVzIHRvIHNhZmV0eSBtb25pdG9yaW5nIG9mIGNsaW5pY2FsIHRyaWFs
cyBpbiBsaWZlLXRocmVhdGVuaW5nIGNvbmRpdGlvbnM8L3RpdGxlPjxzZWNvbmRhcnktdGl0bGU+
U3RhdGlzdGljcyBpbiBNZWRpY2luZTwvc2Vjb25kYXJ5LXRpdGxlPjxhbHQtdGl0bGU+U3RhdC4g
TWVkLjwvYWx0LXRpdGxlPjwvdGl0bGVzPjxwZXJpb2RpY2FsPjxmdWxsLXRpdGxlPlN0YXRpc3Rp
Y3MgaW4gTWVkaWNpbmU8L2Z1bGwtdGl0bGU+PC9wZXJpb2RpY2FsPjxwYWdlcz4yODk5LTI5MTc8
L3BhZ2VzPjx2b2x1bWU+MTk8L3ZvbHVtZT48bnVtYmVyPjIxPC9udW1iZXI+PGtleXdvcmRzPjxr
ZXl3b3JkPmRvZmV0aWxpZGU8L2tleXdvcmQ+PGtleXdvcmQ+YW5hbHl0aWMgbWV0aG9kPC9rZXl3
b3JkPjxrZXl3b3JkPmFydGljbGU8L2tleXdvcmQ+PGtleXdvcmQ+Y29uZ2VzdGl2ZSBoZWFydCBm
YWlsdXJlPC9rZXl3b3JkPjxrZXl3b3JkPmRhdGEgYW5hbHlzaXM8L2tleXdvcmQ+PGtleXdvcmQ+
aGVhZCBpbmp1cnk8L2tleXdvcmQ+PGtleXdvcmQ+aGVhcnQgaW5mYXJjdGlvbjwva2V5d29yZD48
a2V5d29yZD5odW1hbjwva2V5d29yZD48a2V5d29yZD5tZWRpY2FsIGRlY2lzaW9uIG1ha2luZzwv
a2V5d29yZD48a2V5d29yZD5tZWRpY2FsIGV0aGljczwva2V5d29yZD48a2V5d29yZD5vdXRjb21l
cyByZXNlYXJjaDwva2V5d29yZD48a2V5d29yZD5wYXRpZW50IG1vbml0b3Jpbmc8L2tleXdvcmQ+
PGtleXdvcmQ+cHJhY3RpY2UgZ3VpZGVsaW5lPC9rZXl3b3JkPjxrZXl3b3JkPnNlcXVlbnRpYWwg
YW5hbHlzaXM8L2tleXdvcmQ+PGtleXdvcmQ+c3Ryb2tlPC9rZXl3b3JkPjxrZXl3b3JkPkNlcmVi
cm92YXNjdWxhciBBY2NpZGVudDwva2V5d29yZD48a2V5d29yZD5DbGluaWNhbCBUcmlhbHM8L2tl
eXdvcmQ+PGtleXdvcmQ+Q2xpbmljYWwgVHJpYWxzLCBQaGFzZSBJSUk8L2tleXdvcmQ+PGtleXdv
cmQ+Q3JhbmlvY2VyZWJyYWwgVHJhdW1hPC9rZXl3b3JkPjxrZXl3b3JkPkRhdGEgSW50ZXJwcmV0
YXRpb24sIFN0YXRpc3RpY2FsPC9rZXl3b3JkPjxrZXl3b3JkPkh1bWFuczwva2V5d29yZD48a2V5
d29yZD5Nb2RlbHMsIFN0YXRpc3RpY2FsPC9rZXl3b3JkPjxrZXl3b3JkPk11bHRpY2VudGVyIFN0
dWRpZXM8L2tleXdvcmQ+PGtleXdvcmQ+TXlvY2FyZGlhbCBJbmZhcmN0aW9uPC9rZXl3b3JkPjxr
ZXl3b3JkPk5vcm1hbCBEaXN0cmlidXRpb248L2tleXdvcmQ+PGtleXdvcmQ+UHJvYmFiaWxpdHk8
L2tleXdvcmQ+PGtleXdvcmQ+U2FmZXR5PC9rZXl3b3JkPjwva2V5d29yZHM+PGRhdGVzPjx5ZWFy
PjIwMDA8L3llYXI+PC9kYXRlcz48aXNibj4wMjc3NjcxNSAoSVNTTik8L2lzYm4+PHdvcmstdHlw
ZT5BcnRpY2xlPC93b3JrLXR5cGU+PHVybHM+PHJlbGF0ZWQtdXJscz48dXJsPmh0dHBzOi8vd3d3
LnNjb3B1cy5jb20vaW53YXJkL3JlY29yZC51cmk/ZWlkPTItczIuMC0wMDM0NjY5OTM5JmFtcDtk
b2k9MTAuMTAwMiUyZjEwOTctMDI1OCUyODIwMDAxMTE1JTI5MTklM2EyMSUzYzI4OTklM2ElM2FB
SUQtU0lNNTk3JTNlMy4wLkNPJTNiMi1PJmFtcDtwYXJ0bmVySUQ9NDAmYW1wO21kNT0zYzg4NjAw
MWE3YjY2YjZjY2RlY2NkYTlkYzQ1MWZlYTwvdXJsPjwvcmVsYXRlZC11cmxzPjwvdXJscz48ZWxl
Y3Ryb25pYy1yZXNvdXJjZS1udW0+MTAuMTAwMi8xMDk3LTAyNTgoMjAwMDExMTUpMTk6MjEmbHQ7
Mjg5OTo6QUlELVNJTTU5NyZndDszLjAuQ087Mi1PPC9lbGVjdHJvbmljLXJlc291cmNlLW51bT48
cmVtb3RlLWRhdGFiYXNlLW5hbWU+U2NvcHVzPC9yZW1vdGUtZGF0YWJhc2UtbmFtZT48bGFuZ3Vh
Z2U+RW5nbGlzaDwvbGFuZ3VhZ2U+PC9yZWNvcmQ+PC9DaXRlPjwvRW5kTm90ZT5=
</w:fldData>
              </w:fldChar>
            </w:r>
            <w:r>
              <w:rPr>
                <w:sz w:val="20"/>
              </w:rPr>
              <w:instrText xml:space="preserve"> ADDIN EN.CITE </w:instrText>
            </w:r>
            <w:r>
              <w:rPr>
                <w:sz w:val="20"/>
              </w:rPr>
              <w:fldChar w:fldCharType="begin">
                <w:fldData xml:space="preserve">PEVuZE5vdGU+PENpdGU+PEF1dGhvcj5Cb2xsYW5kPC9BdXRob3I+PFllYXI+MjAwMDwvWWVhcj48
UmVjTnVtPjkyNjc8L1JlY051bT48RGlzcGxheVRleHQ+PHN0eWxlIGZhY2U9InN1cGVyc2NyaXB0
Ij4xMTwvc3R5bGU+PC9EaXNwbGF5VGV4dD48cmVjb3JkPjxyZWMtbnVtYmVyPjkyNjc8L3JlYy1u
dW1iZXI+PGZvcmVpZ24ta2V5cz48a2V5IGFwcD0iRU4iIGRiLWlkPSJ6MmY1YTVwdDAyMjJwOGVz
ZXN1djU5dG93MHRydHpmcGR4YXciIHRpbWVzdGFtcD0iMTUyMTA0NzM5NyI+OTI2Nzwva2V5Pjwv
Zm9yZWlnbi1rZXlzPjxyZWYtdHlwZSBuYW1lPSJKb3VybmFsIEFydGljbGUiPjE3PC9yZWYtdHlw
ZT48Y29udHJpYnV0b3JzPjxhdXRob3JzPjxhdXRob3I+Qm9sbGFuZCwgSy48L2F1dGhvcj48YXV0
aG9yPldoaXRlaGVhZCwgSi48L2F1dGhvcj48L2F1dGhvcnM+PC9jb250cmlidXRvcnM+PGF1dGgt
YWRkcmVzcz5NZWRpY2FsIGFuZCBQaGFybWFjZXV0aWNhbCBTdGF0aXN0aWNzIFJlc2VhcmNoIFVu
aXQsIFVuaXZlcnNpdHkgb2YgUmVhZGluZywgUC5PLiBCb3ggMjQwLCBFYXJsZXkgR2F0ZSwgUmVh
ZGluZyBSRzYgNkZOLCBVbml0ZWQgS2luZ2RvbTwvYXV0aC1hZGRyZXNzPjx0aXRsZXM+PHRpdGxl
PkZvcm1hbCBhcHByb2FjaGVzIHRvIHNhZmV0eSBtb25pdG9yaW5nIG9mIGNsaW5pY2FsIHRyaWFs
cyBpbiBsaWZlLXRocmVhdGVuaW5nIGNvbmRpdGlvbnM8L3RpdGxlPjxzZWNvbmRhcnktdGl0bGU+
U3RhdGlzdGljcyBpbiBNZWRpY2luZTwvc2Vjb25kYXJ5LXRpdGxlPjxhbHQtdGl0bGU+U3RhdC4g
TWVkLjwvYWx0LXRpdGxlPjwvdGl0bGVzPjxwZXJpb2RpY2FsPjxmdWxsLXRpdGxlPlN0YXRpc3Rp
Y3MgaW4gTWVkaWNpbmU8L2Z1bGwtdGl0bGU+PC9wZXJpb2RpY2FsPjxwYWdlcz4yODk5LTI5MTc8
L3BhZ2VzPjx2b2x1bWU+MTk8L3ZvbHVtZT48bnVtYmVyPjIxPC9udW1iZXI+PGtleXdvcmRzPjxr
ZXl3b3JkPmRvZmV0aWxpZGU8L2tleXdvcmQ+PGtleXdvcmQ+YW5hbHl0aWMgbWV0aG9kPC9rZXl3
b3JkPjxrZXl3b3JkPmFydGljbGU8L2tleXdvcmQ+PGtleXdvcmQ+Y29uZ2VzdGl2ZSBoZWFydCBm
YWlsdXJlPC9rZXl3b3JkPjxrZXl3b3JkPmRhdGEgYW5hbHlzaXM8L2tleXdvcmQ+PGtleXdvcmQ+
aGVhZCBpbmp1cnk8L2tleXdvcmQ+PGtleXdvcmQ+aGVhcnQgaW5mYXJjdGlvbjwva2V5d29yZD48
a2V5d29yZD5odW1hbjwva2V5d29yZD48a2V5d29yZD5tZWRpY2FsIGRlY2lzaW9uIG1ha2luZzwv
a2V5d29yZD48a2V5d29yZD5tZWRpY2FsIGV0aGljczwva2V5d29yZD48a2V5d29yZD5vdXRjb21l
cyByZXNlYXJjaDwva2V5d29yZD48a2V5d29yZD5wYXRpZW50IG1vbml0b3Jpbmc8L2tleXdvcmQ+
PGtleXdvcmQ+cHJhY3RpY2UgZ3VpZGVsaW5lPC9rZXl3b3JkPjxrZXl3b3JkPnNlcXVlbnRpYWwg
YW5hbHlzaXM8L2tleXdvcmQ+PGtleXdvcmQ+c3Ryb2tlPC9rZXl3b3JkPjxrZXl3b3JkPkNlcmVi
cm92YXNjdWxhciBBY2NpZGVudDwva2V5d29yZD48a2V5d29yZD5DbGluaWNhbCBUcmlhbHM8L2tl
eXdvcmQ+PGtleXdvcmQ+Q2xpbmljYWwgVHJpYWxzLCBQaGFzZSBJSUk8L2tleXdvcmQ+PGtleXdv
cmQ+Q3JhbmlvY2VyZWJyYWwgVHJhdW1hPC9rZXl3b3JkPjxrZXl3b3JkPkRhdGEgSW50ZXJwcmV0
YXRpb24sIFN0YXRpc3RpY2FsPC9rZXl3b3JkPjxrZXl3b3JkPkh1bWFuczwva2V5d29yZD48a2V5
d29yZD5Nb2RlbHMsIFN0YXRpc3RpY2FsPC9rZXl3b3JkPjxrZXl3b3JkPk11bHRpY2VudGVyIFN0
dWRpZXM8L2tleXdvcmQ+PGtleXdvcmQ+TXlvY2FyZGlhbCBJbmZhcmN0aW9uPC9rZXl3b3JkPjxr
ZXl3b3JkPk5vcm1hbCBEaXN0cmlidXRpb248L2tleXdvcmQ+PGtleXdvcmQ+UHJvYmFiaWxpdHk8
L2tleXdvcmQ+PGtleXdvcmQ+U2FmZXR5PC9rZXl3b3JkPjwva2V5d29yZHM+PGRhdGVzPjx5ZWFy
PjIwMDA8L3llYXI+PC9kYXRlcz48aXNibj4wMjc3NjcxNSAoSVNTTik8L2lzYm4+PHdvcmstdHlw
ZT5BcnRpY2xlPC93b3JrLXR5cGU+PHVybHM+PHJlbGF0ZWQtdXJscz48dXJsPmh0dHBzOi8vd3d3
LnNjb3B1cy5jb20vaW53YXJkL3JlY29yZC51cmk/ZWlkPTItczIuMC0wMDM0NjY5OTM5JmFtcDtk
b2k9MTAuMTAwMiUyZjEwOTctMDI1OCUyODIwMDAxMTE1JTI5MTklM2EyMSUzYzI4OTklM2ElM2FB
SUQtU0lNNTk3JTNlMy4wLkNPJTNiMi1PJmFtcDtwYXJ0bmVySUQ9NDAmYW1wO21kNT0zYzg4NjAw
MWE3YjY2YjZjY2RlY2NkYTlkYzQ1MWZlYTwvdXJsPjwvcmVsYXRlZC11cmxzPjwvdXJscz48ZWxl
Y3Ryb25pYy1yZXNvdXJjZS1udW0+MTAuMTAwMi8xMDk3LTAyNTgoMjAwMDExMTUpMTk6MjEmbHQ7
Mjg5OTo6QUlELVNJTTU5NyZndDszLjAuQ087Mi1PPC9lbGVjdHJvbmljLXJlc291cmNlLW51bT48
cmVtb3RlLWRhdGFiYXNlLW5hbWU+U2NvcHVzPC9yZW1vdGUtZGF0YWJhc2UtbmFtZT48bGFuZ3Vh
Z2U+RW5nbGlzaDwvbGFuZ3VhZ2U+PC9yZWNvcmQ+PC9DaXRlPjwvRW5kTm90ZT5=
</w:fldData>
              </w:fldChar>
            </w:r>
            <w:r>
              <w:rPr>
                <w:sz w:val="20"/>
              </w:rPr>
              <w:instrText xml:space="preserve"> ADDIN EN.CITE.DATA </w:instrText>
            </w:r>
            <w:r>
              <w:rPr>
                <w:sz w:val="20"/>
              </w:rPr>
            </w:r>
            <w:r>
              <w:rPr>
                <w:sz w:val="20"/>
              </w:rPr>
              <w:fldChar w:fldCharType="end"/>
            </w:r>
            <w:r>
              <w:rPr>
                <w:sz w:val="20"/>
              </w:rPr>
            </w:r>
            <w:r>
              <w:rPr>
                <w:sz w:val="20"/>
              </w:rPr>
              <w:fldChar w:fldCharType="separate"/>
            </w:r>
            <w:r w:rsidRPr="009A6245">
              <w:rPr>
                <w:noProof/>
                <w:sz w:val="20"/>
                <w:vertAlign w:val="superscript"/>
              </w:rPr>
              <w:t>11</w:t>
            </w:r>
            <w:r>
              <w:rPr>
                <w:sz w:val="20"/>
              </w:rPr>
              <w:fldChar w:fldCharType="end"/>
            </w:r>
          </w:p>
        </w:tc>
        <w:tc>
          <w:tcPr>
            <w:tcW w:w="2938" w:type="dxa"/>
            <w:noWrap/>
            <w:hideMark/>
          </w:tcPr>
          <w:p w14:paraId="605564E3" w14:textId="77777777" w:rsidR="00E37363" w:rsidRPr="00A344D2" w:rsidRDefault="00E37363" w:rsidP="00B45076">
            <w:pPr>
              <w:rPr>
                <w:sz w:val="20"/>
              </w:rPr>
            </w:pPr>
            <w:r>
              <w:rPr>
                <w:sz w:val="20"/>
              </w:rPr>
              <w:t>Alpha-</w:t>
            </w:r>
            <w:r w:rsidRPr="00A344D2">
              <w:rPr>
                <w:sz w:val="20"/>
              </w:rPr>
              <w:t>spending function</w:t>
            </w:r>
            <w:r>
              <w:rPr>
                <w:sz w:val="20"/>
              </w:rPr>
              <w:t xml:space="preserve"> for sequential monitoring</w:t>
            </w:r>
          </w:p>
        </w:tc>
      </w:tr>
      <w:tr w:rsidR="00E37363" w:rsidRPr="00554871" w14:paraId="784EB601" w14:textId="77777777" w:rsidTr="00B45076">
        <w:trPr>
          <w:trHeight w:val="300"/>
        </w:trPr>
        <w:tc>
          <w:tcPr>
            <w:tcW w:w="1331" w:type="dxa"/>
            <w:vMerge/>
            <w:hideMark/>
          </w:tcPr>
          <w:p w14:paraId="3DEC3E3A" w14:textId="77777777" w:rsidR="00E37363" w:rsidRPr="00A344D2" w:rsidRDefault="00E37363" w:rsidP="00B45076">
            <w:pPr>
              <w:rPr>
                <w:sz w:val="20"/>
              </w:rPr>
            </w:pPr>
          </w:p>
        </w:tc>
        <w:tc>
          <w:tcPr>
            <w:tcW w:w="2630" w:type="dxa"/>
            <w:noWrap/>
            <w:hideMark/>
          </w:tcPr>
          <w:p w14:paraId="2B1C0F6A" w14:textId="77777777" w:rsidR="00E37363" w:rsidRPr="00A344D2" w:rsidRDefault="00E37363" w:rsidP="00B45076">
            <w:pPr>
              <w:rPr>
                <w:sz w:val="20"/>
              </w:rPr>
            </w:pPr>
            <w:r>
              <w:rPr>
                <w:sz w:val="20"/>
              </w:rPr>
              <w:t>Binary, count, time-to-event  or continuous</w:t>
            </w:r>
          </w:p>
        </w:tc>
        <w:tc>
          <w:tcPr>
            <w:tcW w:w="1569" w:type="dxa"/>
            <w:noWrap/>
            <w:hideMark/>
          </w:tcPr>
          <w:p w14:paraId="6E880EE6" w14:textId="77777777" w:rsidR="00E37363" w:rsidRPr="00A344D2" w:rsidRDefault="00E37363" w:rsidP="00B45076">
            <w:pPr>
              <w:rPr>
                <w:sz w:val="20"/>
              </w:rPr>
            </w:pPr>
            <w:r w:rsidRPr="00A344D2">
              <w:rPr>
                <w:sz w:val="20"/>
              </w:rPr>
              <w:t xml:space="preserve">Not </w:t>
            </w:r>
            <w:r>
              <w:rPr>
                <w:sz w:val="20"/>
              </w:rPr>
              <w:t xml:space="preserve">applicable </w:t>
            </w:r>
          </w:p>
        </w:tc>
        <w:tc>
          <w:tcPr>
            <w:tcW w:w="1455" w:type="dxa"/>
            <w:vMerge w:val="restart"/>
            <w:noWrap/>
            <w:hideMark/>
          </w:tcPr>
          <w:p w14:paraId="74B09300" w14:textId="77777777" w:rsidR="00E37363" w:rsidRDefault="00E37363" w:rsidP="00B45076">
            <w:pPr>
              <w:rPr>
                <w:sz w:val="20"/>
              </w:rPr>
            </w:pPr>
          </w:p>
          <w:p w14:paraId="3504542C" w14:textId="77777777" w:rsidR="00E37363" w:rsidRDefault="00E37363" w:rsidP="00B45076">
            <w:pPr>
              <w:rPr>
                <w:sz w:val="20"/>
              </w:rPr>
            </w:pPr>
          </w:p>
          <w:p w14:paraId="021DE87E" w14:textId="77777777" w:rsidR="00E37363" w:rsidRPr="00A344D2" w:rsidRDefault="00E37363" w:rsidP="00B45076">
            <w:pPr>
              <w:rPr>
                <w:sz w:val="20"/>
              </w:rPr>
            </w:pPr>
            <w:r w:rsidRPr="00A344D2">
              <w:rPr>
                <w:sz w:val="20"/>
              </w:rPr>
              <w:t>Fleishman &amp; Parker</w:t>
            </w:r>
            <w:r>
              <w:rPr>
                <w:sz w:val="20"/>
              </w:rPr>
              <w:fldChar w:fldCharType="begin">
                <w:fldData xml:space="preserve">PEVuZE5vdGU+PENpdGU+PEF1dGhvcj5GbGVpc2htYW48L0F1dGhvcj48WWVhcj4yMDEyPC9ZZWFy
PjxSZWNOdW0+ODY3NDwvUmVjTnVtPjxEaXNwbGF5VGV4dD48c3R5bGUgZmFjZT0ic3VwZXJzY3Jp
cHQiPjEyPC9zdHlsZT48L0Rpc3BsYXlUZXh0PjxyZWNvcmQ+PHJlYy1udW1iZXI+ODY3NDwvcmVj
LW51bWJlcj48Zm9yZWlnbi1rZXlzPjxrZXkgYXBwPSJFTiIgZGItaWQ9InoyZjVhNXB0MDIyMnA4
ZXNlc3V2NTl0b3cwdHJ0emZwZHhhdyIgdGltZXN0YW1wPSIxNTIxMDQ3MzkxIj44Njc0PC9rZXk+
PC9mb3JlaWduLWtleXM+PHJlZi10eXBlIG5hbWU9IkpvdXJuYWwgQXJ0aWNsZSI+MTc8L3JlZi10
eXBlPjxjb250cmlidXRvcnM+PGF1dGhvcnM+PGF1dGhvcj5GbGVpc2htYW4sIEEuIE4uPC9hdXRo
b3I+PGF1dGhvcj5QYXJrZXIsIFIuIEEuPC9hdXRob3I+PC9hdXRob3JzPjwvY29udHJpYnV0b3Jz
PjxhdXRoLWFkZHJlc3M+QW1nZW4sIDEgQW1nZW4gQ2VudGVyIERyaXZlL01TLTI0LUEsIFRob3Vz
YW5kIE9ha3MsIENBIDkxMzIwLCBVbml0ZWQgU3RhdGVzPC9hdXRoLWFkZHJlc3M+PHRpdGxlcz48
dGl0bGU+U3RvcHBpbmcgZ3VpZGVsaW5lcyBmb3IgaGFybSBpbiBhIHN0dWR5IGRlc2lnbmVkIHRv
IGVzdGFibGlzaCB0aGUgc2FmZXR5IG9mIGEgbWFya2V0ZWQgZHJ1ZzwvdGl0bGU+PHNlY29uZGFy
eS10aXRsZT5Kb3VybmFsIG9mIEJpb3BoYXJtYWNldXRpY2FsIFN0YXRpc3RpY3M8L3NlY29uZGFy
eS10aXRsZT48YWx0LXRpdGxlPkouIEJpb3BoYXJtLiBTdGF0LjwvYWx0LXRpdGxlPjwvdGl0bGVz
PjxwZXJpb2RpY2FsPjxmdWxsLXRpdGxlPkpvdXJuYWwgb2YgQmlvcGhhcm1hY2V1dGljYWwgU3Rh
dGlzdGljczwvZnVsbC10aXRsZT48L3BlcmlvZGljYWw+PHBhZ2VzPjMzOC0zNTA8L3BhZ2VzPjx2
b2x1bWU+MjI8L3ZvbHVtZT48bnVtYmVyPjI8L251bWJlcj48a2V5d29yZHM+PGtleXdvcmQ+Q29u
ZGl0aW9uYWwgcG93ZXI8L2tleXdvcmQ+PGtleXdvcmQ+RGF0YSBtb25pdG9yaW5nIGNvbW1pdHRl
ZTwva2V5d29yZD48a2V5d29yZD5FeHRyZW1lIHZhbHVlIGRpc3RyaWJ1dGlvbjwva2V5d29yZD48
a2V5d29yZD5JbnRlcmltIGFuYWx5c2lzPC9rZXl3b3JkPjxrZXl3b3JkPlNhZmV0eSBzdHVkeTwv
a2V5d29yZD48a2V5d29yZD5TcGVuZGluZyBmdW5jdGlvbnM8L2tleXdvcmQ+PGtleXdvcmQ+U3Rv
cHBpbmcgZ3VpZGVsaW5lczwva2V5d29yZD48a2V5d29yZD5hcnRpY2xlPC9rZXl3b3JkPjxrZXl3
b3JkPmRydWcgbWFya2V0aW5nPC9rZXl3b3JkPjxrZXl3b3JkPmRydWcgbW9uaXRvcmluZzwva2V5
d29yZD48a2V5d29yZD5kcnVnIHNhZmV0eTwva2V5d29yZD48a2V5d29yZD5wcmFjdGljZSBndWlk
ZWxpbmU8L2tleXdvcmQ+PGtleXdvcmQ+cHJpb3JpdHkgam91cm5hbDwva2V5d29yZD48a2V5d29y
ZD5DbGluaWNhbCBUcmlhbHMgYXMgVG9waWM8L2tleXdvcmQ+PGtleXdvcmQ+Q2xpbmljYWwgVHJp
YWxzIERhdGEgTW9uaXRvcmluZyBDb21taXR0ZWVzPC9rZXl3b3JkPjxrZXl3b3JkPkNvbXB1dGVy
IFNpbXVsYXRpb248L2tleXdvcmQ+PGtleXdvcmQ+RGF0YSBJbnRlcnByZXRhdGlvbiwgU3RhdGlz
dGljYWw8L2tleXdvcmQ+PGtleXdvcmQ+RHJ1ZyBUb3hpY2l0eTwva2V5d29yZD48a2V5d29yZD5F
bmRwb2ludCBEZXRlcm1pbmF0aW9uPC9rZXl3b3JkPjxrZXl3b3JkPkh1bWFuczwva2V5d29yZD48
a2V5d29yZD5Nb2RlbHMsIFN0YXRpc3RpY2FsPC9rZXl3b3JkPjxrZXl3b3JkPlByYWN0aWNlIEd1
aWRlbGluZXMgYXMgVG9waWM8L2tleXdvcmQ+PGtleXdvcmQ+UmVzZWFyY2ggRGVzaWduPC9rZXl3
b3JkPjxrZXl3b3JkPlRyZWF0bWVudCBPdXRjb21lPC9rZXl3b3JkPjwva2V5d29yZHM+PGRhdGVz
Pjx5ZWFyPjIwMTI8L3llYXI+PC9kYXRlcz48aXNibj4xMDU0MzQwNiAoSVNTTik8L2lzYm4+PHdv
cmstdHlwZT5BcnRpY2xlPC93b3JrLXR5cGU+PHVybHM+PHJlbGF0ZWQtdXJscz48dXJsPmh0dHBz
Oi8vd3d3LnNjb3B1cy5jb20vaW53YXJkL3JlY29yZC51cmk/ZWlkPTItczIuMC04NDg1NjgzNTA2
MyZhbXA7ZG9pPTEwLjEwODAlMmYxMDU0MzQwNi4yMDEwLjUzNjg3MiZhbXA7cGFydG5lcklEPTQw
JmFtcDttZDU9M2UyMDA5NzMxZjhmOTkwY2FkYmM1YjM0MWNhMTU3YzA8L3VybD48L3JlbGF0ZWQt
dXJscz48L3VybHM+PGVsZWN0cm9uaWMtcmVzb3VyY2UtbnVtPjEwLjEwODAvMTA1NDM0MDYuMjAx
MC41MzY4NzI8L2VsZWN0cm9uaWMtcmVzb3VyY2UtbnVtPjxyZW1vdGUtZGF0YWJhc2UtbmFtZT5T
Y29wdXM8L3JlbW90ZS1kYXRhYmFzZS1uYW1lPjxsYW5ndWFnZT5FbmdsaXNoPC9sYW5ndWFnZT48
L3JlY29yZD48L0NpdGU+PC9FbmROb3RlPn==
</w:fldData>
              </w:fldChar>
            </w:r>
            <w:r>
              <w:rPr>
                <w:sz w:val="20"/>
              </w:rPr>
              <w:instrText xml:space="preserve"> ADDIN EN.CITE </w:instrText>
            </w:r>
            <w:r>
              <w:rPr>
                <w:sz w:val="20"/>
              </w:rPr>
              <w:fldChar w:fldCharType="begin">
                <w:fldData xml:space="preserve">PEVuZE5vdGU+PENpdGU+PEF1dGhvcj5GbGVpc2htYW48L0F1dGhvcj48WWVhcj4yMDEyPC9ZZWFy
PjxSZWNOdW0+ODY3NDwvUmVjTnVtPjxEaXNwbGF5VGV4dD48c3R5bGUgZmFjZT0ic3VwZXJzY3Jp
cHQiPjEyPC9zdHlsZT48L0Rpc3BsYXlUZXh0PjxyZWNvcmQ+PHJlYy1udW1iZXI+ODY3NDwvcmVj
LW51bWJlcj48Zm9yZWlnbi1rZXlzPjxrZXkgYXBwPSJFTiIgZGItaWQ9InoyZjVhNXB0MDIyMnA4
ZXNlc3V2NTl0b3cwdHJ0emZwZHhhdyIgdGltZXN0YW1wPSIxNTIxMDQ3MzkxIj44Njc0PC9rZXk+
PC9mb3JlaWduLWtleXM+PHJlZi10eXBlIG5hbWU9IkpvdXJuYWwgQXJ0aWNsZSI+MTc8L3JlZi10
eXBlPjxjb250cmlidXRvcnM+PGF1dGhvcnM+PGF1dGhvcj5GbGVpc2htYW4sIEEuIE4uPC9hdXRo
b3I+PGF1dGhvcj5QYXJrZXIsIFIuIEEuPC9hdXRob3I+PC9hdXRob3JzPjwvY29udHJpYnV0b3Jz
PjxhdXRoLWFkZHJlc3M+QW1nZW4sIDEgQW1nZW4gQ2VudGVyIERyaXZlL01TLTI0LUEsIFRob3Vz
YW5kIE9ha3MsIENBIDkxMzIwLCBVbml0ZWQgU3RhdGVzPC9hdXRoLWFkZHJlc3M+PHRpdGxlcz48
dGl0bGU+U3RvcHBpbmcgZ3VpZGVsaW5lcyBmb3IgaGFybSBpbiBhIHN0dWR5IGRlc2lnbmVkIHRv
IGVzdGFibGlzaCB0aGUgc2FmZXR5IG9mIGEgbWFya2V0ZWQgZHJ1ZzwvdGl0bGU+PHNlY29uZGFy
eS10aXRsZT5Kb3VybmFsIG9mIEJpb3BoYXJtYWNldXRpY2FsIFN0YXRpc3RpY3M8L3NlY29uZGFy
eS10aXRsZT48YWx0LXRpdGxlPkouIEJpb3BoYXJtLiBTdGF0LjwvYWx0LXRpdGxlPjwvdGl0bGVz
PjxwZXJpb2RpY2FsPjxmdWxsLXRpdGxlPkpvdXJuYWwgb2YgQmlvcGhhcm1hY2V1dGljYWwgU3Rh
dGlzdGljczwvZnVsbC10aXRsZT48L3BlcmlvZGljYWw+PHBhZ2VzPjMzOC0zNTA8L3BhZ2VzPjx2
b2x1bWU+MjI8L3ZvbHVtZT48bnVtYmVyPjI8L251bWJlcj48a2V5d29yZHM+PGtleXdvcmQ+Q29u
ZGl0aW9uYWwgcG93ZXI8L2tleXdvcmQ+PGtleXdvcmQ+RGF0YSBtb25pdG9yaW5nIGNvbW1pdHRl
ZTwva2V5d29yZD48a2V5d29yZD5FeHRyZW1lIHZhbHVlIGRpc3RyaWJ1dGlvbjwva2V5d29yZD48
a2V5d29yZD5JbnRlcmltIGFuYWx5c2lzPC9rZXl3b3JkPjxrZXl3b3JkPlNhZmV0eSBzdHVkeTwv
a2V5d29yZD48a2V5d29yZD5TcGVuZGluZyBmdW5jdGlvbnM8L2tleXdvcmQ+PGtleXdvcmQ+U3Rv
cHBpbmcgZ3VpZGVsaW5lczwva2V5d29yZD48a2V5d29yZD5hcnRpY2xlPC9rZXl3b3JkPjxrZXl3
b3JkPmRydWcgbWFya2V0aW5nPC9rZXl3b3JkPjxrZXl3b3JkPmRydWcgbW9uaXRvcmluZzwva2V5
d29yZD48a2V5d29yZD5kcnVnIHNhZmV0eTwva2V5d29yZD48a2V5d29yZD5wcmFjdGljZSBndWlk
ZWxpbmU8L2tleXdvcmQ+PGtleXdvcmQ+cHJpb3JpdHkgam91cm5hbDwva2V5d29yZD48a2V5d29y
ZD5DbGluaWNhbCBUcmlhbHMgYXMgVG9waWM8L2tleXdvcmQ+PGtleXdvcmQ+Q2xpbmljYWwgVHJp
YWxzIERhdGEgTW9uaXRvcmluZyBDb21taXR0ZWVzPC9rZXl3b3JkPjxrZXl3b3JkPkNvbXB1dGVy
IFNpbXVsYXRpb248L2tleXdvcmQ+PGtleXdvcmQ+RGF0YSBJbnRlcnByZXRhdGlvbiwgU3RhdGlz
dGljYWw8L2tleXdvcmQ+PGtleXdvcmQ+RHJ1ZyBUb3hpY2l0eTwva2V5d29yZD48a2V5d29yZD5F
bmRwb2ludCBEZXRlcm1pbmF0aW9uPC9rZXl3b3JkPjxrZXl3b3JkPkh1bWFuczwva2V5d29yZD48
a2V5d29yZD5Nb2RlbHMsIFN0YXRpc3RpY2FsPC9rZXl3b3JkPjxrZXl3b3JkPlByYWN0aWNlIEd1
aWRlbGluZXMgYXMgVG9waWM8L2tleXdvcmQ+PGtleXdvcmQ+UmVzZWFyY2ggRGVzaWduPC9rZXl3
b3JkPjxrZXl3b3JkPlRyZWF0bWVudCBPdXRjb21lPC9rZXl3b3JkPjwva2V5d29yZHM+PGRhdGVz
Pjx5ZWFyPjIwMTI8L3llYXI+PC9kYXRlcz48aXNibj4xMDU0MzQwNiAoSVNTTik8L2lzYm4+PHdv
cmstdHlwZT5BcnRpY2xlPC93b3JrLXR5cGU+PHVybHM+PHJlbGF0ZWQtdXJscz48dXJsPmh0dHBz
Oi8vd3d3LnNjb3B1cy5jb20vaW53YXJkL3JlY29yZC51cmk/ZWlkPTItczIuMC04NDg1NjgzNTA2
MyZhbXA7ZG9pPTEwLjEwODAlMmYxMDU0MzQwNi4yMDEwLjUzNjg3MiZhbXA7cGFydG5lcklEPTQw
JmFtcDttZDU9M2UyMDA5NzMxZjhmOTkwY2FkYmM1YjM0MWNhMTU3YzA8L3VybD48L3JlbGF0ZWQt
dXJscz48L3VybHM+PGVsZWN0cm9uaWMtcmVzb3VyY2UtbnVtPjEwLjEwODAvMTA1NDM0MDYuMjAx
MC41MzY4NzI8L2VsZWN0cm9uaWMtcmVzb3VyY2UtbnVtPjxyZW1vdGUtZGF0YWJhc2UtbmFtZT5T
Y29wdXM8L3JlbW90ZS1kYXRhYmFzZS1uYW1lPjxsYW5ndWFnZT5FbmdsaXNoPC9sYW5ndWFnZT48
L3JlY29yZD48L0NpdGU+PC9FbmROb3RlPn==
</w:fldData>
              </w:fldChar>
            </w:r>
            <w:r>
              <w:rPr>
                <w:sz w:val="20"/>
              </w:rPr>
              <w:instrText xml:space="preserve"> ADDIN EN.CITE.DATA </w:instrText>
            </w:r>
            <w:r>
              <w:rPr>
                <w:sz w:val="20"/>
              </w:rPr>
            </w:r>
            <w:r>
              <w:rPr>
                <w:sz w:val="20"/>
              </w:rPr>
              <w:fldChar w:fldCharType="end"/>
            </w:r>
            <w:r>
              <w:rPr>
                <w:sz w:val="20"/>
              </w:rPr>
            </w:r>
            <w:r>
              <w:rPr>
                <w:sz w:val="20"/>
              </w:rPr>
              <w:fldChar w:fldCharType="separate"/>
            </w:r>
            <w:r w:rsidRPr="009A6245">
              <w:rPr>
                <w:noProof/>
                <w:sz w:val="20"/>
                <w:vertAlign w:val="superscript"/>
              </w:rPr>
              <w:t>12</w:t>
            </w:r>
            <w:r>
              <w:rPr>
                <w:sz w:val="20"/>
              </w:rPr>
              <w:fldChar w:fldCharType="end"/>
            </w:r>
          </w:p>
        </w:tc>
        <w:tc>
          <w:tcPr>
            <w:tcW w:w="2938" w:type="dxa"/>
            <w:noWrap/>
            <w:hideMark/>
          </w:tcPr>
          <w:p w14:paraId="506CC858" w14:textId="77777777" w:rsidR="00E37363" w:rsidRPr="00A344D2" w:rsidRDefault="00E37363" w:rsidP="00B45076">
            <w:pPr>
              <w:rPr>
                <w:sz w:val="20"/>
              </w:rPr>
            </w:pPr>
            <w:r w:rsidRPr="00A344D2">
              <w:rPr>
                <w:sz w:val="20"/>
              </w:rPr>
              <w:t>Redefine significance threshold</w:t>
            </w:r>
            <w:r>
              <w:rPr>
                <w:sz w:val="20"/>
              </w:rPr>
              <w:t xml:space="preserve"> for sequential monitoring</w:t>
            </w:r>
          </w:p>
        </w:tc>
      </w:tr>
      <w:tr w:rsidR="00E37363" w:rsidRPr="00554871" w14:paraId="799F01F5" w14:textId="77777777" w:rsidTr="00B45076">
        <w:trPr>
          <w:trHeight w:val="300"/>
        </w:trPr>
        <w:tc>
          <w:tcPr>
            <w:tcW w:w="1331" w:type="dxa"/>
            <w:vMerge/>
            <w:hideMark/>
          </w:tcPr>
          <w:p w14:paraId="7EA933A1" w14:textId="77777777" w:rsidR="00E37363" w:rsidRPr="00A344D2" w:rsidRDefault="00E37363" w:rsidP="00B45076">
            <w:pPr>
              <w:rPr>
                <w:sz w:val="20"/>
              </w:rPr>
            </w:pPr>
          </w:p>
        </w:tc>
        <w:tc>
          <w:tcPr>
            <w:tcW w:w="2630" w:type="dxa"/>
            <w:noWrap/>
            <w:hideMark/>
          </w:tcPr>
          <w:p w14:paraId="3C2E9DA7" w14:textId="77777777" w:rsidR="00E37363" w:rsidRPr="00A344D2" w:rsidRDefault="00E37363" w:rsidP="00B45076">
            <w:pPr>
              <w:rPr>
                <w:sz w:val="20"/>
              </w:rPr>
            </w:pPr>
            <w:r>
              <w:rPr>
                <w:sz w:val="20"/>
              </w:rPr>
              <w:t xml:space="preserve">Binary, count, time-to-event or continuous </w:t>
            </w:r>
          </w:p>
        </w:tc>
        <w:tc>
          <w:tcPr>
            <w:tcW w:w="1569" w:type="dxa"/>
            <w:noWrap/>
            <w:hideMark/>
          </w:tcPr>
          <w:p w14:paraId="6362D460" w14:textId="77777777" w:rsidR="00E37363" w:rsidRPr="00A344D2" w:rsidRDefault="00E37363" w:rsidP="00B45076">
            <w:pPr>
              <w:rPr>
                <w:sz w:val="20"/>
              </w:rPr>
            </w:pPr>
            <w:r w:rsidRPr="00A344D2">
              <w:rPr>
                <w:sz w:val="20"/>
              </w:rPr>
              <w:t xml:space="preserve">Not </w:t>
            </w:r>
            <w:r>
              <w:rPr>
                <w:sz w:val="20"/>
              </w:rPr>
              <w:t>applicable</w:t>
            </w:r>
          </w:p>
        </w:tc>
        <w:tc>
          <w:tcPr>
            <w:tcW w:w="1455" w:type="dxa"/>
            <w:vMerge/>
            <w:noWrap/>
            <w:hideMark/>
          </w:tcPr>
          <w:p w14:paraId="617A565E" w14:textId="77777777" w:rsidR="00E37363" w:rsidRPr="00A344D2" w:rsidRDefault="00E37363" w:rsidP="00B45076">
            <w:pPr>
              <w:rPr>
                <w:sz w:val="20"/>
              </w:rPr>
            </w:pPr>
          </w:p>
        </w:tc>
        <w:tc>
          <w:tcPr>
            <w:tcW w:w="2938" w:type="dxa"/>
            <w:noWrap/>
            <w:hideMark/>
          </w:tcPr>
          <w:p w14:paraId="2D5038C7" w14:textId="77777777" w:rsidR="00E37363" w:rsidRPr="00A344D2" w:rsidRDefault="00E37363" w:rsidP="00B45076">
            <w:pPr>
              <w:rPr>
                <w:sz w:val="20"/>
              </w:rPr>
            </w:pPr>
            <w:r w:rsidRPr="00A344D2">
              <w:rPr>
                <w:sz w:val="20"/>
              </w:rPr>
              <w:t>Conditional power at each interim</w:t>
            </w:r>
            <w:r>
              <w:rPr>
                <w:sz w:val="20"/>
              </w:rPr>
              <w:t xml:space="preserve"> analysis for sequential monitoring</w:t>
            </w:r>
          </w:p>
        </w:tc>
      </w:tr>
      <w:tr w:rsidR="00E37363" w:rsidRPr="00554871" w14:paraId="12A72275" w14:textId="77777777" w:rsidTr="00B45076">
        <w:trPr>
          <w:trHeight w:val="300"/>
        </w:trPr>
        <w:tc>
          <w:tcPr>
            <w:tcW w:w="1331" w:type="dxa"/>
            <w:vMerge/>
            <w:hideMark/>
          </w:tcPr>
          <w:p w14:paraId="641B01C6" w14:textId="77777777" w:rsidR="00E37363" w:rsidRPr="00A344D2" w:rsidRDefault="00E37363" w:rsidP="00B45076">
            <w:pPr>
              <w:rPr>
                <w:sz w:val="20"/>
              </w:rPr>
            </w:pPr>
          </w:p>
        </w:tc>
        <w:tc>
          <w:tcPr>
            <w:tcW w:w="2630" w:type="dxa"/>
            <w:noWrap/>
            <w:hideMark/>
          </w:tcPr>
          <w:p w14:paraId="7B1FE6D0" w14:textId="77777777" w:rsidR="00E37363" w:rsidRPr="00A344D2" w:rsidRDefault="00E37363" w:rsidP="00B45076">
            <w:pPr>
              <w:rPr>
                <w:sz w:val="20"/>
              </w:rPr>
            </w:pPr>
            <w:r>
              <w:rPr>
                <w:sz w:val="20"/>
              </w:rPr>
              <w:t>Time-to-event</w:t>
            </w:r>
            <w:r w:rsidRPr="00A344D2">
              <w:rPr>
                <w:sz w:val="20"/>
              </w:rPr>
              <w:t xml:space="preserve"> </w:t>
            </w:r>
          </w:p>
        </w:tc>
        <w:tc>
          <w:tcPr>
            <w:tcW w:w="1569" w:type="dxa"/>
            <w:shd w:val="clear" w:color="auto" w:fill="auto"/>
            <w:noWrap/>
            <w:hideMark/>
          </w:tcPr>
          <w:p w14:paraId="11E6AA42" w14:textId="77777777" w:rsidR="00E37363" w:rsidRPr="00EA6F25" w:rsidRDefault="00E37363" w:rsidP="00B45076">
            <w:pPr>
              <w:rPr>
                <w:sz w:val="20"/>
                <w:highlight w:val="yellow"/>
              </w:rPr>
            </w:pPr>
            <w:r w:rsidRPr="00A1545C">
              <w:rPr>
                <w:sz w:val="20"/>
              </w:rPr>
              <w:t>Exponential</w:t>
            </w:r>
          </w:p>
        </w:tc>
        <w:tc>
          <w:tcPr>
            <w:tcW w:w="1455" w:type="dxa"/>
            <w:vMerge/>
            <w:noWrap/>
            <w:hideMark/>
          </w:tcPr>
          <w:p w14:paraId="591E60A5" w14:textId="77777777" w:rsidR="00E37363" w:rsidRPr="00A344D2" w:rsidRDefault="00E37363" w:rsidP="00B45076">
            <w:pPr>
              <w:rPr>
                <w:sz w:val="20"/>
              </w:rPr>
            </w:pPr>
          </w:p>
        </w:tc>
        <w:tc>
          <w:tcPr>
            <w:tcW w:w="2938" w:type="dxa"/>
            <w:noWrap/>
            <w:hideMark/>
          </w:tcPr>
          <w:p w14:paraId="7D6E7C65" w14:textId="77777777" w:rsidR="00E37363" w:rsidRPr="00A344D2" w:rsidRDefault="00E37363" w:rsidP="00B45076">
            <w:pPr>
              <w:rPr>
                <w:sz w:val="20"/>
              </w:rPr>
            </w:pPr>
            <w:r>
              <w:rPr>
                <w:sz w:val="20"/>
              </w:rPr>
              <w:t>Alpha-</w:t>
            </w:r>
            <w:r w:rsidRPr="00A344D2">
              <w:rPr>
                <w:sz w:val="20"/>
              </w:rPr>
              <w:t>spending function</w:t>
            </w:r>
            <w:r>
              <w:rPr>
                <w:sz w:val="20"/>
              </w:rPr>
              <w:t xml:space="preserve"> for sequential monitoring</w:t>
            </w:r>
          </w:p>
        </w:tc>
      </w:tr>
      <w:tr w:rsidR="00E37363" w:rsidRPr="00554871" w14:paraId="2631159E" w14:textId="77777777" w:rsidTr="00B45076">
        <w:trPr>
          <w:trHeight w:val="300"/>
        </w:trPr>
        <w:tc>
          <w:tcPr>
            <w:tcW w:w="1331" w:type="dxa"/>
            <w:vMerge/>
            <w:hideMark/>
          </w:tcPr>
          <w:p w14:paraId="30E1AE68" w14:textId="77777777" w:rsidR="00E37363" w:rsidRPr="00A344D2" w:rsidRDefault="00E37363" w:rsidP="00B45076">
            <w:pPr>
              <w:rPr>
                <w:sz w:val="20"/>
              </w:rPr>
            </w:pPr>
          </w:p>
        </w:tc>
        <w:tc>
          <w:tcPr>
            <w:tcW w:w="2630" w:type="dxa"/>
            <w:noWrap/>
            <w:hideMark/>
          </w:tcPr>
          <w:p w14:paraId="5CECA5B2" w14:textId="77777777" w:rsidR="00E37363" w:rsidRPr="00A344D2" w:rsidRDefault="00E37363" w:rsidP="00B45076">
            <w:pPr>
              <w:rPr>
                <w:sz w:val="20"/>
              </w:rPr>
            </w:pPr>
            <w:r w:rsidRPr="00A344D2">
              <w:rPr>
                <w:sz w:val="20"/>
              </w:rPr>
              <w:t xml:space="preserve">Binary </w:t>
            </w:r>
            <w:r>
              <w:rPr>
                <w:sz w:val="20"/>
              </w:rPr>
              <w:t>or incidence rate</w:t>
            </w:r>
          </w:p>
        </w:tc>
        <w:tc>
          <w:tcPr>
            <w:tcW w:w="1569" w:type="dxa"/>
            <w:noWrap/>
            <w:hideMark/>
          </w:tcPr>
          <w:p w14:paraId="7D9D764D" w14:textId="77777777" w:rsidR="00E37363" w:rsidRPr="00A344D2" w:rsidRDefault="00E37363" w:rsidP="00B45076">
            <w:pPr>
              <w:rPr>
                <w:sz w:val="20"/>
              </w:rPr>
            </w:pPr>
            <w:r w:rsidRPr="00A344D2">
              <w:rPr>
                <w:sz w:val="20"/>
              </w:rPr>
              <w:t>Binomial or Poisson</w:t>
            </w:r>
          </w:p>
        </w:tc>
        <w:tc>
          <w:tcPr>
            <w:tcW w:w="1455" w:type="dxa"/>
            <w:noWrap/>
            <w:hideMark/>
          </w:tcPr>
          <w:p w14:paraId="1CD0639B" w14:textId="77777777" w:rsidR="00E37363" w:rsidRPr="00A344D2" w:rsidRDefault="00E37363" w:rsidP="00B45076">
            <w:pPr>
              <w:rPr>
                <w:sz w:val="20"/>
              </w:rPr>
            </w:pPr>
            <w:r w:rsidRPr="00A344D2">
              <w:rPr>
                <w:sz w:val="20"/>
              </w:rPr>
              <w:t>Lieu</w:t>
            </w:r>
            <w:r>
              <w:rPr>
                <w:sz w:val="20"/>
              </w:rPr>
              <w:t xml:space="preserve"> et al.</w:t>
            </w:r>
            <w:r>
              <w:rPr>
                <w:sz w:val="20"/>
              </w:rPr>
              <w:fldChar w:fldCharType="begin">
                <w:fldData xml:space="preserve">PEVuZE5vdGU+PENpdGU+PEF1dGhvcj5MaWV1PC9BdXRob3I+PFllYXI+MjAwNzwvWWVhcj48UmVj
TnVtPjg5NzM8L1JlY051bT48RGlzcGxheVRleHQ+PHN0eWxlIGZhY2U9InN1cGVyc2NyaXB0Ij4x
Mzwvc3R5bGU+PC9EaXNwbGF5VGV4dD48cmVjb3JkPjxyZWMtbnVtYmVyPjg5NzM8L3JlYy1udW1i
ZXI+PGZvcmVpZ24ta2V5cz48a2V5IGFwcD0iRU4iIGRiLWlkPSJ6MmY1YTVwdDAyMjJwOGVzZXN1
djU5dG93MHRydHpmcGR4YXciIHRpbWVzdGFtcD0iMTUyMTA0NzM5NCI+ODk3Mzwva2V5PjwvZm9y
ZWlnbi1rZXlzPjxyZWYtdHlwZSBuYW1lPSJKb3VybmFsIEFydGljbGUiPjE3PC9yZWYtdHlwZT48
Y29udHJpYnV0b3JzPjxhdXRob3JzPjxhdXRob3I+TGlldSwgVC4gQS48L2F1dGhvcj48YXV0aG9y
Pkt1bGxkb3JmZiwgTS48L2F1dGhvcj48YXV0aG9yPkRhdmlzLCBSLiBMLjwvYXV0aG9yPjxhdXRo
b3I+TGV3aXMsIEUuIE0uPC9hdXRob3I+PGF1dGhvcj5XZWludHJhdWIsIEUuPC9hdXRob3I+PGF1
dGhvcj5ZaWgsIEsuPC9hdXRob3I+PGF1dGhvcj5ZaW4sIFIuPC9hdXRob3I+PGF1dGhvcj5Ccm93
biwgSi4gUy48L2F1dGhvcj48YXV0aG9yPlBsYXR0LCBSLjwvYXV0aG9yPjwvYXV0aG9ycz48L2Nv
bnRyaWJ1dG9ycz48YXV0aC1hZGRyZXNzPkRlcGFydG1lbnQgb2YgQW1idWxhdG9yeSBDYXJlIGFu
ZCBQcmV2ZW50aW9uLCBIYXJ2YXJkIE1lZGljYWwgU2Nob29sIGFuZCBIYXJ2YXJkIFBpbGdyaW0g
SGVhbHRoIENhcmUsIEJvc3RvbiwgTUEsIFVuaXRlZCBTdGF0ZXMmI3hEO0RpdmlzaW9uIG9mIEdl
bmVyYWwgUGVkaWF0cmljcywgQ2hpbGRyZW4mYXBvcztzIEhvc3BpdGFsIEJvc3RvbiwgQm9zdG9u
LCBNQSwgVW5pdGVkIFN0YXRlcyYjeEQ7SW1tdW5pemF0aW9uIFNhZmV0eSBPZmZpY2UsIENlbnRl
cnMgZm9yIERpc2Vhc2UgQ29udHJvbCBhbmQgUHJldmVudGlvbiwgQXRsYW50YSwgR0EsIFVuaXRl
ZCBTdGF0ZXMmI3hEO1BlZGlhdHJpYyBWYWNjaW5lIFN0dWR5IENlbnRlciwgS2Fpc2VyIFBlcm1h
bmVudGUgb2YgTm9ydGhlcm4gQ2FsaWZvcm5pYSwgT2FrbGFuZCwgQ0EsIFVuaXRlZCBTdGF0ZXM8
L2F1dGgtYWRkcmVzcz48dGl0bGVzPjx0aXRsZT5SZWFsLXRpbWUgdmFjY2luZSBzYWZldHkgc3Vy
dmVpbGxhbmNlIGZvciB0aGUgZWFybHkgZGV0ZWN0aW9uIG9mIGFkdmVyc2UgZXZlbnRzPC90aXRs
ZT48c2Vjb25kYXJ5LXRpdGxlPk1lZGljYWwgQ2FyZTwvc2Vjb25kYXJ5LXRpdGxlPjxhbHQtdGl0
bGU+TWVkLiBDYXJlPC9hbHQtdGl0bGU+PC90aXRsZXM+PHBlcmlvZGljYWw+PGZ1bGwtdGl0bGU+
TWVkaWNhbCBDYXJlPC9mdWxsLXRpdGxlPjwvcGVyaW9kaWNhbD48cGFnZXM+Uzg5LVM5NTwvcGFn
ZXM+PHZvbHVtZT40NTwvdm9sdW1lPjxudW1iZXI+MTAgU1VQUEwuIDI8L251bWJlcj48a2V5d29y
ZHM+PGtleXdvcmQ+QWN0aXZlIHN1cnZlaWxsYW5jZTwva2V5d29yZD48a2V5d29yZD5EcnVnIHNh
ZmV0eTwva2V5d29yZD48a2V5d29yZD5NZW5pbmdvY29jY2FsIHZhY2NpbmU8L2tleXdvcmQ+PGtl
eXdvcmQ+U2VxdWVudGlhbCBhbmFseXNpczwva2V5d29yZD48a2V5d29yZD5WYWNjaW5lIHNhZmV0
eTwva2V5d29yZD48a2V5d29yZD5NZW5pbmdvY29jY3VzIHZhY2NpbmU8L2tleXdvcmQ+PGtleXdv
cmQ+YWRvbGVzY2VudDwva2V5d29yZD48a2V5d29yZD5jYXNlIGNvbnRyb2wgc3R1ZHk8L2tleXdv
cmQ+PGtleXdvcmQ+Y2hpbGQ8L2tleXdvcmQ+PGtleXdvcmQ+Y2xpbmljYWwgdHJpYWw8L2tleXdv
cmQ+PGtleXdvcmQ+Y29uZmVyZW5jZSBwYXBlcjwva2V5d29yZD48a2V5d29yZD5kcnVnIHN1cnZl
aWxsYW5jZSBwcm9ncmFtPC9rZXl3b3JkPjxrZXl3b3JkPmZlbWFsZTwva2V5d29yZD48a2V5d29y
ZD5oZWFsdGggbWFpbnRlbmFuY2Ugb3JnYW5pemF0aW9uPC9rZXl3b3JkPjxrZXl3b3JkPmh1bWFu
PC9rZXl3b3JkPjxrZXl3b3JkPm1hbGU8L2tleXdvcmQ+PGtleXdvcmQ+bXVsdGljZW50ZXIgc3R1
ZHk8L2tleXdvcmQ+PGtleXdvcmQ+cHJvc3BlY3RpdmUgc3R1ZHk8L2tleXdvcmQ+PGtleXdvcmQ+
cmlzazwva2V5d29yZD48a2V5d29yZD5zdGF0aXN0aWNhbCBhbmFseXNpczwva2V5d29yZD48a2V5
d29yZD5zdGF0aXN0aWNhbCBtb2RlbDwva2V5d29yZD48a2V5d29yZD5zdGF0aXN0aWNzPC9rZXl3
b3JkPjxrZXl3b3JkPlVuaXRlZCBTdGF0ZXM8L2tleXdvcmQ+PGtleXdvcmQ+QWR2ZXJzZSBEcnVn
IFJlYWN0aW9uIFJlcG9ydGluZyBTeXN0ZW1zPC9rZXl3b3JkPjxrZXl3b3JkPkNhc2UtQ29udHJv
bCBTdHVkaWVzPC9rZXl3b3JkPjxrZXl3b3JkPkhlYWx0aCBNYWludGVuYW5jZSBPcmdhbml6YXRp
b25zPC9rZXl3b3JkPjxrZXl3b3JkPkh1bWFuczwva2V5d29yZD48a2V5d29yZD5MaWtlbGlob29k
IEZ1bmN0aW9uczwva2V5d29yZD48a2V5d29yZD5NYXRjaGVkLVBhaXIgQW5hbHlzaXM8L2tleXdv
cmQ+PGtleXdvcmQ+TWVuaW5nb2NvY2NhbCBWYWNjaW5lczwva2V5d29yZD48a2V5d29yZD5Nb2Rl
bHMsIFN0YXRpc3RpY2FsPC9rZXl3b3JkPjxrZXl3b3JkPlByb3NwZWN0aXZlIFN0dWRpZXM8L2tl
eXdvcmQ+PC9rZXl3b3Jkcz48ZGF0ZXM+PHllYXI+MjAwNzwveWVhcj48L2RhdGVzPjxpc2JuPjAw
MjU3MDc5IChJU1NOKTwvaXNibj48d29yay10eXBlPkFydGljbGU8L3dvcmstdHlwZT48dXJscz48
cmVsYXRlZC11cmxzPjx1cmw+aHR0cHM6Ly93d3cuc2NvcHVzLmNvbS9pbndhcmQvcmVjb3JkLnVy
aT9laWQ9Mi1zMi4wLTM0ODQ4ODI2ODk4JmFtcDtwYXJ0bmVySUQ9NDAmYW1wO21kNT1iNjY4ZDNi
YTQ1MWZhMzBmNGRjNjk1MjdjZmY5Nzc0YjwvdXJsPjwvcmVsYXRlZC11cmxzPjwvdXJscz48cmVt
b3RlLWRhdGFiYXNlLW5hbWU+U2NvcHVzPC9yZW1vdGUtZGF0YWJhc2UtbmFtZT48bGFuZ3VhZ2U+
RW5nbGlzaDwvbGFuZ3VhZ2U+PC9yZWNvcmQ+PC9DaXRlPjwvRW5kTm90ZT4A
</w:fldData>
              </w:fldChar>
            </w:r>
            <w:r>
              <w:rPr>
                <w:sz w:val="20"/>
              </w:rPr>
              <w:instrText xml:space="preserve"> ADDIN EN.CITE </w:instrText>
            </w:r>
            <w:r>
              <w:rPr>
                <w:sz w:val="20"/>
              </w:rPr>
              <w:fldChar w:fldCharType="begin">
                <w:fldData xml:space="preserve">PEVuZE5vdGU+PENpdGU+PEF1dGhvcj5MaWV1PC9BdXRob3I+PFllYXI+MjAwNzwvWWVhcj48UmVj
TnVtPjg5NzM8L1JlY051bT48RGlzcGxheVRleHQ+PHN0eWxlIGZhY2U9InN1cGVyc2NyaXB0Ij4x
Mzwvc3R5bGU+PC9EaXNwbGF5VGV4dD48cmVjb3JkPjxyZWMtbnVtYmVyPjg5NzM8L3JlYy1udW1i
ZXI+PGZvcmVpZ24ta2V5cz48a2V5IGFwcD0iRU4iIGRiLWlkPSJ6MmY1YTVwdDAyMjJwOGVzZXN1
djU5dG93MHRydHpmcGR4YXciIHRpbWVzdGFtcD0iMTUyMTA0NzM5NCI+ODk3Mzwva2V5PjwvZm9y
ZWlnbi1rZXlzPjxyZWYtdHlwZSBuYW1lPSJKb3VybmFsIEFydGljbGUiPjE3PC9yZWYtdHlwZT48
Y29udHJpYnV0b3JzPjxhdXRob3JzPjxhdXRob3I+TGlldSwgVC4gQS48L2F1dGhvcj48YXV0aG9y
Pkt1bGxkb3JmZiwgTS48L2F1dGhvcj48YXV0aG9yPkRhdmlzLCBSLiBMLjwvYXV0aG9yPjxhdXRo
b3I+TGV3aXMsIEUuIE0uPC9hdXRob3I+PGF1dGhvcj5XZWludHJhdWIsIEUuPC9hdXRob3I+PGF1
dGhvcj5ZaWgsIEsuPC9hdXRob3I+PGF1dGhvcj5ZaW4sIFIuPC9hdXRob3I+PGF1dGhvcj5Ccm93
biwgSi4gUy48L2F1dGhvcj48YXV0aG9yPlBsYXR0LCBSLjwvYXV0aG9yPjwvYXV0aG9ycz48L2Nv
bnRyaWJ1dG9ycz48YXV0aC1hZGRyZXNzPkRlcGFydG1lbnQgb2YgQW1idWxhdG9yeSBDYXJlIGFu
ZCBQcmV2ZW50aW9uLCBIYXJ2YXJkIE1lZGljYWwgU2Nob29sIGFuZCBIYXJ2YXJkIFBpbGdyaW0g
SGVhbHRoIENhcmUsIEJvc3RvbiwgTUEsIFVuaXRlZCBTdGF0ZXMmI3hEO0RpdmlzaW9uIG9mIEdl
bmVyYWwgUGVkaWF0cmljcywgQ2hpbGRyZW4mYXBvcztzIEhvc3BpdGFsIEJvc3RvbiwgQm9zdG9u
LCBNQSwgVW5pdGVkIFN0YXRlcyYjeEQ7SW1tdW5pemF0aW9uIFNhZmV0eSBPZmZpY2UsIENlbnRl
cnMgZm9yIERpc2Vhc2UgQ29udHJvbCBhbmQgUHJldmVudGlvbiwgQXRsYW50YSwgR0EsIFVuaXRl
ZCBTdGF0ZXMmI3hEO1BlZGlhdHJpYyBWYWNjaW5lIFN0dWR5IENlbnRlciwgS2Fpc2VyIFBlcm1h
bmVudGUgb2YgTm9ydGhlcm4gQ2FsaWZvcm5pYSwgT2FrbGFuZCwgQ0EsIFVuaXRlZCBTdGF0ZXM8
L2F1dGgtYWRkcmVzcz48dGl0bGVzPjx0aXRsZT5SZWFsLXRpbWUgdmFjY2luZSBzYWZldHkgc3Vy
dmVpbGxhbmNlIGZvciB0aGUgZWFybHkgZGV0ZWN0aW9uIG9mIGFkdmVyc2UgZXZlbnRzPC90aXRs
ZT48c2Vjb25kYXJ5LXRpdGxlPk1lZGljYWwgQ2FyZTwvc2Vjb25kYXJ5LXRpdGxlPjxhbHQtdGl0
bGU+TWVkLiBDYXJlPC9hbHQtdGl0bGU+PC90aXRsZXM+PHBlcmlvZGljYWw+PGZ1bGwtdGl0bGU+
TWVkaWNhbCBDYXJlPC9mdWxsLXRpdGxlPjwvcGVyaW9kaWNhbD48cGFnZXM+Uzg5LVM5NTwvcGFn
ZXM+PHZvbHVtZT40NTwvdm9sdW1lPjxudW1iZXI+MTAgU1VQUEwuIDI8L251bWJlcj48a2V5d29y
ZHM+PGtleXdvcmQ+QWN0aXZlIHN1cnZlaWxsYW5jZTwva2V5d29yZD48a2V5d29yZD5EcnVnIHNh
ZmV0eTwva2V5d29yZD48a2V5d29yZD5NZW5pbmdvY29jY2FsIHZhY2NpbmU8L2tleXdvcmQ+PGtl
eXdvcmQ+U2VxdWVudGlhbCBhbmFseXNpczwva2V5d29yZD48a2V5d29yZD5WYWNjaW5lIHNhZmV0
eTwva2V5d29yZD48a2V5d29yZD5NZW5pbmdvY29jY3VzIHZhY2NpbmU8L2tleXdvcmQ+PGtleXdv
cmQ+YWRvbGVzY2VudDwva2V5d29yZD48a2V5d29yZD5jYXNlIGNvbnRyb2wgc3R1ZHk8L2tleXdv
cmQ+PGtleXdvcmQ+Y2hpbGQ8L2tleXdvcmQ+PGtleXdvcmQ+Y2xpbmljYWwgdHJpYWw8L2tleXdv
cmQ+PGtleXdvcmQ+Y29uZmVyZW5jZSBwYXBlcjwva2V5d29yZD48a2V5d29yZD5kcnVnIHN1cnZl
aWxsYW5jZSBwcm9ncmFtPC9rZXl3b3JkPjxrZXl3b3JkPmZlbWFsZTwva2V5d29yZD48a2V5d29y
ZD5oZWFsdGggbWFpbnRlbmFuY2Ugb3JnYW5pemF0aW9uPC9rZXl3b3JkPjxrZXl3b3JkPmh1bWFu
PC9rZXl3b3JkPjxrZXl3b3JkPm1hbGU8L2tleXdvcmQ+PGtleXdvcmQ+bXVsdGljZW50ZXIgc3R1
ZHk8L2tleXdvcmQ+PGtleXdvcmQ+cHJvc3BlY3RpdmUgc3R1ZHk8L2tleXdvcmQ+PGtleXdvcmQ+
cmlzazwva2V5d29yZD48a2V5d29yZD5zdGF0aXN0aWNhbCBhbmFseXNpczwva2V5d29yZD48a2V5
d29yZD5zdGF0aXN0aWNhbCBtb2RlbDwva2V5d29yZD48a2V5d29yZD5zdGF0aXN0aWNzPC9rZXl3
b3JkPjxrZXl3b3JkPlVuaXRlZCBTdGF0ZXM8L2tleXdvcmQ+PGtleXdvcmQ+QWR2ZXJzZSBEcnVn
IFJlYWN0aW9uIFJlcG9ydGluZyBTeXN0ZW1zPC9rZXl3b3JkPjxrZXl3b3JkPkNhc2UtQ29udHJv
bCBTdHVkaWVzPC9rZXl3b3JkPjxrZXl3b3JkPkhlYWx0aCBNYWludGVuYW5jZSBPcmdhbml6YXRp
b25zPC9rZXl3b3JkPjxrZXl3b3JkPkh1bWFuczwva2V5d29yZD48a2V5d29yZD5MaWtlbGlob29k
IEZ1bmN0aW9uczwva2V5d29yZD48a2V5d29yZD5NYXRjaGVkLVBhaXIgQW5hbHlzaXM8L2tleXdv
cmQ+PGtleXdvcmQ+TWVuaW5nb2NvY2NhbCBWYWNjaW5lczwva2V5d29yZD48a2V5d29yZD5Nb2Rl
bHMsIFN0YXRpc3RpY2FsPC9rZXl3b3JkPjxrZXl3b3JkPlByb3NwZWN0aXZlIFN0dWRpZXM8L2tl
eXdvcmQ+PC9rZXl3b3Jkcz48ZGF0ZXM+PHllYXI+MjAwNzwveWVhcj48L2RhdGVzPjxpc2JuPjAw
MjU3MDc5IChJU1NOKTwvaXNibj48d29yay10eXBlPkFydGljbGU8L3dvcmstdHlwZT48dXJscz48
cmVsYXRlZC11cmxzPjx1cmw+aHR0cHM6Ly93d3cuc2NvcHVzLmNvbS9pbndhcmQvcmVjb3JkLnVy
aT9laWQ9Mi1zMi4wLTM0ODQ4ODI2ODk4JmFtcDtwYXJ0bmVySUQ9NDAmYW1wO21kNT1iNjY4ZDNi
YTQ1MWZhMzBmNGRjNjk1MjdjZmY5Nzc0YjwvdXJsPjwvcmVsYXRlZC11cmxzPjwvdXJscz48cmVt
b3RlLWRhdGFiYXNlLW5hbWU+U2NvcHVzPC9yZW1vdGUtZGF0YWJhc2UtbmFtZT48bGFuZ3VhZ2U+
RW5nbGlzaDwvbGFuZ3VhZ2U+PC9yZWNvcmQ+PC9DaXRlPjwvRW5kTm90ZT4A
</w:fldData>
              </w:fldChar>
            </w:r>
            <w:r>
              <w:rPr>
                <w:sz w:val="20"/>
              </w:rPr>
              <w:instrText xml:space="preserve"> ADDIN EN.CITE.DATA </w:instrText>
            </w:r>
            <w:r>
              <w:rPr>
                <w:sz w:val="20"/>
              </w:rPr>
            </w:r>
            <w:r>
              <w:rPr>
                <w:sz w:val="20"/>
              </w:rPr>
              <w:fldChar w:fldCharType="end"/>
            </w:r>
            <w:r>
              <w:rPr>
                <w:sz w:val="20"/>
              </w:rPr>
            </w:r>
            <w:r>
              <w:rPr>
                <w:sz w:val="20"/>
              </w:rPr>
              <w:fldChar w:fldCharType="separate"/>
            </w:r>
            <w:r w:rsidRPr="009A6245">
              <w:rPr>
                <w:noProof/>
                <w:sz w:val="20"/>
                <w:vertAlign w:val="superscript"/>
              </w:rPr>
              <w:t>13</w:t>
            </w:r>
            <w:r>
              <w:rPr>
                <w:sz w:val="20"/>
              </w:rPr>
              <w:fldChar w:fldCharType="end"/>
            </w:r>
          </w:p>
        </w:tc>
        <w:tc>
          <w:tcPr>
            <w:tcW w:w="2938" w:type="dxa"/>
            <w:noWrap/>
            <w:hideMark/>
          </w:tcPr>
          <w:p w14:paraId="018A0010" w14:textId="77777777" w:rsidR="00E37363" w:rsidRPr="00A344D2" w:rsidRDefault="00E37363" w:rsidP="00B45076">
            <w:pPr>
              <w:rPr>
                <w:sz w:val="20"/>
              </w:rPr>
            </w:pPr>
            <w:r w:rsidRPr="00A344D2">
              <w:rPr>
                <w:sz w:val="20"/>
              </w:rPr>
              <w:t>Maximised sequential probability ratio test</w:t>
            </w:r>
            <w:r>
              <w:rPr>
                <w:sz w:val="20"/>
              </w:rPr>
              <w:t xml:space="preserve"> for sequential monitoring</w:t>
            </w:r>
          </w:p>
        </w:tc>
      </w:tr>
      <w:tr w:rsidR="00E37363" w:rsidRPr="00554871" w14:paraId="0F6ED3F2" w14:textId="77777777" w:rsidTr="00B45076">
        <w:trPr>
          <w:trHeight w:val="300"/>
        </w:trPr>
        <w:tc>
          <w:tcPr>
            <w:tcW w:w="1331" w:type="dxa"/>
            <w:vMerge/>
            <w:hideMark/>
          </w:tcPr>
          <w:p w14:paraId="441723E5" w14:textId="77777777" w:rsidR="00E37363" w:rsidRPr="00A344D2" w:rsidRDefault="00E37363" w:rsidP="00B45076">
            <w:pPr>
              <w:rPr>
                <w:sz w:val="20"/>
              </w:rPr>
            </w:pPr>
          </w:p>
        </w:tc>
        <w:tc>
          <w:tcPr>
            <w:tcW w:w="2630" w:type="dxa"/>
            <w:noWrap/>
            <w:hideMark/>
          </w:tcPr>
          <w:p w14:paraId="46C8D0D6" w14:textId="77777777" w:rsidR="00E37363" w:rsidRPr="00A344D2" w:rsidRDefault="00E37363" w:rsidP="00B45076">
            <w:pPr>
              <w:rPr>
                <w:sz w:val="20"/>
              </w:rPr>
            </w:pPr>
            <w:r>
              <w:rPr>
                <w:sz w:val="20"/>
              </w:rPr>
              <w:t>Binary, count - i</w:t>
            </w:r>
            <w:r w:rsidRPr="00A344D2">
              <w:rPr>
                <w:sz w:val="20"/>
              </w:rPr>
              <w:t>ncident rate</w:t>
            </w:r>
          </w:p>
        </w:tc>
        <w:tc>
          <w:tcPr>
            <w:tcW w:w="1569" w:type="dxa"/>
            <w:noWrap/>
            <w:hideMark/>
          </w:tcPr>
          <w:p w14:paraId="21006C39" w14:textId="77777777" w:rsidR="00E37363" w:rsidRPr="00A344D2" w:rsidRDefault="00E37363" w:rsidP="00B45076">
            <w:pPr>
              <w:rPr>
                <w:sz w:val="20"/>
              </w:rPr>
            </w:pPr>
            <w:r w:rsidRPr="00A344D2">
              <w:rPr>
                <w:sz w:val="20"/>
              </w:rPr>
              <w:t xml:space="preserve">Poisson </w:t>
            </w:r>
          </w:p>
        </w:tc>
        <w:tc>
          <w:tcPr>
            <w:tcW w:w="1455" w:type="dxa"/>
            <w:noWrap/>
            <w:hideMark/>
          </w:tcPr>
          <w:p w14:paraId="28448F50" w14:textId="77777777" w:rsidR="00E37363" w:rsidRPr="00A344D2" w:rsidRDefault="00E37363" w:rsidP="00B45076">
            <w:pPr>
              <w:rPr>
                <w:sz w:val="20"/>
              </w:rPr>
            </w:pPr>
            <w:r w:rsidRPr="00A344D2">
              <w:rPr>
                <w:sz w:val="20"/>
              </w:rPr>
              <w:t>Shih</w:t>
            </w:r>
            <w:r>
              <w:rPr>
                <w:sz w:val="20"/>
              </w:rPr>
              <w:t xml:space="preserve">, </w:t>
            </w:r>
            <w:r w:rsidRPr="005A22E3">
              <w:rPr>
                <w:rFonts w:cstheme="minorHAnsi"/>
                <w:sz w:val="20"/>
                <w:szCs w:val="20"/>
              </w:rPr>
              <w:t xml:space="preserve">Lai, Heyse </w:t>
            </w:r>
            <w:r>
              <w:rPr>
                <w:rFonts w:cstheme="minorHAnsi"/>
                <w:sz w:val="20"/>
                <w:szCs w:val="20"/>
              </w:rPr>
              <w:t>&amp;</w:t>
            </w:r>
            <w:r w:rsidRPr="005A22E3">
              <w:rPr>
                <w:rFonts w:cstheme="minorHAnsi"/>
                <w:sz w:val="20"/>
                <w:szCs w:val="20"/>
              </w:rPr>
              <w:t xml:space="preserve"> Chen</w:t>
            </w:r>
            <w:r>
              <w:rPr>
                <w:rFonts w:cstheme="minorHAnsi"/>
                <w:sz w:val="20"/>
                <w:szCs w:val="20"/>
              </w:rPr>
              <w:fldChar w:fldCharType="begin"/>
            </w:r>
            <w:r>
              <w:rPr>
                <w:rFonts w:cstheme="minorHAnsi"/>
                <w:sz w:val="20"/>
                <w:szCs w:val="20"/>
              </w:rPr>
              <w:instrText xml:space="preserve"> ADDIN EN.CITE &lt;EndNote&gt;&lt;Cite&gt;&lt;Author&gt;Shih&lt;/Author&gt;&lt;Year&gt;2010&lt;/Year&gt;&lt;RecNum&gt;17028&lt;/RecNum&gt;&lt;DisplayText&gt;&lt;style face="superscript"&gt;14&lt;/style&gt;&lt;/DisplayText&gt;&lt;record&gt;&lt;rec-number&gt;17028&lt;/rec-number&gt;&lt;foreign-keys&gt;&lt;key app="EN" db-id="z2f5a5pt0222p8esesuv59tow0trtzfpdxaw" timestamp="1521049990"&gt;17028&lt;/key&gt;&lt;/foreign-keys&gt;&lt;ref-type name="Journal Article"&gt;17&lt;/ref-type&gt;&lt;contributors&gt;&lt;authors&gt;&lt;author&gt;Shih, M. C.&lt;/author&gt;&lt;author&gt;Lai, T. L.&lt;/author&gt;&lt;author&gt;Heyse, J. F.&lt;/author&gt;&lt;author&gt;Chen, J.&lt;/author&gt;&lt;/authors&gt;&lt;/contributors&gt;&lt;auth-address&gt;(Shih) VA Palo Alto Cooperative Studies Program Coordinating Center, Mountain View, CA 94043, United States (Shih, Lai) Department of Health Research and Policy, Stanford University, Stanford, CA 94305, United States (Lai) Department of Statistics, Stanford University, Stanford, CA 94305, United States (Heyse) Merck Research Laboratories, West Point, PA 19486, United States (Chen) Abbott Laboratories, Abbott Park, IL 60064, United States&lt;/auth-address&gt;&lt;titles&gt;&lt;title&gt;Sequential generalized likelihood ratio tests for vaccine safety evaluation&lt;/title&gt;&lt;secondary-title&gt;Statistics in Medicine&lt;/secondary-title&gt;&lt;/titles&gt;&lt;periodical&gt;&lt;full-title&gt;Statistics in Medicine&lt;/full-title&gt;&lt;/periodical&gt;&lt;pages&gt;2698-2708&lt;/pages&gt;&lt;volume&gt;29&lt;/volume&gt;&lt;number&gt;26&lt;/number&gt;&lt;dates&gt;&lt;year&gt;2010&lt;/year&gt;&lt;pub-dates&gt;&lt;date&gt;November&lt;/date&gt;&lt;/pub-dates&gt;&lt;/dates&gt;&lt;accession-num&gt;359840659&lt;/accession-num&gt;&lt;urls&gt;&lt;related-urls&gt;&lt;url&gt;http://ovidsp.ovid.com/ovidweb.cgi?T=JS&amp;amp;CSC=Y&amp;amp;NEWS=N&amp;amp;PAGE=fulltext&amp;amp;D=emed12&amp;amp;AN=359840659&lt;/url&gt;&lt;/related-urls&gt;&lt;/urls&gt;&lt;remote-database-name&gt;Embase&lt;/remote-database-name&gt;&lt;remote-database-provider&gt;Ovid Technologies&lt;/remote-database-provider&gt;&lt;/record&gt;&lt;/Cite&gt;&lt;/EndNote&gt;</w:instrText>
            </w:r>
            <w:r>
              <w:rPr>
                <w:rFonts w:cstheme="minorHAnsi"/>
                <w:sz w:val="20"/>
                <w:szCs w:val="20"/>
              </w:rPr>
              <w:fldChar w:fldCharType="separate"/>
            </w:r>
            <w:r w:rsidRPr="009A6245">
              <w:rPr>
                <w:rFonts w:cstheme="minorHAnsi"/>
                <w:noProof/>
                <w:sz w:val="20"/>
                <w:szCs w:val="20"/>
                <w:vertAlign w:val="superscript"/>
              </w:rPr>
              <w:t>14</w:t>
            </w:r>
            <w:r>
              <w:rPr>
                <w:rFonts w:cstheme="minorHAnsi"/>
                <w:sz w:val="20"/>
                <w:szCs w:val="20"/>
              </w:rPr>
              <w:fldChar w:fldCharType="end"/>
            </w:r>
          </w:p>
        </w:tc>
        <w:tc>
          <w:tcPr>
            <w:tcW w:w="2938" w:type="dxa"/>
            <w:noWrap/>
            <w:hideMark/>
          </w:tcPr>
          <w:p w14:paraId="693ACA46" w14:textId="77777777" w:rsidR="00E37363" w:rsidRPr="00A344D2" w:rsidRDefault="00E37363" w:rsidP="00B45076">
            <w:pPr>
              <w:rPr>
                <w:sz w:val="20"/>
              </w:rPr>
            </w:pPr>
            <w:r w:rsidRPr="00A344D2">
              <w:rPr>
                <w:sz w:val="20"/>
              </w:rPr>
              <w:t xml:space="preserve">Sequential generalised likelihood ratio test </w:t>
            </w:r>
            <w:r>
              <w:rPr>
                <w:sz w:val="20"/>
              </w:rPr>
              <w:t xml:space="preserve"> for sequential monitoring</w:t>
            </w:r>
          </w:p>
        </w:tc>
      </w:tr>
      <w:tr w:rsidR="00E37363" w:rsidRPr="00554871" w14:paraId="09DF66F9" w14:textId="77777777" w:rsidTr="00B45076">
        <w:trPr>
          <w:trHeight w:val="300"/>
        </w:trPr>
        <w:tc>
          <w:tcPr>
            <w:tcW w:w="1331" w:type="dxa"/>
            <w:vMerge/>
            <w:hideMark/>
          </w:tcPr>
          <w:p w14:paraId="29C5AFB3" w14:textId="77777777" w:rsidR="00E37363" w:rsidRPr="00A344D2" w:rsidRDefault="00E37363" w:rsidP="00B45076">
            <w:pPr>
              <w:rPr>
                <w:sz w:val="20"/>
              </w:rPr>
            </w:pPr>
          </w:p>
        </w:tc>
        <w:tc>
          <w:tcPr>
            <w:tcW w:w="2630" w:type="dxa"/>
            <w:noWrap/>
            <w:hideMark/>
          </w:tcPr>
          <w:p w14:paraId="1FF23621" w14:textId="77777777" w:rsidR="00E37363" w:rsidRPr="00A344D2" w:rsidRDefault="00E37363" w:rsidP="00B45076">
            <w:pPr>
              <w:rPr>
                <w:sz w:val="20"/>
              </w:rPr>
            </w:pPr>
            <w:r>
              <w:rPr>
                <w:sz w:val="20"/>
              </w:rPr>
              <w:t>Binary, count, time-to-event or continuous</w:t>
            </w:r>
          </w:p>
        </w:tc>
        <w:tc>
          <w:tcPr>
            <w:tcW w:w="1569" w:type="dxa"/>
            <w:noWrap/>
            <w:hideMark/>
          </w:tcPr>
          <w:p w14:paraId="2A134A22" w14:textId="77777777" w:rsidR="00E37363" w:rsidRPr="00A344D2" w:rsidRDefault="00E37363" w:rsidP="00B45076">
            <w:pPr>
              <w:rPr>
                <w:sz w:val="20"/>
              </w:rPr>
            </w:pPr>
            <w:r w:rsidRPr="00A344D2">
              <w:rPr>
                <w:sz w:val="20"/>
              </w:rPr>
              <w:t xml:space="preserve">Not </w:t>
            </w:r>
            <w:r>
              <w:rPr>
                <w:sz w:val="20"/>
              </w:rPr>
              <w:t>applicable</w:t>
            </w:r>
          </w:p>
        </w:tc>
        <w:tc>
          <w:tcPr>
            <w:tcW w:w="1455" w:type="dxa"/>
            <w:noWrap/>
            <w:hideMark/>
          </w:tcPr>
          <w:p w14:paraId="410FD264" w14:textId="77777777" w:rsidR="00E37363" w:rsidRPr="00A344D2" w:rsidRDefault="00E37363" w:rsidP="00B45076">
            <w:pPr>
              <w:rPr>
                <w:sz w:val="20"/>
              </w:rPr>
            </w:pPr>
            <w:r w:rsidRPr="00A344D2">
              <w:rPr>
                <w:sz w:val="20"/>
              </w:rPr>
              <w:t>Liu</w:t>
            </w:r>
            <w:r>
              <w:rPr>
                <w:sz w:val="20"/>
              </w:rPr>
              <w:fldChar w:fldCharType="begin">
                <w:fldData xml:space="preserve">PEVuZE5vdGU+PENpdGU+PEF1dGhvcj5MaXU8L0F1dGhvcj48WWVhcj4yMDA3PC9ZZWFyPjxSZWNO
dW0+ODk2MjwvUmVjTnVtPjxEaXNwbGF5VGV4dD48c3R5bGUgZmFjZT0ic3VwZXJzY3JpcHQiPjE1
PC9zdHlsZT48L0Rpc3BsYXlUZXh0PjxyZWNvcmQ+PHJlYy1udW1iZXI+ODk2MjwvcmVjLW51bWJl
cj48Zm9yZWlnbi1rZXlzPjxrZXkgYXBwPSJFTiIgZGItaWQ9InoyZjVhNXB0MDIyMnA4ZXNlc3V2
NTl0b3cwdHJ0emZwZHhhdyIgdGltZXN0YW1wPSIxNTIxMDQ3Mzk0Ij44OTYyPC9rZXk+PC9mb3Jl
aWduLWtleXM+PHJlZi10eXBlIG5hbWU9IkpvdXJuYWwgQXJ0aWNsZSI+MTc8L3JlZi10eXBlPjxj
b250cmlidXRvcnM+PGF1dGhvcnM+PGF1dGhvcj5MaXUsIEouIFAuPC9hdXRob3I+PC9hdXRob3Jz
PjwvY29udHJpYnV0b3JzPjxhdXRoLWFkZHJlc3M+U3RhdGlzdGljYWwgRWR1Y2F0aW9uIENlbnRl
ciwgRGl2aXNpb24gb2YgQmlvbWV0cnksIE5hdGlvbmFsIFRhaXdhbiBVbml2ZXJzaXR5LCAxLCBT
ZWN0aW9uIDQsIFJvb3NldmVsdCBSb2FkLCBUYWlwZWksIFRhaXdhbiYjeEQ7RGl2aXNpb24gb2Yg
Qmlvc3RhdGlzdGljcyBhbmQgQmlvaW5mb3JtYXRpY3MsIE5hdGlvbmFsIEhlYWx0aCBSZXNlYXJj
aCBJbnN0aXR1dGVzLCBUYWlwZWksIFRhaXdhbjwvYXV0aC1hZGRyZXNzPjx0aXRsZXM+PHRpdGxl
PlJldGhpbmtpbmcgc3RhdGlzdGljYWwgYXBwcm9hY2hlcyB0byBldmFsdWF0aW5nIGRydWcgc2Fm
ZXR5PC90aXRsZT48c2Vjb25kYXJ5LXRpdGxlPllvbnNlaSBNZWRpY2FsIEpvdXJuYWw8L3NlY29u
ZGFyeS10aXRsZT48YWx0LXRpdGxlPllvbnNlaSBNZWQuIEouPC9hbHQtdGl0bGU+PC90aXRsZXM+
PHBlcmlvZGljYWw+PGZ1bGwtdGl0bGU+WW9uc2VpIE1lZGljYWwgSm91cm5hbDwvZnVsbC10aXRs
ZT48L3BlcmlvZGljYWw+PHBhZ2VzPjg5NS05MDA8L3BhZ2VzPjx2b2x1bWU+NDg8L3ZvbHVtZT48
bnVtYmVyPjY8L251bWJlcj48a2V5d29yZHM+PGtleXdvcmQ+RWZmZWN0aXZlbmVzczwva2V5d29y
ZD48a2V5d29yZD5ObyBleGNlc3NpdmUgcmlzazwva2V5d29yZD48a2V5d29yZD5Ob24taW5mZXJp
b3JpdHkgYXBwcm9hY2g8L2tleXdvcmQ+PGtleXdvcmQ+U2FmZXR5PC9rZXl3b3JkPjxrZXl3b3Jk
PmNlbGVjb3hpYjwva2V5d29yZD48a2V5d29yZD5pYnVwcm9mZW48L2tleXdvcmQ+PGtleXdvcmQ+
bmFwcm94ZW48L2tleXdvcmQ+PGtleXdvcmQ+bm9uc3Rlcm9pZCBhbnRpaW5mbGFtbWF0b3J5IGFn
ZW50PC9rZXl3b3JkPjxrZXl3b3JkPnJvZmVjb3hpYjwva2V5d29yZD48a2V5d29yZD5yb3NpZ2xp
dGF6b25lPC9rZXl3b3JkPjxrZXl3b3JkPmNhcmRpb3Zhc2N1bGFyIHJpc2s8L2tleXdvcmQ+PGtl
eXdvcmQ+Y2xpbmljYWwgdHJpYWw8L2tleXdvcmQ+PGtleXdvcmQ+Y29sb3JlY3RhbCBhZGVub21h
PC9rZXl3b3JkPjxrZXl3b3JkPmNvbmdlc3RpdmUgaGVhcnQgZmFpbHVyZTwva2V5d29yZD48a2V5
d29yZD5kcnVnIGVmZmljYWN5PC9rZXl3b3JkPjxrZXl3b3JkPmRydWcgaW5kdXN0cnk8L2tleXdv
cmQ+PGtleXdvcmQ+ZHJ1ZyBzYWZldHk8L2tleXdvcmQ+PGtleXdvcmQ+aGF6YXJkIHJhdGlvPC9r
ZXl3b3JkPjxrZXl3b3JkPmhlYXJ0IGluZmFyY3Rpb248L2tleXdvcmQ+PGtleXdvcmQ+aHVtYW48
L2tleXdvcmQ+PGtleXdvcmQ+bW9ydGFsaXR5PC9rZXl3b3JkPjxrZXl3b3JkPnJldmlldzwva2V5
d29yZD48a2V5d29yZD5yaXNrPC9rZXl3b3JkPjxrZXl3b3JkPnJpc2sgYXNzZXNzbWVudDwva2V5
d29yZD48a2V5d29yZD5zdGF0aXN0aWNhbCBhbmFseXNpczwva2V5d29yZD48a2V5d29yZD50aHJv
bWJvc2lzPC9rZXl3b3JkPjxrZXl3b3JkPkJpb21ldHJ5PC9rZXl3b3JkPjxrZXl3b3JkPkNvbmZp
ZGVuY2UgSW50ZXJ2YWxzPC9rZXl3b3JkPjxrZXl3b3JkPkNvbnRyb2xsZWQgQ2xpbmljYWwgVHJp
YWxzIGFzIFRvcGljPC9rZXl3b3JkPjxrZXl3b3JkPkRhdGEgSW50ZXJwcmV0YXRpb24sIFN0YXRp
c3RpY2FsPC9rZXl3b3JkPjxrZXl3b3JkPkRydWcgRXZhbHVhdGlvbjwva2V5d29yZD48a2V5d29y
ZD5EcnVnIFRveGljaXR5PC9rZXl3b3JkPjxrZXl3b3JkPkh1bWFuczwva2V5d29yZD48a2V5d29y
ZD5Nb2RlbHMsIFN0YXRpc3RpY2FsPC9rZXl3b3JkPjxrZXl3b3JkPlJlc2VhcmNoIERlc2lnbjwv
a2V5d29yZD48L2tleXdvcmRzPjxkYXRlcz48eWVhcj4yMDA3PC95ZWFyPjwvZGF0ZXM+PGlzYm4+
MDUxMzU3OTYgKElTU04pPC9pc2JuPjx3b3JrLXR5cGU+UmV2aWV3PC93b3JrLXR5cGU+PHVybHM+
PHJlbGF0ZWQtdXJscz48dXJsPmh0dHBzOi8vd3d3LnNjb3B1cy5jb20vaW53YXJkL3JlY29yZC51
cmk/ZWlkPTItczIuMC0zODA0OTE0ODYxOCZhbXA7ZG9pPTEwLjMzNDklMmZ5bWouMjAwNy40OC42
Ljg5NSZhbXA7cGFydG5lcklEPTQwJmFtcDttZDU9YTUwMjAzYzA2Nzg2YzU4M2M1NWVmY2U3YjUx
M2RkY2M8L3VybD48L3JlbGF0ZWQtdXJscz48L3VybHM+PGVsZWN0cm9uaWMtcmVzb3VyY2UtbnVt
PjEwLjMzNDkveW1qLjIwMDcuNDguNi44OTU8L2VsZWN0cm9uaWMtcmVzb3VyY2UtbnVtPjxyZW1v
dGUtZGF0YWJhc2UtbmFtZT5TY29wdXM8L3JlbW90ZS1kYXRhYmFzZS1uYW1lPjxsYW5ndWFnZT5F
bmdsaXNoPC9sYW5ndWFnZT48L3JlY29yZD48L0NpdGU+PC9FbmROb3RlPgB=
</w:fldData>
              </w:fldChar>
            </w:r>
            <w:r>
              <w:rPr>
                <w:sz w:val="20"/>
              </w:rPr>
              <w:instrText xml:space="preserve"> ADDIN EN.CITE </w:instrText>
            </w:r>
            <w:r>
              <w:rPr>
                <w:sz w:val="20"/>
              </w:rPr>
              <w:fldChar w:fldCharType="begin">
                <w:fldData xml:space="preserve">PEVuZE5vdGU+PENpdGU+PEF1dGhvcj5MaXU8L0F1dGhvcj48WWVhcj4yMDA3PC9ZZWFyPjxSZWNO
dW0+ODk2MjwvUmVjTnVtPjxEaXNwbGF5VGV4dD48c3R5bGUgZmFjZT0ic3VwZXJzY3JpcHQiPjE1
PC9zdHlsZT48L0Rpc3BsYXlUZXh0PjxyZWNvcmQ+PHJlYy1udW1iZXI+ODk2MjwvcmVjLW51bWJl
cj48Zm9yZWlnbi1rZXlzPjxrZXkgYXBwPSJFTiIgZGItaWQ9InoyZjVhNXB0MDIyMnA4ZXNlc3V2
NTl0b3cwdHJ0emZwZHhhdyIgdGltZXN0YW1wPSIxNTIxMDQ3Mzk0Ij44OTYyPC9rZXk+PC9mb3Jl
aWduLWtleXM+PHJlZi10eXBlIG5hbWU9IkpvdXJuYWwgQXJ0aWNsZSI+MTc8L3JlZi10eXBlPjxj
b250cmlidXRvcnM+PGF1dGhvcnM+PGF1dGhvcj5MaXUsIEouIFAuPC9hdXRob3I+PC9hdXRob3Jz
PjwvY29udHJpYnV0b3JzPjxhdXRoLWFkZHJlc3M+U3RhdGlzdGljYWwgRWR1Y2F0aW9uIENlbnRl
ciwgRGl2aXNpb24gb2YgQmlvbWV0cnksIE5hdGlvbmFsIFRhaXdhbiBVbml2ZXJzaXR5LCAxLCBT
ZWN0aW9uIDQsIFJvb3NldmVsdCBSb2FkLCBUYWlwZWksIFRhaXdhbiYjeEQ7RGl2aXNpb24gb2Yg
Qmlvc3RhdGlzdGljcyBhbmQgQmlvaW5mb3JtYXRpY3MsIE5hdGlvbmFsIEhlYWx0aCBSZXNlYXJj
aCBJbnN0aXR1dGVzLCBUYWlwZWksIFRhaXdhbjwvYXV0aC1hZGRyZXNzPjx0aXRsZXM+PHRpdGxl
PlJldGhpbmtpbmcgc3RhdGlzdGljYWwgYXBwcm9hY2hlcyB0byBldmFsdWF0aW5nIGRydWcgc2Fm
ZXR5PC90aXRsZT48c2Vjb25kYXJ5LXRpdGxlPllvbnNlaSBNZWRpY2FsIEpvdXJuYWw8L3NlY29u
ZGFyeS10aXRsZT48YWx0LXRpdGxlPllvbnNlaSBNZWQuIEouPC9hbHQtdGl0bGU+PC90aXRsZXM+
PHBlcmlvZGljYWw+PGZ1bGwtdGl0bGU+WW9uc2VpIE1lZGljYWwgSm91cm5hbDwvZnVsbC10aXRs
ZT48L3BlcmlvZGljYWw+PHBhZ2VzPjg5NS05MDA8L3BhZ2VzPjx2b2x1bWU+NDg8L3ZvbHVtZT48
bnVtYmVyPjY8L251bWJlcj48a2V5d29yZHM+PGtleXdvcmQ+RWZmZWN0aXZlbmVzczwva2V5d29y
ZD48a2V5d29yZD5ObyBleGNlc3NpdmUgcmlzazwva2V5d29yZD48a2V5d29yZD5Ob24taW5mZXJp
b3JpdHkgYXBwcm9hY2g8L2tleXdvcmQ+PGtleXdvcmQ+U2FmZXR5PC9rZXl3b3JkPjxrZXl3b3Jk
PmNlbGVjb3hpYjwva2V5d29yZD48a2V5d29yZD5pYnVwcm9mZW48L2tleXdvcmQ+PGtleXdvcmQ+
bmFwcm94ZW48L2tleXdvcmQ+PGtleXdvcmQ+bm9uc3Rlcm9pZCBhbnRpaW5mbGFtbWF0b3J5IGFn
ZW50PC9rZXl3b3JkPjxrZXl3b3JkPnJvZmVjb3hpYjwva2V5d29yZD48a2V5d29yZD5yb3NpZ2xp
dGF6b25lPC9rZXl3b3JkPjxrZXl3b3JkPmNhcmRpb3Zhc2N1bGFyIHJpc2s8L2tleXdvcmQ+PGtl
eXdvcmQ+Y2xpbmljYWwgdHJpYWw8L2tleXdvcmQ+PGtleXdvcmQ+Y29sb3JlY3RhbCBhZGVub21h
PC9rZXl3b3JkPjxrZXl3b3JkPmNvbmdlc3RpdmUgaGVhcnQgZmFpbHVyZTwva2V5d29yZD48a2V5
d29yZD5kcnVnIGVmZmljYWN5PC9rZXl3b3JkPjxrZXl3b3JkPmRydWcgaW5kdXN0cnk8L2tleXdv
cmQ+PGtleXdvcmQ+ZHJ1ZyBzYWZldHk8L2tleXdvcmQ+PGtleXdvcmQ+aGF6YXJkIHJhdGlvPC9r
ZXl3b3JkPjxrZXl3b3JkPmhlYXJ0IGluZmFyY3Rpb248L2tleXdvcmQ+PGtleXdvcmQ+aHVtYW48
L2tleXdvcmQ+PGtleXdvcmQ+bW9ydGFsaXR5PC9rZXl3b3JkPjxrZXl3b3JkPnJldmlldzwva2V5
d29yZD48a2V5d29yZD5yaXNrPC9rZXl3b3JkPjxrZXl3b3JkPnJpc2sgYXNzZXNzbWVudDwva2V5
d29yZD48a2V5d29yZD5zdGF0aXN0aWNhbCBhbmFseXNpczwva2V5d29yZD48a2V5d29yZD50aHJv
bWJvc2lzPC9rZXl3b3JkPjxrZXl3b3JkPkJpb21ldHJ5PC9rZXl3b3JkPjxrZXl3b3JkPkNvbmZp
ZGVuY2UgSW50ZXJ2YWxzPC9rZXl3b3JkPjxrZXl3b3JkPkNvbnRyb2xsZWQgQ2xpbmljYWwgVHJp
YWxzIGFzIFRvcGljPC9rZXl3b3JkPjxrZXl3b3JkPkRhdGEgSW50ZXJwcmV0YXRpb24sIFN0YXRp
c3RpY2FsPC9rZXl3b3JkPjxrZXl3b3JkPkRydWcgRXZhbHVhdGlvbjwva2V5d29yZD48a2V5d29y
ZD5EcnVnIFRveGljaXR5PC9rZXl3b3JkPjxrZXl3b3JkPkh1bWFuczwva2V5d29yZD48a2V5d29y
ZD5Nb2RlbHMsIFN0YXRpc3RpY2FsPC9rZXl3b3JkPjxrZXl3b3JkPlJlc2VhcmNoIERlc2lnbjwv
a2V5d29yZD48L2tleXdvcmRzPjxkYXRlcz48eWVhcj4yMDA3PC95ZWFyPjwvZGF0ZXM+PGlzYm4+
MDUxMzU3OTYgKElTU04pPC9pc2JuPjx3b3JrLXR5cGU+UmV2aWV3PC93b3JrLXR5cGU+PHVybHM+
PHJlbGF0ZWQtdXJscz48dXJsPmh0dHBzOi8vd3d3LnNjb3B1cy5jb20vaW53YXJkL3JlY29yZC51
cmk/ZWlkPTItczIuMC0zODA0OTE0ODYxOCZhbXA7ZG9pPTEwLjMzNDklMmZ5bWouMjAwNy40OC42
Ljg5NSZhbXA7cGFydG5lcklEPTQwJmFtcDttZDU9YTUwMjAzYzA2Nzg2YzU4M2M1NWVmY2U3YjUx
M2RkY2M8L3VybD48L3JlbGF0ZWQtdXJscz48L3VybHM+PGVsZWN0cm9uaWMtcmVzb3VyY2UtbnVt
PjEwLjMzNDkveW1qLjIwMDcuNDguNi44OTU8L2VsZWN0cm9uaWMtcmVzb3VyY2UtbnVtPjxyZW1v
dGUtZGF0YWJhc2UtbmFtZT5TY29wdXM8L3JlbW90ZS1kYXRhYmFzZS1uYW1lPjxsYW5ndWFnZT5F
bmdsaXNoPC9sYW5ndWFnZT48L3JlY29yZD48L0NpdGU+PC9FbmROb3RlPgB=
</w:fldData>
              </w:fldChar>
            </w:r>
            <w:r>
              <w:rPr>
                <w:sz w:val="20"/>
              </w:rPr>
              <w:instrText xml:space="preserve"> ADDIN EN.CITE.DATA </w:instrText>
            </w:r>
            <w:r>
              <w:rPr>
                <w:sz w:val="20"/>
              </w:rPr>
            </w:r>
            <w:r>
              <w:rPr>
                <w:sz w:val="20"/>
              </w:rPr>
              <w:fldChar w:fldCharType="end"/>
            </w:r>
            <w:r>
              <w:rPr>
                <w:sz w:val="20"/>
              </w:rPr>
            </w:r>
            <w:r>
              <w:rPr>
                <w:sz w:val="20"/>
              </w:rPr>
              <w:fldChar w:fldCharType="separate"/>
            </w:r>
            <w:r w:rsidRPr="009A6245">
              <w:rPr>
                <w:noProof/>
                <w:sz w:val="20"/>
                <w:vertAlign w:val="superscript"/>
              </w:rPr>
              <w:t>15</w:t>
            </w:r>
            <w:r>
              <w:rPr>
                <w:sz w:val="20"/>
              </w:rPr>
              <w:fldChar w:fldCharType="end"/>
            </w:r>
          </w:p>
        </w:tc>
        <w:tc>
          <w:tcPr>
            <w:tcW w:w="2938" w:type="dxa"/>
            <w:noWrap/>
            <w:hideMark/>
          </w:tcPr>
          <w:p w14:paraId="17073094" w14:textId="77777777" w:rsidR="00E37363" w:rsidRPr="00A344D2" w:rsidRDefault="00E37363" w:rsidP="00B45076">
            <w:pPr>
              <w:rPr>
                <w:sz w:val="20"/>
              </w:rPr>
            </w:pPr>
            <w:r w:rsidRPr="00A344D2">
              <w:rPr>
                <w:sz w:val="20"/>
              </w:rPr>
              <w:t>Non-inferiority test</w:t>
            </w:r>
            <w:r>
              <w:rPr>
                <w:sz w:val="20"/>
              </w:rPr>
              <w:t xml:space="preserve"> for final analysis</w:t>
            </w:r>
          </w:p>
        </w:tc>
      </w:tr>
    </w:tbl>
    <w:p w14:paraId="5A7E23B1" w14:textId="77777777" w:rsidR="00E37363" w:rsidRDefault="00E37363" w:rsidP="00E37363"/>
    <w:p w14:paraId="342C10D9" w14:textId="77777777" w:rsidR="00E37363" w:rsidRDefault="00E37363" w:rsidP="00E37363">
      <w:r>
        <w:br w:type="page"/>
      </w:r>
    </w:p>
    <w:tbl>
      <w:tblPr>
        <w:tblW w:w="9918" w:type="dxa"/>
        <w:tblLook w:val="04A0" w:firstRow="1" w:lastRow="0" w:firstColumn="1" w:lastColumn="0" w:noHBand="0" w:noVBand="1"/>
      </w:tblPr>
      <w:tblGrid>
        <w:gridCol w:w="1129"/>
        <w:gridCol w:w="2268"/>
        <w:gridCol w:w="1701"/>
        <w:gridCol w:w="1985"/>
        <w:gridCol w:w="2835"/>
      </w:tblGrid>
      <w:tr w:rsidR="00E37363" w:rsidRPr="008A69CE" w14:paraId="22498D53" w14:textId="77777777" w:rsidTr="00B45076">
        <w:trPr>
          <w:trHeight w:val="300"/>
        </w:trPr>
        <w:tc>
          <w:tcPr>
            <w:tcW w:w="9918" w:type="dxa"/>
            <w:gridSpan w:val="5"/>
            <w:tcBorders>
              <w:bottom w:val="single" w:sz="4" w:space="0" w:color="auto"/>
            </w:tcBorders>
            <w:shd w:val="clear" w:color="auto" w:fill="auto"/>
            <w:vAlign w:val="bottom"/>
          </w:tcPr>
          <w:p w14:paraId="198F1C9E" w14:textId="77777777" w:rsidR="00E37363" w:rsidRPr="00E566E5" w:rsidRDefault="00E37363" w:rsidP="00B45076">
            <w:pPr>
              <w:spacing w:after="0" w:line="240" w:lineRule="auto"/>
              <w:rPr>
                <w:rFonts w:ascii="Calibri" w:eastAsia="Times New Roman" w:hAnsi="Calibri" w:cs="Calibri"/>
                <w:b/>
                <w:bCs/>
                <w:color w:val="000000"/>
                <w:lang w:eastAsia="en-GB"/>
              </w:rPr>
            </w:pPr>
            <w:r w:rsidRPr="00E566E5">
              <w:rPr>
                <w:rFonts w:ascii="Calibri" w:eastAsia="Times New Roman" w:hAnsi="Calibri" w:cs="Calibri"/>
                <w:b/>
                <w:bCs/>
                <w:color w:val="000000"/>
                <w:lang w:eastAsia="en-GB"/>
              </w:rPr>
              <w:lastRenderedPageBreak/>
              <w:t xml:space="preserve">Table 5: Summary of hypothesis tests to analyse emerging AE data </w:t>
            </w:r>
            <w:r w:rsidRPr="00E566E5">
              <w:rPr>
                <w:rFonts w:cstheme="minorHAnsi"/>
                <w:b/>
              </w:rPr>
              <w:t>in phase II/III RCTs</w:t>
            </w:r>
          </w:p>
        </w:tc>
      </w:tr>
      <w:tr w:rsidR="00E37363" w:rsidRPr="008A69CE" w14:paraId="5DA09B40" w14:textId="77777777" w:rsidTr="00B45076">
        <w:trPr>
          <w:trHeight w:val="300"/>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ABF7E45" w14:textId="77777777" w:rsidR="00E37363" w:rsidRPr="008A69CE" w:rsidRDefault="00E37363" w:rsidP="00B45076">
            <w:pPr>
              <w:spacing w:after="0" w:line="240" w:lineRule="auto"/>
              <w:jc w:val="center"/>
              <w:rPr>
                <w:rFonts w:ascii="Calibri" w:eastAsia="Times New Roman" w:hAnsi="Calibri" w:cs="Calibri"/>
                <w:b/>
                <w:bCs/>
                <w:color w:val="000000"/>
                <w:lang w:eastAsia="en-GB"/>
              </w:rPr>
            </w:pPr>
            <w:r w:rsidRPr="008A69CE">
              <w:rPr>
                <w:rFonts w:ascii="Calibri" w:eastAsia="Times New Roman" w:hAnsi="Calibri" w:cs="Calibri"/>
                <w:b/>
                <w:bCs/>
                <w:color w:val="000000"/>
                <w:lang w:eastAsia="en-GB"/>
              </w:rPr>
              <w:t>Outcome</w:t>
            </w:r>
          </w:p>
        </w:tc>
        <w:tc>
          <w:tcPr>
            <w:tcW w:w="2268" w:type="dxa"/>
            <w:tcBorders>
              <w:top w:val="single" w:sz="4" w:space="0" w:color="auto"/>
              <w:left w:val="nil"/>
              <w:bottom w:val="single" w:sz="4" w:space="0" w:color="auto"/>
              <w:right w:val="single" w:sz="4" w:space="0" w:color="auto"/>
            </w:tcBorders>
            <w:shd w:val="clear" w:color="auto" w:fill="auto"/>
            <w:vAlign w:val="bottom"/>
            <w:hideMark/>
          </w:tcPr>
          <w:p w14:paraId="1F5C0418" w14:textId="77777777" w:rsidR="00E37363" w:rsidRPr="008A69CE" w:rsidRDefault="00E37363" w:rsidP="00B45076">
            <w:pPr>
              <w:spacing w:after="0" w:line="240" w:lineRule="auto"/>
              <w:jc w:val="center"/>
              <w:rPr>
                <w:rFonts w:ascii="Calibri" w:eastAsia="Times New Roman" w:hAnsi="Calibri" w:cs="Calibri"/>
                <w:b/>
                <w:bCs/>
                <w:color w:val="000000"/>
                <w:lang w:eastAsia="en-GB"/>
              </w:rPr>
            </w:pPr>
            <w:r w:rsidRPr="008A69CE">
              <w:rPr>
                <w:rFonts w:ascii="Calibri" w:eastAsia="Times New Roman" w:hAnsi="Calibri" w:cs="Calibri"/>
                <w:b/>
                <w:bCs/>
                <w:color w:val="000000"/>
                <w:lang w:eastAsia="en-GB"/>
              </w:rPr>
              <w:t>Data type</w:t>
            </w:r>
          </w:p>
        </w:tc>
        <w:tc>
          <w:tcPr>
            <w:tcW w:w="1701" w:type="dxa"/>
            <w:tcBorders>
              <w:top w:val="single" w:sz="4" w:space="0" w:color="auto"/>
              <w:left w:val="nil"/>
              <w:bottom w:val="single" w:sz="4" w:space="0" w:color="auto"/>
              <w:right w:val="single" w:sz="4" w:space="0" w:color="auto"/>
            </w:tcBorders>
            <w:shd w:val="clear" w:color="auto" w:fill="auto"/>
            <w:vAlign w:val="bottom"/>
            <w:hideMark/>
          </w:tcPr>
          <w:p w14:paraId="2815DD45" w14:textId="77777777" w:rsidR="00E37363" w:rsidRPr="008A69CE" w:rsidRDefault="00E37363" w:rsidP="00B45076">
            <w:pPr>
              <w:spacing w:after="0" w:line="240" w:lineRule="auto"/>
              <w:rPr>
                <w:rFonts w:ascii="Calibri" w:eastAsia="Times New Roman" w:hAnsi="Calibri" w:cs="Calibri"/>
                <w:b/>
                <w:bCs/>
                <w:color w:val="000000"/>
                <w:lang w:eastAsia="en-GB"/>
              </w:rPr>
            </w:pPr>
            <w:r w:rsidRPr="008A69CE">
              <w:rPr>
                <w:rFonts w:ascii="Calibri" w:eastAsia="Times New Roman" w:hAnsi="Calibri" w:cs="Calibri"/>
                <w:b/>
                <w:bCs/>
                <w:color w:val="000000"/>
                <w:lang w:eastAsia="en-GB"/>
              </w:rPr>
              <w:t>Model</w:t>
            </w:r>
          </w:p>
        </w:tc>
        <w:tc>
          <w:tcPr>
            <w:tcW w:w="1985" w:type="dxa"/>
            <w:tcBorders>
              <w:top w:val="single" w:sz="4" w:space="0" w:color="auto"/>
              <w:left w:val="nil"/>
              <w:bottom w:val="single" w:sz="4" w:space="0" w:color="auto"/>
              <w:right w:val="single" w:sz="4" w:space="0" w:color="auto"/>
            </w:tcBorders>
            <w:shd w:val="clear" w:color="auto" w:fill="auto"/>
            <w:noWrap/>
            <w:vAlign w:val="bottom"/>
            <w:hideMark/>
          </w:tcPr>
          <w:p w14:paraId="69D65DA8" w14:textId="77777777" w:rsidR="00E37363" w:rsidRPr="008A69CE" w:rsidRDefault="00E37363" w:rsidP="00B45076">
            <w:pPr>
              <w:spacing w:after="0" w:line="240" w:lineRule="auto"/>
              <w:rPr>
                <w:rFonts w:ascii="Calibri" w:eastAsia="Times New Roman" w:hAnsi="Calibri" w:cs="Calibri"/>
                <w:b/>
                <w:bCs/>
                <w:color w:val="000000"/>
                <w:lang w:eastAsia="en-GB"/>
              </w:rPr>
            </w:pPr>
            <w:r w:rsidRPr="008A69CE">
              <w:rPr>
                <w:rFonts w:ascii="Calibri" w:eastAsia="Times New Roman" w:hAnsi="Calibri" w:cs="Calibri"/>
                <w:b/>
                <w:bCs/>
                <w:color w:val="000000"/>
                <w:lang w:eastAsia="en-GB"/>
              </w:rPr>
              <w:t>Reference</w:t>
            </w:r>
          </w:p>
        </w:tc>
        <w:tc>
          <w:tcPr>
            <w:tcW w:w="2835" w:type="dxa"/>
            <w:tcBorders>
              <w:top w:val="single" w:sz="4" w:space="0" w:color="auto"/>
              <w:left w:val="nil"/>
              <w:bottom w:val="single" w:sz="4" w:space="0" w:color="auto"/>
              <w:right w:val="single" w:sz="4" w:space="0" w:color="auto"/>
            </w:tcBorders>
            <w:shd w:val="clear" w:color="auto" w:fill="auto"/>
            <w:vAlign w:val="bottom"/>
            <w:hideMark/>
          </w:tcPr>
          <w:p w14:paraId="5FD3DBB5" w14:textId="77777777" w:rsidR="00E37363" w:rsidRPr="008A69CE" w:rsidRDefault="00E37363" w:rsidP="00B45076">
            <w:pPr>
              <w:spacing w:after="0" w:line="240" w:lineRule="auto"/>
              <w:rPr>
                <w:rFonts w:ascii="Calibri" w:eastAsia="Times New Roman" w:hAnsi="Calibri" w:cs="Calibri"/>
                <w:b/>
                <w:bCs/>
                <w:color w:val="000000"/>
                <w:lang w:eastAsia="en-GB"/>
              </w:rPr>
            </w:pPr>
            <w:r w:rsidRPr="008A69CE">
              <w:rPr>
                <w:rFonts w:ascii="Calibri" w:eastAsia="Times New Roman" w:hAnsi="Calibri" w:cs="Calibri"/>
                <w:b/>
                <w:bCs/>
                <w:color w:val="000000"/>
                <w:lang w:eastAsia="en-GB"/>
              </w:rPr>
              <w:t>Brief Description</w:t>
            </w:r>
          </w:p>
        </w:tc>
      </w:tr>
      <w:tr w:rsidR="00E37363" w:rsidRPr="008A69CE" w14:paraId="15F6120B" w14:textId="77777777" w:rsidTr="00B45076">
        <w:trPr>
          <w:trHeight w:val="300"/>
        </w:trPr>
        <w:tc>
          <w:tcPr>
            <w:tcW w:w="1129" w:type="dxa"/>
            <w:vMerge w:val="restart"/>
            <w:tcBorders>
              <w:top w:val="nil"/>
              <w:left w:val="single" w:sz="4" w:space="0" w:color="auto"/>
              <w:right w:val="single" w:sz="4" w:space="0" w:color="auto"/>
            </w:tcBorders>
            <w:shd w:val="clear" w:color="auto" w:fill="auto"/>
            <w:vAlign w:val="center"/>
            <w:hideMark/>
          </w:tcPr>
          <w:p w14:paraId="7570C0AF" w14:textId="77777777" w:rsidR="00E37363" w:rsidRPr="008A69CE" w:rsidRDefault="00E37363" w:rsidP="00B45076">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Emerging A</w:t>
            </w:r>
            <w:r w:rsidRPr="008A69CE">
              <w:rPr>
                <w:rFonts w:ascii="Calibri" w:eastAsia="Times New Roman" w:hAnsi="Calibri" w:cs="Calibri"/>
                <w:b/>
                <w:bCs/>
                <w:color w:val="000000"/>
                <w:lang w:eastAsia="en-GB"/>
              </w:rPr>
              <w:t>dverse events</w:t>
            </w:r>
            <w:r>
              <w:rPr>
                <w:rFonts w:ascii="Calibri" w:eastAsia="Times New Roman" w:hAnsi="Calibri" w:cs="Calibri"/>
                <w:b/>
                <w:bCs/>
                <w:color w:val="000000"/>
                <w:lang w:eastAsia="en-GB"/>
              </w:rPr>
              <w:t xml:space="preserve"> (multiple)</w:t>
            </w:r>
          </w:p>
        </w:tc>
        <w:tc>
          <w:tcPr>
            <w:tcW w:w="2268" w:type="dxa"/>
            <w:tcBorders>
              <w:top w:val="nil"/>
              <w:left w:val="nil"/>
              <w:bottom w:val="single" w:sz="4" w:space="0" w:color="auto"/>
              <w:right w:val="single" w:sz="4" w:space="0" w:color="auto"/>
            </w:tcBorders>
            <w:shd w:val="clear" w:color="auto" w:fill="auto"/>
            <w:vAlign w:val="bottom"/>
            <w:hideMark/>
          </w:tcPr>
          <w:p w14:paraId="019D02FF"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Binary</w:t>
            </w:r>
          </w:p>
        </w:tc>
        <w:tc>
          <w:tcPr>
            <w:tcW w:w="1701" w:type="dxa"/>
            <w:tcBorders>
              <w:top w:val="nil"/>
              <w:left w:val="nil"/>
              <w:bottom w:val="single" w:sz="4" w:space="0" w:color="auto"/>
              <w:right w:val="single" w:sz="4" w:space="0" w:color="auto"/>
            </w:tcBorders>
            <w:shd w:val="clear" w:color="auto" w:fill="auto"/>
            <w:vAlign w:val="bottom"/>
            <w:hideMark/>
          </w:tcPr>
          <w:p w14:paraId="7F88A934" w14:textId="77777777" w:rsidR="00E37363" w:rsidRPr="008A69CE"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Not applicable</w:t>
            </w:r>
          </w:p>
        </w:tc>
        <w:tc>
          <w:tcPr>
            <w:tcW w:w="1985" w:type="dxa"/>
            <w:tcBorders>
              <w:top w:val="nil"/>
              <w:left w:val="nil"/>
              <w:bottom w:val="single" w:sz="4" w:space="0" w:color="auto"/>
              <w:right w:val="single" w:sz="4" w:space="0" w:color="auto"/>
            </w:tcBorders>
            <w:shd w:val="clear" w:color="auto" w:fill="auto"/>
            <w:noWrap/>
            <w:vAlign w:val="bottom"/>
            <w:hideMark/>
          </w:tcPr>
          <w:p w14:paraId="38D0356A"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 xml:space="preserve">Mehrotra </w:t>
            </w:r>
            <w:r>
              <w:rPr>
                <w:rFonts w:ascii="Calibri" w:eastAsia="Times New Roman" w:hAnsi="Calibri" w:cs="Calibri"/>
                <w:color w:val="000000"/>
                <w:lang w:eastAsia="en-GB"/>
              </w:rPr>
              <w:t>&amp;</w:t>
            </w:r>
            <w:r w:rsidRPr="008A69CE">
              <w:rPr>
                <w:rFonts w:ascii="Calibri" w:eastAsia="Times New Roman" w:hAnsi="Calibri" w:cs="Calibri"/>
                <w:color w:val="000000"/>
                <w:lang w:eastAsia="en-GB"/>
              </w:rPr>
              <w:t xml:space="preserve"> Heyse</w:t>
            </w:r>
            <w:r>
              <w:rPr>
                <w:rFonts w:ascii="Calibri" w:eastAsia="Times New Roman" w:hAnsi="Calibri" w:cs="Calibri"/>
                <w:color w:val="000000"/>
                <w:lang w:eastAsia="en-GB"/>
              </w:rPr>
              <w:fldChar w:fldCharType="begin">
                <w:fldData xml:space="preserve">PEVuZE5vdGU+PENpdGU+PEF1dGhvcj5NZWhyb3RyYTwvQXV0aG9yPjxZZWFyPjIwMDQ8L1llYXI+
PFJlY051bT45MTUzPC9SZWNOdW0+PERpc3BsYXlUZXh0PjxzdHlsZSBmYWNlPSJzdXBlcnNjcmlw
dCI+MTY8L3N0eWxlPjwvRGlzcGxheVRleHQ+PHJlY29yZD48cmVjLW51bWJlcj45MTUzPC9yZWMt
bnVtYmVyPjxmb3JlaWduLWtleXM+PGtleSBhcHA9IkVOIiBkYi1pZD0iejJmNWE1cHQwMjIycDhl
c2VzdXY1OXRvdzB0cnR6ZnBkeGF3IiB0aW1lc3RhbXA9IjE1MjEwNDczOTYiPjkxNTM8L2tleT48
L2ZvcmVpZ24ta2V5cz48cmVmLXR5cGUgbmFtZT0iSm91cm5hbCBBcnRpY2xlIj4xNzwvcmVmLXR5
cGU+PGNvbnRyaWJ1dG9ycz48YXV0aG9ycz48YXV0aG9yPk1laHJvdHJhLCBELiBWLjwvYXV0aG9y
PjxhdXRob3I+SGV5c2UsIEouIEYuPC9hdXRob3I+PC9hdXRob3JzPjwvY29udHJpYnV0b3JzPjxh
dXRoLWFkZHJlc3M+TWVyY2sgUmVzZWFyY2ggTGFib3JhdG9yaWVzLCA3ODUgSm9sbHkgUm9hZCwg
Qmx1ZSBCZWxsLCBQQSAxOTQyMiwgVW5pdGVkIFN0YXRlczwvYXV0aC1hZGRyZXNzPjx0aXRsZXM+
PHRpdGxlPlVzZSBvZiB0aGUgZmFsc2UgZGlzY292ZXJ5IHJhdGUgZm9yIGV2YWx1YXRpbmcgY2xp
bmljYWwgc2FmZXR5IGRhdGE8L3RpdGxlPjxzZWNvbmRhcnktdGl0bGU+U3RhdGlzdGljYWwgTWV0
aG9kcyBpbiBNZWRpY2FsIFJlc2VhcmNoPC9zZWNvbmRhcnktdGl0bGU+PGFsdC10aXRsZT5TdGF0
LiBNZXRob2RzIE1lZC4gUmVzLjwvYWx0LXRpdGxlPjwvdGl0bGVzPjxwZXJpb2RpY2FsPjxmdWxs
LXRpdGxlPlN0YXRpc3RpY2FsIE1ldGhvZHMgaW4gTWVkaWNhbCBSZXNlYXJjaDwvZnVsbC10aXRs
ZT48L3BlcmlvZGljYWw+PHBhZ2VzPjIyNy0yMzg8L3BhZ2VzPjx2b2x1bWU+MTM8L3ZvbHVtZT48
bnVtYmVyPjM8L251bWJlcj48a2V5d29yZHM+PGtleXdvcmQ+Y2hpY2tlbnBveCBtZWFzbGVzIG11
bXBzIHJ1YmVsbGEgdmFjY2luZTwva2V5d29yZD48a2V5d29yZD5jaGlja2VucG94IHZhY2NpbmU8
L2tleXdvcmQ+PGtleXdvcmQ+bWVhc2xlcyBtdW1wcyBydWJlbGxhIHZhY2NpbmU8L2tleXdvcmQ+
PGtleXdvcmQ+dW5jbGFzc2lmaWVkIGRydWc8L2tleXdvcmQ+PGtleXdvcmQ+dmlydXMgdmFjY2lu
ZTwva2V5d29yZD48a2V5d29yZD5hbmFseXRpY2FsIGVycm9yPC9rZXl3b3JkPjxrZXl3b3JkPmFu
b3JleGlhPC9rZXl3b3JkPjxrZXl3b3JkPmFydGljbGU8L2tleXdvcmQ+PGtleXdvcmQ+YXN0aGVu
aWE8L2tleXdvcmQ+PGtleXdvcmQ+Yml0ZTwva2V5d29yZD48a2V5d29yZD5icm9uY2hpdGlzPC9r
ZXl3b3JkPjxrZXl3b3JkPmNhbGN1bGF0aW9uPC9rZXl3b3JkPjxrZXl3b3JkPmNoaWNrZW5wb3g8
L2tleXdvcmQ+PGtleXdvcmQ+Y2xpbmljYWwgdHJpYWw8L2tleXdvcmQ+PGtleXdvcmQ+Y29uZmlk
ZW5jZSBpbnRlcnZhbDwva2V5d29yZD48a2V5d29yZD5jb25qdW5jdGl2aXRpczwva2V5d29yZD48
a2V5d29yZD5jb25zdGlwYXRpb248L2tleXdvcmQ+PGtleXdvcmQ+Y291Z2hpbmc8L2tleXdvcmQ+
PGtleXdvcmQ+Y3J5aW5nPC9rZXl3b3JkPjxrZXl3b3JkPmRlaHlkcmF0aW9uPC9rZXl3b3JkPjxr
ZXl3b3JkPmRpYXJyaGVhPC9rZXl3b3JkPjxrZXl3b3JkPmRydWcgZXJ1cHRpb248L2tleXdvcmQ+
PGtleXdvcmQ+ZHJ1ZyBzYWZldHk8L2tleXdvcmQ+PGtleXdvcmQ+ZHJ1ZyBzdXJ2ZWlsbGFuY2Ug
cHJvZ3JhbTwva2V5d29yZD48a2V5d29yZD5lY3plbWE8L2tleXdvcmQ+PGtleXdvcmQ+ZXZhbHVh
dGlvbjwva2V5d29yZD48a2V5d29yZD5mYXRpZ3VlPC9rZXl3b3JkPjxrZXl3b3JkPmZldmVyPC9r
ZXl3b3JkPjxrZXl3b3JkPkZpc2hlciBleGFjdCB0ZXN0PC9rZXl3b3JkPjxrZXl3b3JkPmdhc3Ry
b2VudGVyaXRpczwva2V5d29yZD48a2V5d29yZD5odW1hbjwva2V5d29yZD48a2V5d29yZD5pbW11
bm9nZW5pY2l0eTwva2V5d29yZD48a2V5d29yZD5pbmZhbnQ8L2tleXdvcmQ+PGtleXdvcmQ+aW5z
ZWN0IHN0aW5nPC9rZXl3b3JkPjxrZXl3b3JkPmluc29tbmlhPC9rZXl3b3JkPjxrZXl3b3JkPmly
cml0YWJpbGl0eTwva2V5d29yZD48a2V5d29yZD5sYXJ5bmdvdHJhY2hlb2Jyb25jaGl0aXM8L2tl
eXdvcmQ+PGtleXdvcmQ+bHltcGhhZGVub3BhdGh5PC9rZXl3b3JkPjxrZXl3b3JkPm1hbGFpc2U8
L2tleXdvcmQ+PGtleXdvcmQ+bWVhc2xlczwva2V5d29yZD48a2V5d29yZD5tdW1wczwva2V5d29y
ZD48a2V5d29yZD5teWNvc2lzPC9rZXl3b3JkPjxrZXl3b3JkPm5hdXNlYTwva2V5d29yZD48a2V5
d29yZD5ub3NlIGNvbmdlc3Rpb248L2tleXdvcmQ+PGtleXdvcmQ+b3RpdGlzIG1lZGlhPC9rZXl3
b3JkPjxrZXl3b3JkPm90b3JyaGVhPC9rZXl3b3JkPjxrZXl3b3JkPnBoYXJ5bmdpdGlzPC9rZXl3
b3JkPjxrZXl3b3JkPnByZXNjaG9vbCBjaGlsZDwva2V5d29yZD48a2V5d29yZD5wcnVyaXR1czwv
a2V5d29yZD48a2V5d29yZD5yZXNwaXJhdG9yeSB0cmFjdCBkaXNlYXNlPC9rZXl3b3JkPjxrZXl3
b3JkPnJoaW5vcnJoZWE8L2tleXdvcmQ+PGtleXdvcmQ+cnViZWxsYTwva2V5d29yZD48a2V5d29y
ZD5zaWRlIGVmZmVjdDwva2V5d29yZD48a2V5d29yZD5zaW51c2l0aXM8L2tleXdvcmQ+PGtleXdv
cmQ+dGhydXNoPC9rZXl3b3JkPjxrZXl3b3JkPnRvbnNpbGxpdGlzPC9rZXl3b3JkPjxrZXl3b3Jk
PnRyZWF0bWVudCBvdXRjb21lPC9rZXl3b3JkPjxrZXl3b3JkPnVwcGVyIHJlc3BpcmF0b3J5IHRy
YWN0IGluZmVjdGlvbjwva2V5d29yZD48a2V5d29yZD51cnRpY2FyaWE8L2tleXdvcmQ+PGtleXdv
cmQ+dmFjY2luYXRpb248L2tleXdvcmQ+PGtleXdvcmQ+dmlydXMgaW5mZWN0aW9uPC9rZXl3b3Jk
PjxrZXl3b3JkPnZvbWl0aW5nPC9rZXl3b3JkPjxrZXl3b3JkPndoZWV6aW5nPC9rZXl3b3JkPjxr
ZXl3b3JkPkNsaW5pY2FsIFRyaWFsczwva2V5d29yZD48a2V5d29yZD5IdW1hbnM8L2tleXdvcmQ+
PGtleXdvcmQ+TWVhc2xlcy1NdW1wcy1SdWJlbGxhIFZhY2NpbmU8L2tleXdvcmQ+PGtleXdvcmQ+
TW9kZWxzLCBTdGF0aXN0aWNhbDwva2V5d29yZD48a2V5d29yZD5TYWZldHk8L2tleXdvcmQ+PGtl
eXdvcmQ+VmFjY2luZXMsIENvbWJpbmVkPC9rZXl3b3JkPjxrZXl3b3JkPlZpcmFsIFZhY2NpbmVz
PC9rZXl3b3JkPjwva2V5d29yZHM+PGRhdGVzPjx5ZWFyPjIwMDQ8L3llYXI+PC9kYXRlcz48aXNi
bj4wOTYyMjgwMiAoSVNTTik8L2lzYm4+PHdvcmstdHlwZT5BcnRpY2xlPC93b3JrLXR5cGU+PHVy
bHM+PHJlbGF0ZWQtdXJscz48dXJsPmh0dHBzOi8vd3d3LnNjb3B1cy5jb20vaW53YXJkL3JlY29y
ZC51cmk/ZWlkPTItczIuMC0yOTQyNTI3MzEzJmFtcDtwYXJ0bmVySUQ9NDAmYW1wO21kNT02MDRm
MjkzMzgxMDUwYjRjNTdmNGJjODlkMGMyOTk0OTwvdXJsPjwvcmVsYXRlZC11cmxzPjwvdXJscz48
cmVtb3RlLWRhdGFiYXNlLW5hbWU+U2NvcHVzPC9yZW1vdGUtZGF0YWJhc2UtbmFtZT48bGFuZ3Vh
Z2U+RW5nbGlzaDwvbGFuZ3VhZ2U+PC9yZWNvcmQ+PC9DaXRlPjwvRW5kTm90ZT5=
</w:fldData>
              </w:fldChar>
            </w:r>
            <w:r>
              <w:rPr>
                <w:rFonts w:ascii="Calibri" w:eastAsia="Times New Roman" w:hAnsi="Calibri" w:cs="Calibri"/>
                <w:color w:val="000000"/>
                <w:lang w:eastAsia="en-GB"/>
              </w:rPr>
              <w:instrText xml:space="preserve"> ADDIN EN.CITE </w:instrText>
            </w:r>
            <w:r>
              <w:rPr>
                <w:rFonts w:ascii="Calibri" w:eastAsia="Times New Roman" w:hAnsi="Calibri" w:cs="Calibri"/>
                <w:color w:val="000000"/>
                <w:lang w:eastAsia="en-GB"/>
              </w:rPr>
              <w:fldChar w:fldCharType="begin">
                <w:fldData xml:space="preserve">PEVuZE5vdGU+PENpdGU+PEF1dGhvcj5NZWhyb3RyYTwvQXV0aG9yPjxZZWFyPjIwMDQ8L1llYXI+
PFJlY051bT45MTUzPC9SZWNOdW0+PERpc3BsYXlUZXh0PjxzdHlsZSBmYWNlPSJzdXBlcnNjcmlw
dCI+MTY8L3N0eWxlPjwvRGlzcGxheVRleHQ+PHJlY29yZD48cmVjLW51bWJlcj45MTUzPC9yZWMt
bnVtYmVyPjxmb3JlaWduLWtleXM+PGtleSBhcHA9IkVOIiBkYi1pZD0iejJmNWE1cHQwMjIycDhl
c2VzdXY1OXRvdzB0cnR6ZnBkeGF3IiB0aW1lc3RhbXA9IjE1MjEwNDczOTYiPjkxNTM8L2tleT48
L2ZvcmVpZ24ta2V5cz48cmVmLXR5cGUgbmFtZT0iSm91cm5hbCBBcnRpY2xlIj4xNzwvcmVmLXR5
cGU+PGNvbnRyaWJ1dG9ycz48YXV0aG9ycz48YXV0aG9yPk1laHJvdHJhLCBELiBWLjwvYXV0aG9y
PjxhdXRob3I+SGV5c2UsIEouIEYuPC9hdXRob3I+PC9hdXRob3JzPjwvY29udHJpYnV0b3JzPjxh
dXRoLWFkZHJlc3M+TWVyY2sgUmVzZWFyY2ggTGFib3JhdG9yaWVzLCA3ODUgSm9sbHkgUm9hZCwg
Qmx1ZSBCZWxsLCBQQSAxOTQyMiwgVW5pdGVkIFN0YXRlczwvYXV0aC1hZGRyZXNzPjx0aXRsZXM+
PHRpdGxlPlVzZSBvZiB0aGUgZmFsc2UgZGlzY292ZXJ5IHJhdGUgZm9yIGV2YWx1YXRpbmcgY2xp
bmljYWwgc2FmZXR5IGRhdGE8L3RpdGxlPjxzZWNvbmRhcnktdGl0bGU+U3RhdGlzdGljYWwgTWV0
aG9kcyBpbiBNZWRpY2FsIFJlc2VhcmNoPC9zZWNvbmRhcnktdGl0bGU+PGFsdC10aXRsZT5TdGF0
LiBNZXRob2RzIE1lZC4gUmVzLjwvYWx0LXRpdGxlPjwvdGl0bGVzPjxwZXJpb2RpY2FsPjxmdWxs
LXRpdGxlPlN0YXRpc3RpY2FsIE1ldGhvZHMgaW4gTWVkaWNhbCBSZXNlYXJjaDwvZnVsbC10aXRs
ZT48L3BlcmlvZGljYWw+PHBhZ2VzPjIyNy0yMzg8L3BhZ2VzPjx2b2x1bWU+MTM8L3ZvbHVtZT48
bnVtYmVyPjM8L251bWJlcj48a2V5d29yZHM+PGtleXdvcmQ+Y2hpY2tlbnBveCBtZWFzbGVzIG11
bXBzIHJ1YmVsbGEgdmFjY2luZTwva2V5d29yZD48a2V5d29yZD5jaGlja2VucG94IHZhY2NpbmU8
L2tleXdvcmQ+PGtleXdvcmQ+bWVhc2xlcyBtdW1wcyBydWJlbGxhIHZhY2NpbmU8L2tleXdvcmQ+
PGtleXdvcmQ+dW5jbGFzc2lmaWVkIGRydWc8L2tleXdvcmQ+PGtleXdvcmQ+dmlydXMgdmFjY2lu
ZTwva2V5d29yZD48a2V5d29yZD5hbmFseXRpY2FsIGVycm9yPC9rZXl3b3JkPjxrZXl3b3JkPmFu
b3JleGlhPC9rZXl3b3JkPjxrZXl3b3JkPmFydGljbGU8L2tleXdvcmQ+PGtleXdvcmQ+YXN0aGVu
aWE8L2tleXdvcmQ+PGtleXdvcmQ+Yml0ZTwva2V5d29yZD48a2V5d29yZD5icm9uY2hpdGlzPC9r
ZXl3b3JkPjxrZXl3b3JkPmNhbGN1bGF0aW9uPC9rZXl3b3JkPjxrZXl3b3JkPmNoaWNrZW5wb3g8
L2tleXdvcmQ+PGtleXdvcmQ+Y2xpbmljYWwgdHJpYWw8L2tleXdvcmQ+PGtleXdvcmQ+Y29uZmlk
ZW5jZSBpbnRlcnZhbDwva2V5d29yZD48a2V5d29yZD5jb25qdW5jdGl2aXRpczwva2V5d29yZD48
a2V5d29yZD5jb25zdGlwYXRpb248L2tleXdvcmQ+PGtleXdvcmQ+Y291Z2hpbmc8L2tleXdvcmQ+
PGtleXdvcmQ+Y3J5aW5nPC9rZXl3b3JkPjxrZXl3b3JkPmRlaHlkcmF0aW9uPC9rZXl3b3JkPjxr
ZXl3b3JkPmRpYXJyaGVhPC9rZXl3b3JkPjxrZXl3b3JkPmRydWcgZXJ1cHRpb248L2tleXdvcmQ+
PGtleXdvcmQ+ZHJ1ZyBzYWZldHk8L2tleXdvcmQ+PGtleXdvcmQ+ZHJ1ZyBzdXJ2ZWlsbGFuY2Ug
cHJvZ3JhbTwva2V5d29yZD48a2V5d29yZD5lY3plbWE8L2tleXdvcmQ+PGtleXdvcmQ+ZXZhbHVh
dGlvbjwva2V5d29yZD48a2V5d29yZD5mYXRpZ3VlPC9rZXl3b3JkPjxrZXl3b3JkPmZldmVyPC9r
ZXl3b3JkPjxrZXl3b3JkPkZpc2hlciBleGFjdCB0ZXN0PC9rZXl3b3JkPjxrZXl3b3JkPmdhc3Ry
b2VudGVyaXRpczwva2V5d29yZD48a2V5d29yZD5odW1hbjwva2V5d29yZD48a2V5d29yZD5pbW11
bm9nZW5pY2l0eTwva2V5d29yZD48a2V5d29yZD5pbmZhbnQ8L2tleXdvcmQ+PGtleXdvcmQ+aW5z
ZWN0IHN0aW5nPC9rZXl3b3JkPjxrZXl3b3JkPmluc29tbmlhPC9rZXl3b3JkPjxrZXl3b3JkPmly
cml0YWJpbGl0eTwva2V5d29yZD48a2V5d29yZD5sYXJ5bmdvdHJhY2hlb2Jyb25jaGl0aXM8L2tl
eXdvcmQ+PGtleXdvcmQ+bHltcGhhZGVub3BhdGh5PC9rZXl3b3JkPjxrZXl3b3JkPm1hbGFpc2U8
L2tleXdvcmQ+PGtleXdvcmQ+bWVhc2xlczwva2V5d29yZD48a2V5d29yZD5tdW1wczwva2V5d29y
ZD48a2V5d29yZD5teWNvc2lzPC9rZXl3b3JkPjxrZXl3b3JkPm5hdXNlYTwva2V5d29yZD48a2V5
d29yZD5ub3NlIGNvbmdlc3Rpb248L2tleXdvcmQ+PGtleXdvcmQ+b3RpdGlzIG1lZGlhPC9rZXl3
b3JkPjxrZXl3b3JkPm90b3JyaGVhPC9rZXl3b3JkPjxrZXl3b3JkPnBoYXJ5bmdpdGlzPC9rZXl3
b3JkPjxrZXl3b3JkPnByZXNjaG9vbCBjaGlsZDwva2V5d29yZD48a2V5d29yZD5wcnVyaXR1czwv
a2V5d29yZD48a2V5d29yZD5yZXNwaXJhdG9yeSB0cmFjdCBkaXNlYXNlPC9rZXl3b3JkPjxrZXl3
b3JkPnJoaW5vcnJoZWE8L2tleXdvcmQ+PGtleXdvcmQ+cnViZWxsYTwva2V5d29yZD48a2V5d29y
ZD5zaWRlIGVmZmVjdDwva2V5d29yZD48a2V5d29yZD5zaW51c2l0aXM8L2tleXdvcmQ+PGtleXdv
cmQ+dGhydXNoPC9rZXl3b3JkPjxrZXl3b3JkPnRvbnNpbGxpdGlzPC9rZXl3b3JkPjxrZXl3b3Jk
PnRyZWF0bWVudCBvdXRjb21lPC9rZXl3b3JkPjxrZXl3b3JkPnVwcGVyIHJlc3BpcmF0b3J5IHRy
YWN0IGluZmVjdGlvbjwva2V5d29yZD48a2V5d29yZD51cnRpY2FyaWE8L2tleXdvcmQ+PGtleXdv
cmQ+dmFjY2luYXRpb248L2tleXdvcmQ+PGtleXdvcmQ+dmlydXMgaW5mZWN0aW9uPC9rZXl3b3Jk
PjxrZXl3b3JkPnZvbWl0aW5nPC9rZXl3b3JkPjxrZXl3b3JkPndoZWV6aW5nPC9rZXl3b3JkPjxr
ZXl3b3JkPkNsaW5pY2FsIFRyaWFsczwva2V5d29yZD48a2V5d29yZD5IdW1hbnM8L2tleXdvcmQ+
PGtleXdvcmQ+TWVhc2xlcy1NdW1wcy1SdWJlbGxhIFZhY2NpbmU8L2tleXdvcmQ+PGtleXdvcmQ+
TW9kZWxzLCBTdGF0aXN0aWNhbDwva2V5d29yZD48a2V5d29yZD5TYWZldHk8L2tleXdvcmQ+PGtl
eXdvcmQ+VmFjY2luZXMsIENvbWJpbmVkPC9rZXl3b3JkPjxrZXl3b3JkPlZpcmFsIFZhY2NpbmVz
PC9rZXl3b3JkPjwva2V5d29yZHM+PGRhdGVzPjx5ZWFyPjIwMDQ8L3llYXI+PC9kYXRlcz48aXNi
bj4wOTYyMjgwMiAoSVNTTik8L2lzYm4+PHdvcmstdHlwZT5BcnRpY2xlPC93b3JrLXR5cGU+PHVy
bHM+PHJlbGF0ZWQtdXJscz48dXJsPmh0dHBzOi8vd3d3LnNjb3B1cy5jb20vaW53YXJkL3JlY29y
ZC51cmk/ZWlkPTItczIuMC0yOTQyNTI3MzEzJmFtcDtwYXJ0bmVySUQ9NDAmYW1wO21kNT02MDRm
MjkzMzgxMDUwYjRjNTdmNGJjODlkMGMyOTk0OTwvdXJsPjwvcmVsYXRlZC11cmxzPjwvdXJscz48
cmVtb3RlLWRhdGFiYXNlLW5hbWU+U2NvcHVzPC9yZW1vdGUtZGF0YWJhc2UtbmFtZT48bGFuZ3Vh
Z2U+RW5nbGlzaDwvbGFuZ3VhZ2U+PC9yZWNvcmQ+PC9DaXRlPjwvRW5kTm90ZT5=
</w:fldData>
              </w:fldChar>
            </w:r>
            <w:r>
              <w:rPr>
                <w:rFonts w:ascii="Calibri" w:eastAsia="Times New Roman" w:hAnsi="Calibri" w:cs="Calibri"/>
                <w:color w:val="000000"/>
                <w:lang w:eastAsia="en-GB"/>
              </w:rPr>
              <w:instrText xml:space="preserve"> ADDIN EN.CITE.DATA </w:instrText>
            </w:r>
            <w:r>
              <w:rPr>
                <w:rFonts w:ascii="Calibri" w:eastAsia="Times New Roman" w:hAnsi="Calibri" w:cs="Calibri"/>
                <w:color w:val="000000"/>
                <w:lang w:eastAsia="en-GB"/>
              </w:rPr>
            </w:r>
            <w:r>
              <w:rPr>
                <w:rFonts w:ascii="Calibri" w:eastAsia="Times New Roman" w:hAnsi="Calibri" w:cs="Calibri"/>
                <w:color w:val="000000"/>
                <w:lang w:eastAsia="en-GB"/>
              </w:rPr>
              <w:fldChar w:fldCharType="end"/>
            </w:r>
            <w:r>
              <w:rPr>
                <w:rFonts w:ascii="Calibri" w:eastAsia="Times New Roman" w:hAnsi="Calibri" w:cs="Calibri"/>
                <w:color w:val="000000"/>
                <w:lang w:eastAsia="en-GB"/>
              </w:rPr>
            </w:r>
            <w:r>
              <w:rPr>
                <w:rFonts w:ascii="Calibri" w:eastAsia="Times New Roman" w:hAnsi="Calibri" w:cs="Calibri"/>
                <w:color w:val="000000"/>
                <w:lang w:eastAsia="en-GB"/>
              </w:rPr>
              <w:fldChar w:fldCharType="separate"/>
            </w:r>
            <w:r w:rsidRPr="009A6245">
              <w:rPr>
                <w:rFonts w:ascii="Calibri" w:eastAsia="Times New Roman" w:hAnsi="Calibri" w:cs="Calibri"/>
                <w:noProof/>
                <w:color w:val="000000"/>
                <w:vertAlign w:val="superscript"/>
                <w:lang w:eastAsia="en-GB"/>
              </w:rPr>
              <w:t>16</w:t>
            </w:r>
            <w:r>
              <w:rPr>
                <w:rFonts w:ascii="Calibri" w:eastAsia="Times New Roman" w:hAnsi="Calibri" w:cs="Calibri"/>
                <w:color w:val="000000"/>
                <w:lang w:eastAsia="en-GB"/>
              </w:rPr>
              <w:fldChar w:fldCharType="end"/>
            </w:r>
            <w:r w:rsidRPr="008A69CE">
              <w:rPr>
                <w:rFonts w:ascii="Calibri" w:eastAsia="Times New Roman" w:hAnsi="Calibri" w:cs="Calibri"/>
                <w:color w:val="000000"/>
                <w:lang w:eastAsia="en-GB"/>
              </w:rPr>
              <w:t xml:space="preserve"> </w:t>
            </w:r>
          </w:p>
        </w:tc>
        <w:tc>
          <w:tcPr>
            <w:tcW w:w="2835" w:type="dxa"/>
            <w:tcBorders>
              <w:top w:val="nil"/>
              <w:left w:val="nil"/>
              <w:bottom w:val="single" w:sz="4" w:space="0" w:color="auto"/>
              <w:right w:val="single" w:sz="4" w:space="0" w:color="auto"/>
            </w:tcBorders>
            <w:shd w:val="clear" w:color="auto" w:fill="auto"/>
            <w:noWrap/>
            <w:vAlign w:val="bottom"/>
            <w:hideMark/>
          </w:tcPr>
          <w:p w14:paraId="269DFCC0"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 xml:space="preserve">P-value adjustment </w:t>
            </w:r>
          </w:p>
        </w:tc>
      </w:tr>
      <w:tr w:rsidR="00E37363" w:rsidRPr="008A69CE" w14:paraId="5B170552" w14:textId="77777777" w:rsidTr="00B45076">
        <w:trPr>
          <w:trHeight w:val="300"/>
        </w:trPr>
        <w:tc>
          <w:tcPr>
            <w:tcW w:w="1129" w:type="dxa"/>
            <w:vMerge/>
            <w:tcBorders>
              <w:left w:val="single" w:sz="4" w:space="0" w:color="auto"/>
              <w:bottom w:val="single" w:sz="4" w:space="0" w:color="auto"/>
              <w:right w:val="single" w:sz="4" w:space="0" w:color="auto"/>
            </w:tcBorders>
            <w:shd w:val="clear" w:color="auto" w:fill="auto"/>
            <w:vAlign w:val="center"/>
            <w:hideMark/>
          </w:tcPr>
          <w:p w14:paraId="1C1EDDA1" w14:textId="77777777" w:rsidR="00E37363" w:rsidRPr="008A69CE" w:rsidRDefault="00E37363" w:rsidP="00B45076">
            <w:pPr>
              <w:spacing w:after="0" w:line="240" w:lineRule="auto"/>
              <w:rPr>
                <w:rFonts w:ascii="Calibri" w:eastAsia="Times New Roman" w:hAnsi="Calibri" w:cs="Calibri"/>
                <w:b/>
                <w:bCs/>
                <w:color w:val="000000"/>
                <w:lang w:eastAsia="en-GB"/>
              </w:rPr>
            </w:pPr>
          </w:p>
        </w:tc>
        <w:tc>
          <w:tcPr>
            <w:tcW w:w="2268" w:type="dxa"/>
            <w:tcBorders>
              <w:top w:val="nil"/>
              <w:left w:val="nil"/>
              <w:bottom w:val="single" w:sz="4" w:space="0" w:color="auto"/>
              <w:right w:val="single" w:sz="4" w:space="0" w:color="auto"/>
            </w:tcBorders>
            <w:shd w:val="clear" w:color="auto" w:fill="auto"/>
            <w:vAlign w:val="bottom"/>
            <w:hideMark/>
          </w:tcPr>
          <w:p w14:paraId="672934B7"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Binary</w:t>
            </w:r>
          </w:p>
        </w:tc>
        <w:tc>
          <w:tcPr>
            <w:tcW w:w="1701" w:type="dxa"/>
            <w:tcBorders>
              <w:top w:val="nil"/>
              <w:left w:val="nil"/>
              <w:bottom w:val="single" w:sz="4" w:space="0" w:color="auto"/>
              <w:right w:val="single" w:sz="4" w:space="0" w:color="auto"/>
            </w:tcBorders>
            <w:shd w:val="clear" w:color="auto" w:fill="auto"/>
            <w:vAlign w:val="bottom"/>
            <w:hideMark/>
          </w:tcPr>
          <w:p w14:paraId="32D83868" w14:textId="77777777" w:rsidR="00E37363" w:rsidRPr="008A69CE"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Not applicable</w:t>
            </w:r>
          </w:p>
        </w:tc>
        <w:tc>
          <w:tcPr>
            <w:tcW w:w="1985" w:type="dxa"/>
            <w:tcBorders>
              <w:top w:val="nil"/>
              <w:left w:val="nil"/>
              <w:bottom w:val="single" w:sz="4" w:space="0" w:color="auto"/>
              <w:right w:val="single" w:sz="4" w:space="0" w:color="auto"/>
            </w:tcBorders>
            <w:shd w:val="clear" w:color="auto" w:fill="auto"/>
            <w:noWrap/>
            <w:vAlign w:val="bottom"/>
            <w:hideMark/>
          </w:tcPr>
          <w:p w14:paraId="2BF8C526"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 xml:space="preserve">Mehrotra </w:t>
            </w:r>
            <w:r>
              <w:rPr>
                <w:rFonts w:ascii="Calibri" w:eastAsia="Times New Roman" w:hAnsi="Calibri" w:cs="Calibri"/>
                <w:color w:val="000000"/>
                <w:lang w:eastAsia="en-GB"/>
              </w:rPr>
              <w:t>&amp;</w:t>
            </w:r>
            <w:r w:rsidRPr="008A69CE">
              <w:rPr>
                <w:rFonts w:ascii="Calibri" w:eastAsia="Times New Roman" w:hAnsi="Calibri" w:cs="Calibri"/>
                <w:color w:val="000000"/>
                <w:lang w:eastAsia="en-GB"/>
              </w:rPr>
              <w:t xml:space="preserve"> Adew</w:t>
            </w:r>
            <w:r>
              <w:rPr>
                <w:rFonts w:ascii="Calibri" w:eastAsia="Times New Roman" w:hAnsi="Calibri" w:cs="Calibri"/>
                <w:color w:val="000000"/>
                <w:lang w:eastAsia="en-GB"/>
              </w:rPr>
              <w:t>al</w:t>
            </w:r>
            <w:r w:rsidRPr="008A69CE">
              <w:rPr>
                <w:rFonts w:ascii="Calibri" w:eastAsia="Times New Roman" w:hAnsi="Calibri" w:cs="Calibri"/>
                <w:color w:val="000000"/>
                <w:lang w:eastAsia="en-GB"/>
              </w:rPr>
              <w:t>e</w:t>
            </w:r>
            <w:r>
              <w:rPr>
                <w:rFonts w:ascii="Calibri" w:eastAsia="Times New Roman" w:hAnsi="Calibri" w:cs="Calibri"/>
                <w:color w:val="000000"/>
                <w:lang w:eastAsia="en-GB"/>
              </w:rPr>
              <w:fldChar w:fldCharType="begin"/>
            </w:r>
            <w:r>
              <w:rPr>
                <w:rFonts w:ascii="Calibri" w:eastAsia="Times New Roman" w:hAnsi="Calibri" w:cs="Calibri"/>
                <w:color w:val="000000"/>
                <w:lang w:eastAsia="en-GB"/>
              </w:rPr>
              <w:instrText xml:space="preserve"> ADDIN EN.CITE &lt;EndNote&gt;&lt;Cite&gt;&lt;Author&gt;Mehrotra&lt;/Author&gt;&lt;Year&gt;2012&lt;/Year&gt;&lt;RecNum&gt;16238&lt;/RecNum&gt;&lt;DisplayText&gt;&lt;style face="superscript"&gt;17&lt;/style&gt;&lt;/DisplayText&gt;&lt;record&gt;&lt;rec-number&gt;16238&lt;/rec-number&gt;&lt;foreign-keys&gt;&lt;key app="EN" db-id="z2f5a5pt0222p8esesuv59tow0trtzfpdxaw" timestamp="1521049901"&gt;16238&lt;/key&gt;&lt;/foreign-keys&gt;&lt;ref-type name="Journal Article"&gt;17&lt;/ref-type&gt;&lt;contributors&gt;&lt;authors&gt;&lt;author&gt;Mehrotra, D. V.&lt;/author&gt;&lt;author&gt;Adewale, A. J.&lt;/author&gt;&lt;/authors&gt;&lt;/contributors&gt;&lt;auth-address&gt;(Mehrotra, Adewale) Merck Research Laboratories, 351 N. Sumneytown Pike, North Wales, PA 19454, United States&lt;/auth-address&gt;&lt;titles&gt;&lt;title&gt;Flagging clinical adverse experiences: Reducing false discoveries without materially compromising power for detecting true signals&lt;/title&gt;&lt;secondary-title&gt;Statistics in Medicine&lt;/secondary-title&gt;&lt;/titles&gt;&lt;periodical&gt;&lt;full-title&gt;Statistics in Medicine&lt;/full-title&gt;&lt;/periodical&gt;&lt;pages&gt;1918-1930&lt;/pages&gt;&lt;volume&gt;31&lt;/volume&gt;&lt;number&gt;18&lt;/number&gt;&lt;dates&gt;&lt;year&gt;2012&lt;/year&gt;&lt;pub-dates&gt;&lt;date&gt;15 Aug&lt;/date&gt;&lt;/pub-dates&gt;&lt;/dates&gt;&lt;accession-num&gt;51912062&lt;/accession-num&gt;&lt;urls&gt;&lt;related-urls&gt;&lt;url&gt;http://ovidsp.ovid.com/ovidweb.cgi?T=JS&amp;amp;CSC=Y&amp;amp;NEWS=N&amp;amp;PAGE=fulltext&amp;amp;D=emed14&amp;amp;AN=51912062&lt;/url&gt;&lt;/related-urls&gt;&lt;/urls&gt;&lt;remote-database-name&gt;Embase&lt;/remote-database-name&gt;&lt;remote-database-provider&gt;Ovid Technologies&lt;/remote-database-provider&gt;&lt;/record&gt;&lt;/Cite&gt;&lt;/EndNote&gt;</w:instrText>
            </w:r>
            <w:r>
              <w:rPr>
                <w:rFonts w:ascii="Calibri" w:eastAsia="Times New Roman" w:hAnsi="Calibri" w:cs="Calibri"/>
                <w:color w:val="000000"/>
                <w:lang w:eastAsia="en-GB"/>
              </w:rPr>
              <w:fldChar w:fldCharType="separate"/>
            </w:r>
            <w:r w:rsidRPr="009A6245">
              <w:rPr>
                <w:rFonts w:ascii="Calibri" w:eastAsia="Times New Roman" w:hAnsi="Calibri" w:cs="Calibri"/>
                <w:noProof/>
                <w:color w:val="000000"/>
                <w:vertAlign w:val="superscript"/>
                <w:lang w:eastAsia="en-GB"/>
              </w:rPr>
              <w:t>17</w:t>
            </w:r>
            <w:r>
              <w:rPr>
                <w:rFonts w:ascii="Calibri" w:eastAsia="Times New Roman" w:hAnsi="Calibri" w:cs="Calibri"/>
                <w:color w:val="000000"/>
                <w:lang w:eastAsia="en-GB"/>
              </w:rPr>
              <w:fldChar w:fldCharType="end"/>
            </w:r>
          </w:p>
        </w:tc>
        <w:tc>
          <w:tcPr>
            <w:tcW w:w="2835" w:type="dxa"/>
            <w:tcBorders>
              <w:top w:val="nil"/>
              <w:left w:val="nil"/>
              <w:bottom w:val="single" w:sz="4" w:space="0" w:color="auto"/>
              <w:right w:val="single" w:sz="4" w:space="0" w:color="auto"/>
            </w:tcBorders>
            <w:shd w:val="clear" w:color="auto" w:fill="auto"/>
            <w:noWrap/>
            <w:vAlign w:val="bottom"/>
            <w:hideMark/>
          </w:tcPr>
          <w:p w14:paraId="01B014B5"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 xml:space="preserve">P-value adjustment </w:t>
            </w:r>
          </w:p>
        </w:tc>
      </w:tr>
      <w:tr w:rsidR="00E37363" w:rsidRPr="008A69CE" w14:paraId="741E29D6" w14:textId="77777777" w:rsidTr="00B45076">
        <w:trPr>
          <w:trHeight w:val="169"/>
        </w:trPr>
        <w:tc>
          <w:tcPr>
            <w:tcW w:w="1129" w:type="dxa"/>
            <w:tcBorders>
              <w:top w:val="nil"/>
              <w:left w:val="single" w:sz="4" w:space="0" w:color="auto"/>
              <w:bottom w:val="single" w:sz="4" w:space="0" w:color="auto"/>
              <w:right w:val="single" w:sz="4" w:space="0" w:color="auto"/>
            </w:tcBorders>
            <w:shd w:val="clear" w:color="auto" w:fill="BFBFBF" w:themeFill="background1" w:themeFillShade="BF"/>
            <w:vAlign w:val="center"/>
          </w:tcPr>
          <w:p w14:paraId="1D340305" w14:textId="77777777" w:rsidR="00E37363" w:rsidRPr="008A69CE" w:rsidRDefault="00E37363" w:rsidP="00B45076">
            <w:pPr>
              <w:spacing w:after="0" w:line="240" w:lineRule="auto"/>
              <w:jc w:val="center"/>
              <w:rPr>
                <w:rFonts w:ascii="Calibri" w:eastAsia="Times New Roman" w:hAnsi="Calibri" w:cs="Calibri"/>
                <w:b/>
                <w:bCs/>
                <w:color w:val="000000"/>
                <w:lang w:eastAsia="en-GB"/>
              </w:rPr>
            </w:pPr>
          </w:p>
        </w:tc>
        <w:tc>
          <w:tcPr>
            <w:tcW w:w="2268" w:type="dxa"/>
            <w:tcBorders>
              <w:top w:val="nil"/>
              <w:left w:val="nil"/>
              <w:bottom w:val="single" w:sz="4" w:space="0" w:color="auto"/>
              <w:right w:val="single" w:sz="4" w:space="0" w:color="auto"/>
            </w:tcBorders>
            <w:shd w:val="clear" w:color="auto" w:fill="BFBFBF" w:themeFill="background1" w:themeFillShade="BF"/>
            <w:vAlign w:val="bottom"/>
          </w:tcPr>
          <w:p w14:paraId="6F649454" w14:textId="77777777" w:rsidR="00E37363" w:rsidRPr="008A69CE" w:rsidRDefault="00E37363" w:rsidP="00B45076">
            <w:pPr>
              <w:spacing w:after="0" w:line="240" w:lineRule="auto"/>
              <w:rPr>
                <w:rFonts w:ascii="Calibri" w:eastAsia="Times New Roman" w:hAnsi="Calibri" w:cs="Calibri"/>
                <w:color w:val="000000"/>
                <w:lang w:eastAsia="en-GB"/>
              </w:rPr>
            </w:pPr>
          </w:p>
        </w:tc>
        <w:tc>
          <w:tcPr>
            <w:tcW w:w="1701" w:type="dxa"/>
            <w:tcBorders>
              <w:top w:val="nil"/>
              <w:left w:val="nil"/>
              <w:bottom w:val="single" w:sz="4" w:space="0" w:color="auto"/>
              <w:right w:val="single" w:sz="4" w:space="0" w:color="auto"/>
            </w:tcBorders>
            <w:shd w:val="clear" w:color="auto" w:fill="BFBFBF" w:themeFill="background1" w:themeFillShade="BF"/>
            <w:vAlign w:val="bottom"/>
          </w:tcPr>
          <w:p w14:paraId="009B5F98" w14:textId="77777777" w:rsidR="00E37363" w:rsidRPr="008A69CE" w:rsidRDefault="00E37363" w:rsidP="00B45076">
            <w:pPr>
              <w:spacing w:after="0" w:line="240" w:lineRule="auto"/>
              <w:rPr>
                <w:rFonts w:ascii="Calibri" w:eastAsia="Times New Roman" w:hAnsi="Calibri" w:cs="Calibri"/>
                <w:color w:val="000000"/>
                <w:lang w:eastAsia="en-GB"/>
              </w:rPr>
            </w:pPr>
          </w:p>
        </w:tc>
        <w:tc>
          <w:tcPr>
            <w:tcW w:w="1985" w:type="dxa"/>
            <w:tcBorders>
              <w:top w:val="nil"/>
              <w:left w:val="nil"/>
              <w:bottom w:val="single" w:sz="4" w:space="0" w:color="auto"/>
              <w:right w:val="single" w:sz="4" w:space="0" w:color="auto"/>
            </w:tcBorders>
            <w:shd w:val="clear" w:color="auto" w:fill="BFBFBF" w:themeFill="background1" w:themeFillShade="BF"/>
            <w:noWrap/>
            <w:vAlign w:val="bottom"/>
          </w:tcPr>
          <w:p w14:paraId="63AEEE1C" w14:textId="77777777" w:rsidR="00E37363" w:rsidRPr="008A69CE" w:rsidRDefault="00E37363" w:rsidP="00B45076">
            <w:pPr>
              <w:spacing w:after="0" w:line="240" w:lineRule="auto"/>
              <w:rPr>
                <w:rFonts w:ascii="Calibri" w:eastAsia="Times New Roman" w:hAnsi="Calibri" w:cs="Calibri"/>
                <w:color w:val="000000"/>
                <w:lang w:eastAsia="en-GB"/>
              </w:rPr>
            </w:pPr>
          </w:p>
        </w:tc>
        <w:tc>
          <w:tcPr>
            <w:tcW w:w="2835" w:type="dxa"/>
            <w:tcBorders>
              <w:top w:val="nil"/>
              <w:left w:val="nil"/>
              <w:bottom w:val="single" w:sz="4" w:space="0" w:color="auto"/>
              <w:right w:val="single" w:sz="4" w:space="0" w:color="auto"/>
            </w:tcBorders>
            <w:shd w:val="clear" w:color="auto" w:fill="BFBFBF" w:themeFill="background1" w:themeFillShade="BF"/>
            <w:vAlign w:val="bottom"/>
          </w:tcPr>
          <w:p w14:paraId="48F1823D" w14:textId="77777777" w:rsidR="00E37363" w:rsidRPr="008A69CE" w:rsidRDefault="00E37363" w:rsidP="00B45076">
            <w:pPr>
              <w:spacing w:after="0" w:line="240" w:lineRule="auto"/>
              <w:rPr>
                <w:rFonts w:ascii="Calibri" w:eastAsia="Times New Roman" w:hAnsi="Calibri" w:cs="Calibri"/>
                <w:color w:val="000000"/>
                <w:lang w:eastAsia="en-GB"/>
              </w:rPr>
            </w:pPr>
          </w:p>
        </w:tc>
      </w:tr>
      <w:tr w:rsidR="00E37363" w:rsidRPr="008A69CE" w14:paraId="50985A4B" w14:textId="77777777" w:rsidTr="00B45076">
        <w:trPr>
          <w:trHeight w:val="600"/>
        </w:trPr>
        <w:tc>
          <w:tcPr>
            <w:tcW w:w="1129" w:type="dxa"/>
            <w:vMerge w:val="restart"/>
            <w:tcBorders>
              <w:top w:val="nil"/>
              <w:left w:val="single" w:sz="4" w:space="0" w:color="auto"/>
              <w:right w:val="single" w:sz="4" w:space="0" w:color="auto"/>
            </w:tcBorders>
            <w:shd w:val="clear" w:color="auto" w:fill="auto"/>
            <w:vAlign w:val="center"/>
            <w:hideMark/>
          </w:tcPr>
          <w:p w14:paraId="4437E21D" w14:textId="77777777" w:rsidR="00E37363" w:rsidRPr="008A69CE" w:rsidRDefault="00E37363" w:rsidP="00B45076">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 xml:space="preserve">Emerging </w:t>
            </w:r>
            <w:r w:rsidRPr="008A69CE">
              <w:rPr>
                <w:rFonts w:ascii="Calibri" w:eastAsia="Times New Roman" w:hAnsi="Calibri" w:cs="Calibri"/>
                <w:b/>
                <w:bCs/>
                <w:color w:val="000000"/>
                <w:lang w:eastAsia="en-GB"/>
              </w:rPr>
              <w:t xml:space="preserve">Adverse events </w:t>
            </w:r>
            <w:r>
              <w:rPr>
                <w:rFonts w:ascii="Calibri" w:eastAsia="Times New Roman" w:hAnsi="Calibri" w:cs="Calibri"/>
                <w:b/>
                <w:bCs/>
                <w:color w:val="000000"/>
                <w:lang w:eastAsia="en-GB"/>
              </w:rPr>
              <w:t>(single)</w:t>
            </w:r>
          </w:p>
        </w:tc>
        <w:tc>
          <w:tcPr>
            <w:tcW w:w="2268" w:type="dxa"/>
            <w:tcBorders>
              <w:top w:val="nil"/>
              <w:left w:val="nil"/>
              <w:bottom w:val="single" w:sz="4" w:space="0" w:color="auto"/>
              <w:right w:val="single" w:sz="4" w:space="0" w:color="auto"/>
            </w:tcBorders>
            <w:shd w:val="clear" w:color="auto" w:fill="auto"/>
            <w:vAlign w:val="bottom"/>
            <w:hideMark/>
          </w:tcPr>
          <w:p w14:paraId="2EEA579D"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Time</w:t>
            </w:r>
            <w:r>
              <w:rPr>
                <w:rFonts w:ascii="Calibri" w:eastAsia="Times New Roman" w:hAnsi="Calibri" w:cs="Calibri"/>
                <w:color w:val="000000"/>
                <w:lang w:eastAsia="en-GB"/>
              </w:rPr>
              <w:t>-</w:t>
            </w:r>
            <w:r w:rsidRPr="008A69CE">
              <w:rPr>
                <w:rFonts w:ascii="Calibri" w:eastAsia="Times New Roman" w:hAnsi="Calibri" w:cs="Calibri"/>
                <w:color w:val="000000"/>
                <w:lang w:eastAsia="en-GB"/>
              </w:rPr>
              <w:t>to</w:t>
            </w:r>
            <w:r>
              <w:rPr>
                <w:rFonts w:ascii="Calibri" w:eastAsia="Times New Roman" w:hAnsi="Calibri" w:cs="Calibri"/>
                <w:color w:val="000000"/>
                <w:lang w:eastAsia="en-GB"/>
              </w:rPr>
              <w:t>-</w:t>
            </w:r>
            <w:r w:rsidRPr="008A69CE">
              <w:rPr>
                <w:rFonts w:ascii="Calibri" w:eastAsia="Times New Roman" w:hAnsi="Calibri" w:cs="Calibri"/>
                <w:color w:val="000000"/>
                <w:lang w:eastAsia="en-GB"/>
              </w:rPr>
              <w:t xml:space="preserve">event </w:t>
            </w:r>
          </w:p>
        </w:tc>
        <w:tc>
          <w:tcPr>
            <w:tcW w:w="1701" w:type="dxa"/>
            <w:tcBorders>
              <w:top w:val="nil"/>
              <w:left w:val="nil"/>
              <w:bottom w:val="single" w:sz="4" w:space="0" w:color="auto"/>
              <w:right w:val="single" w:sz="4" w:space="0" w:color="auto"/>
            </w:tcBorders>
            <w:shd w:val="clear" w:color="auto" w:fill="auto"/>
            <w:vAlign w:val="bottom"/>
            <w:hideMark/>
          </w:tcPr>
          <w:p w14:paraId="6F2FFD25"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Poisson</w:t>
            </w:r>
          </w:p>
        </w:tc>
        <w:tc>
          <w:tcPr>
            <w:tcW w:w="1985" w:type="dxa"/>
            <w:vMerge w:val="restart"/>
            <w:tcBorders>
              <w:top w:val="nil"/>
              <w:left w:val="nil"/>
              <w:right w:val="single" w:sz="4" w:space="0" w:color="auto"/>
            </w:tcBorders>
            <w:shd w:val="clear" w:color="auto" w:fill="auto"/>
            <w:noWrap/>
            <w:vAlign w:val="center"/>
            <w:hideMark/>
          </w:tcPr>
          <w:p w14:paraId="1F0F6FDA"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 xml:space="preserve">Huang, </w:t>
            </w:r>
            <w:proofErr w:type="spellStart"/>
            <w:r w:rsidRPr="008A69CE">
              <w:rPr>
                <w:rFonts w:ascii="Calibri" w:eastAsia="Times New Roman" w:hAnsi="Calibri" w:cs="Calibri"/>
                <w:color w:val="000000"/>
                <w:lang w:eastAsia="en-GB"/>
              </w:rPr>
              <w:t>Zalkikar</w:t>
            </w:r>
            <w:proofErr w:type="spellEnd"/>
            <w:r w:rsidRPr="008A69CE">
              <w:rPr>
                <w:rFonts w:ascii="Calibri" w:eastAsia="Times New Roman" w:hAnsi="Calibri" w:cs="Calibri"/>
                <w:color w:val="000000"/>
                <w:lang w:eastAsia="en-GB"/>
              </w:rPr>
              <w:t xml:space="preserve"> </w:t>
            </w:r>
            <w:r>
              <w:rPr>
                <w:rFonts w:ascii="Calibri" w:eastAsia="Times New Roman" w:hAnsi="Calibri" w:cs="Calibri"/>
                <w:color w:val="000000"/>
                <w:lang w:eastAsia="en-GB"/>
              </w:rPr>
              <w:t>&amp;</w:t>
            </w:r>
            <w:r w:rsidRPr="008A69CE">
              <w:rPr>
                <w:rFonts w:ascii="Calibri" w:eastAsia="Times New Roman" w:hAnsi="Calibri" w:cs="Calibri"/>
                <w:color w:val="000000"/>
                <w:lang w:eastAsia="en-GB"/>
              </w:rPr>
              <w:t xml:space="preserve"> Tiwari</w:t>
            </w:r>
            <w:r>
              <w:rPr>
                <w:rFonts w:ascii="Calibri" w:eastAsia="Times New Roman" w:hAnsi="Calibri" w:cs="Calibri"/>
                <w:color w:val="000000"/>
                <w:lang w:eastAsia="en-GB"/>
              </w:rPr>
              <w:fldChar w:fldCharType="begin">
                <w:fldData xml:space="preserve">PEVuZE5vdGU+PENpdGU+PEF1dGhvcj5IdWFuZzwvQXV0aG9yPjxZZWFyPjIwMTQ8L1llYXI+PFJl
Y051bT44NDEzPC9SZWNOdW0+PERpc3BsYXlUZXh0PjxzdHlsZSBmYWNlPSJzdXBlcnNjcmlwdCI+
MTg8L3N0eWxlPjwvRGlzcGxheVRleHQ+PHJlY29yZD48cmVjLW51bWJlcj44NDEzPC9yZWMtbnVt
YmVyPjxmb3JlaWduLWtleXM+PGtleSBhcHA9IkVOIiBkYi1pZD0iejJmNWE1cHQwMjIycDhlc2Vz
dXY1OXRvdzB0cnR6ZnBkeGF3IiB0aW1lc3RhbXA9IjE1MjEwNDczODgiPjg0MTM8L2tleT48L2Zv
cmVpZ24ta2V5cz48cmVmLXR5cGUgbmFtZT0iSm91cm5hbCBBcnRpY2xlIj4xNzwvcmVmLXR5cGU+
PGNvbnRyaWJ1dG9ycz48YXV0aG9ycz48YXV0aG9yPkh1YW5nLCBMLjwvYXV0aG9yPjxhdXRob3I+
WmFsa2lrYXIsIEouPC9hdXRob3I+PGF1dGhvcj5UaXdhcmksIFIuPC9hdXRob3I+PC9hdXRob3Jz
PjwvY29udHJpYnV0b3JzPjxhdXRoLWFkZHJlc3M+RGl2aXNpb24gb2YgQmlvbWV0cmljcyBWLCBP
ZmZpY2Ugb2YgQmlvc3RhdGlzdGljcywgT1RTLCBDREVSLCBGREEsIFNpbHZlciBTcHJpbmcsIE1E
LCBVbml0ZWQgU3RhdGVzPC9hdXRoLWFkZHJlc3M+PHRpdGxlcz48dGl0bGU+TGlrZWxpaG9vZCBy
YXRpbyBiYXNlZCB0ZXN0cyBmb3IgbG9uZ2l0dWRpbmFsIGRydWcgc2FmZXR5IGRhdGE8L3RpdGxl
PjxzZWNvbmRhcnktdGl0bGU+U3RhdGlzdGljcyBpbiBNZWRpY2luZTwvc2Vjb25kYXJ5LXRpdGxl
PjxhbHQtdGl0bGU+U3RhdC4gTWVkLjwvYWx0LXRpdGxlPjwvdGl0bGVzPjxwZXJpb2RpY2FsPjxm
dWxsLXRpdGxlPlN0YXRpc3RpY3MgaW4gTWVkaWNpbmU8L2Z1bGwtdGl0bGU+PC9wZXJpb2RpY2Fs
PjxwYWdlcz4yNDA4LTI0MjQ8L3BhZ2VzPjx2b2x1bWU+MzM8L3ZvbHVtZT48bnVtYmVyPjE0PC9u
dW1iZXI+PGtleXdvcmRzPjxrZXl3b3JkPkFjdGl2ZSBzdXJ2ZWlsbGFuY2U8L2tleXdvcmQ+PGtl
eXdvcmQ+RHJ1ZyBleHBvc3VyZTwva2V5d29yZD48a2V5d29yZD5Mb25naXR1ZGluYWwgbWV0aG9k
PC9rZXl3b3JkPjxrZXl3b3JkPlNhZmV0eSBzdXJ2ZWlsbGFuY2U8L2tleXdvcmQ+PGtleXdvcmQ+
U2VxdWVudGlhbCBtZXRob2Q8L2tleXdvcmQ+PGtleXdvcmQ+YmF6ZWRveGlmZW5lPC9rZXl3b3Jk
PjxrZXl3b3JkPmliYW5kcm9uaWMgYWNpZDwva2V5d29yZD48a2V5d29yZD5sYXNvZm94aWZlbmU8
L2tleXdvcmQ+PGtleXdvcmQ+cGFyYXRoeXJvaWQgaG9ybW9uZTwva2V5d29yZD48a2V5d29yZD5w
YXJhdGh5cm9pZCBob3Jtb25lWzEtMzRdPC9rZXl3b3JkPjxrZXl3b3JkPnBsYWNlYm88L2tleXdv
cmQ+PGtleXdvcmQ+cHJvdG9uIHB1bXAgaW5oaWJpdG9yPC9rZXl3b3JkPjxrZXl3b3JkPnJhbG94
aWZlbmU8L2tleXdvcmQ+PGtleXdvcmQ+Ym9uZSBkZW5zaXR5IGNvbnNlcnZhdGlvbiBhZ2VudDwv
a2V5d29yZD48a2V5d29yZD5kcnVnPC9rZXl3b3JkPjxrZXl3b3JkPmFkdmVyc2UgZHJ1ZyByZWFj
dGlvbjwva2V5d29yZD48a2V5d29yZD5hbmFseXRpY2FsIGVycm9yPC9rZXl3b3JkPjxrZXl3b3Jk
PmFua2xlIHNwcmFpbjwva2V5d29yZD48a2V5d29yZD5BcnRpY2xlPC9rZXl3b3JkPjxrZXl3b3Jk
PmJvbmUgcGFpbjwva2V5d29yZD48a2V5d29yZD5jbGluaWNhbCB0cmlhbCAodG9waWMpPC9rZXl3
b3JkPjxrZXl3b3JkPmNvbnRyb2xsZWQgc3R1ZHk8L2tleXdvcmQ+PGtleXdvcmQ+ZGF0YSBhbmFs
eXNpczwva2V5d29yZD48a2V5d29yZD5kYXRhIGJhc2U8L2tleXdvcmQ+PGtleXdvcmQ+ZHJ1ZyBz
YWZldHk8L2tleXdvcmQ+PGtleXdvcmQ+ZHJ1ZyBzdXJ2ZWlsbGFuY2UgcHJvZ3JhbTwva2V5d29y
ZD48a2V5d29yZD5kcnVnIHVzZTwva2V5d29yZD48a2V5d29yZD5ldmlkZW5jZSBiYXNlZCBtZWRp
Y2luZTwva2V5d29yZD48a2V5d29yZD5mb29kIGFuZCBkcnVnIGFkbWluaXN0cmF0aW9uPC9rZXl3
b3JkPjxrZXl3b3JkPmZvb3QgZnJhY3R1cmU8L2tleXdvcmQ+PGtleXdvcmQ+aHVtYW48L2tleXdv
cmQ+PGtleXdvcmQ+bG9uZ2l0dWRpbmFsIGxpa2VsaWhvb2QgcmF0aW8gdGVzdDwva2V5d29yZD48
a2V5d29yZD5sb25naXR1ZGluYWwgc3R1ZHk8L2tleXdvcmQ+PGtleXdvcmQ+bXVzY2xlIGNyYW1w
PC9rZXl3b3JkPjxrZXl3b3JkPm11c2NsZSBzcGFzbTwva2V5d29yZD48a2V5d29yZD5vYnNlcnZh
dGlvbmFsIHN0dWR5PC9rZXl3b3JkPjxrZXl3b3JkPm9zdGVvcG9yb3Npczwva2V5d29yZD48a2V5
d29yZD5zaW11bGF0aW9uPC9rZXl3b3JkPjxrZXl3b3JkPlVuaXRlZCBTdGF0ZXM8L2tleXdvcmQ+
PGtleXdvcmQ+Y29tcHV0ZXIgc2ltdWxhdGlvbjwva2V5d29yZD48a2V5d29yZD5kcnVnIGNvbWJp
bmF0aW9uPC9rZXl3b3JkPjxrZXl3b3JkPnN0YW5kYXJkczwva2V5d29yZD48a2V5d29yZD5zdGF0
aXN0aWNhbCBhbmFseXNpczwva2V5d29yZD48a2V5d29yZD5zdGF0aXN0aWNhbCBtb2RlbDwva2V5
d29yZD48a2V5d29yZD5Cb25lIERlbnNpdHkgQ29uc2VydmF0aW9uIEFnZW50czwva2V5d29yZD48
a2V5d29yZD5EYXRhIEludGVycHJldGF0aW9uLCBTdGF0aXN0aWNhbDwva2V5d29yZD48a2V5d29y
ZD5EcnVnIFRoZXJhcHksIENvbWJpbmF0aW9uPC9rZXl3b3JkPjxrZXl3b3JkPkRydWctUmVsYXRl
ZCBTaWRlIEVmZmVjdHMgYW5kIEFkdmVyc2UgUmVhY3Rpb25zPC9rZXl3b3JkPjxrZXl3b3JkPkh1
bWFuczwva2V5d29yZD48a2V5d29yZD5MaWtlbGlob29kIEZ1bmN0aW9uczwva2V5d29yZD48a2V5
d29yZD5Mb25naXR1ZGluYWwgU3R1ZGllczwva2V5d29yZD48a2V5d29yZD5QaGFybWFjZXV0aWNh
bCBQcmVwYXJhdGlvbnM8L2tleXdvcmQ+PGtleXdvcmQ+UHJvdG9uIFB1bXAgSW5oaWJpdG9yczwv
a2V5d29yZD48L2tleXdvcmRzPjxkYXRlcz48eWVhcj4yMDE0PC95ZWFyPjwvZGF0ZXM+PHB1Ymxp
c2hlcj5Kb2huIFdpbGV5IGFuZCBTb25zIEx0ZDwvcHVibGlzaGVyPjxpc2JuPjAyNzc2NzE1IChJ
U1NOKTwvaXNibj48d29yay10eXBlPkFydGljbGU8L3dvcmstdHlwZT48dXJscz48cmVsYXRlZC11
cmxzPjx1cmw+aHR0cHM6Ly93d3cuc2NvcHVzLmNvbS9pbndhcmQvcmVjb3JkLnVyaT9laWQ9Mi1z
Mi4wLTg0OTIyMzk0OTMxJmFtcDtkb2k9MTAuMTAwMiUyZnNpbS42MTAzJmFtcDtwYXJ0bmVySUQ9
NDAmYW1wO21kNT1iYzc5ZTFlOGRjOTE1YzNhZDQxYzlhZjc2ZjE5ZTRjOTwvdXJsPjwvcmVsYXRl
ZC11cmxzPjwvdXJscz48ZWxlY3Ryb25pYy1yZXNvdXJjZS1udW0+MTAuMTAwMi9zaW0uNjEwMzwv
ZWxlY3Ryb25pYy1yZXNvdXJjZS1udW0+PHJlbW90ZS1kYXRhYmFzZS1uYW1lPlNjb3B1czwvcmVt
b3RlLWRhdGFiYXNlLW5hbWU+PGxhbmd1YWdlPkVuZ2xpc2g8L2xhbmd1YWdlPjwvcmVjb3JkPjwv
Q2l0ZT48L0VuZE5vdGU+
</w:fldData>
              </w:fldChar>
            </w:r>
            <w:r>
              <w:rPr>
                <w:rFonts w:ascii="Calibri" w:eastAsia="Times New Roman" w:hAnsi="Calibri" w:cs="Calibri"/>
                <w:color w:val="000000"/>
                <w:lang w:eastAsia="en-GB"/>
              </w:rPr>
              <w:instrText xml:space="preserve"> ADDIN EN.CITE </w:instrText>
            </w:r>
            <w:r>
              <w:rPr>
                <w:rFonts w:ascii="Calibri" w:eastAsia="Times New Roman" w:hAnsi="Calibri" w:cs="Calibri"/>
                <w:color w:val="000000"/>
                <w:lang w:eastAsia="en-GB"/>
              </w:rPr>
              <w:fldChar w:fldCharType="begin">
                <w:fldData xml:space="preserve">PEVuZE5vdGU+PENpdGU+PEF1dGhvcj5IdWFuZzwvQXV0aG9yPjxZZWFyPjIwMTQ8L1llYXI+PFJl
Y051bT44NDEzPC9SZWNOdW0+PERpc3BsYXlUZXh0PjxzdHlsZSBmYWNlPSJzdXBlcnNjcmlwdCI+
MTg8L3N0eWxlPjwvRGlzcGxheVRleHQ+PHJlY29yZD48cmVjLW51bWJlcj44NDEzPC9yZWMtbnVt
YmVyPjxmb3JlaWduLWtleXM+PGtleSBhcHA9IkVOIiBkYi1pZD0iejJmNWE1cHQwMjIycDhlc2Vz
dXY1OXRvdzB0cnR6ZnBkeGF3IiB0aW1lc3RhbXA9IjE1MjEwNDczODgiPjg0MTM8L2tleT48L2Zv
cmVpZ24ta2V5cz48cmVmLXR5cGUgbmFtZT0iSm91cm5hbCBBcnRpY2xlIj4xNzwvcmVmLXR5cGU+
PGNvbnRyaWJ1dG9ycz48YXV0aG9ycz48YXV0aG9yPkh1YW5nLCBMLjwvYXV0aG9yPjxhdXRob3I+
WmFsa2lrYXIsIEouPC9hdXRob3I+PGF1dGhvcj5UaXdhcmksIFIuPC9hdXRob3I+PC9hdXRob3Jz
PjwvY29udHJpYnV0b3JzPjxhdXRoLWFkZHJlc3M+RGl2aXNpb24gb2YgQmlvbWV0cmljcyBWLCBP
ZmZpY2Ugb2YgQmlvc3RhdGlzdGljcywgT1RTLCBDREVSLCBGREEsIFNpbHZlciBTcHJpbmcsIE1E
LCBVbml0ZWQgU3RhdGVzPC9hdXRoLWFkZHJlc3M+PHRpdGxlcz48dGl0bGU+TGlrZWxpaG9vZCBy
YXRpbyBiYXNlZCB0ZXN0cyBmb3IgbG9uZ2l0dWRpbmFsIGRydWcgc2FmZXR5IGRhdGE8L3RpdGxl
PjxzZWNvbmRhcnktdGl0bGU+U3RhdGlzdGljcyBpbiBNZWRpY2luZTwvc2Vjb25kYXJ5LXRpdGxl
PjxhbHQtdGl0bGU+U3RhdC4gTWVkLjwvYWx0LXRpdGxlPjwvdGl0bGVzPjxwZXJpb2RpY2FsPjxm
dWxsLXRpdGxlPlN0YXRpc3RpY3MgaW4gTWVkaWNpbmU8L2Z1bGwtdGl0bGU+PC9wZXJpb2RpY2Fs
PjxwYWdlcz4yNDA4LTI0MjQ8L3BhZ2VzPjx2b2x1bWU+MzM8L3ZvbHVtZT48bnVtYmVyPjE0PC9u
dW1iZXI+PGtleXdvcmRzPjxrZXl3b3JkPkFjdGl2ZSBzdXJ2ZWlsbGFuY2U8L2tleXdvcmQ+PGtl
eXdvcmQ+RHJ1ZyBleHBvc3VyZTwva2V5d29yZD48a2V5d29yZD5Mb25naXR1ZGluYWwgbWV0aG9k
PC9rZXl3b3JkPjxrZXl3b3JkPlNhZmV0eSBzdXJ2ZWlsbGFuY2U8L2tleXdvcmQ+PGtleXdvcmQ+
U2VxdWVudGlhbCBtZXRob2Q8L2tleXdvcmQ+PGtleXdvcmQ+YmF6ZWRveGlmZW5lPC9rZXl3b3Jk
PjxrZXl3b3JkPmliYW5kcm9uaWMgYWNpZDwva2V5d29yZD48a2V5d29yZD5sYXNvZm94aWZlbmU8
L2tleXdvcmQ+PGtleXdvcmQ+cGFyYXRoeXJvaWQgaG9ybW9uZTwva2V5d29yZD48a2V5d29yZD5w
YXJhdGh5cm9pZCBob3Jtb25lWzEtMzRdPC9rZXl3b3JkPjxrZXl3b3JkPnBsYWNlYm88L2tleXdv
cmQ+PGtleXdvcmQ+cHJvdG9uIHB1bXAgaW5oaWJpdG9yPC9rZXl3b3JkPjxrZXl3b3JkPnJhbG94
aWZlbmU8L2tleXdvcmQ+PGtleXdvcmQ+Ym9uZSBkZW5zaXR5IGNvbnNlcnZhdGlvbiBhZ2VudDwv
a2V5d29yZD48a2V5d29yZD5kcnVnPC9rZXl3b3JkPjxrZXl3b3JkPmFkdmVyc2UgZHJ1ZyByZWFj
dGlvbjwva2V5d29yZD48a2V5d29yZD5hbmFseXRpY2FsIGVycm9yPC9rZXl3b3JkPjxrZXl3b3Jk
PmFua2xlIHNwcmFpbjwva2V5d29yZD48a2V5d29yZD5BcnRpY2xlPC9rZXl3b3JkPjxrZXl3b3Jk
PmJvbmUgcGFpbjwva2V5d29yZD48a2V5d29yZD5jbGluaWNhbCB0cmlhbCAodG9waWMpPC9rZXl3
b3JkPjxrZXl3b3JkPmNvbnRyb2xsZWQgc3R1ZHk8L2tleXdvcmQ+PGtleXdvcmQ+ZGF0YSBhbmFs
eXNpczwva2V5d29yZD48a2V5d29yZD5kYXRhIGJhc2U8L2tleXdvcmQ+PGtleXdvcmQ+ZHJ1ZyBz
YWZldHk8L2tleXdvcmQ+PGtleXdvcmQ+ZHJ1ZyBzdXJ2ZWlsbGFuY2UgcHJvZ3JhbTwva2V5d29y
ZD48a2V5d29yZD5kcnVnIHVzZTwva2V5d29yZD48a2V5d29yZD5ldmlkZW5jZSBiYXNlZCBtZWRp
Y2luZTwva2V5d29yZD48a2V5d29yZD5mb29kIGFuZCBkcnVnIGFkbWluaXN0cmF0aW9uPC9rZXl3
b3JkPjxrZXl3b3JkPmZvb3QgZnJhY3R1cmU8L2tleXdvcmQ+PGtleXdvcmQ+aHVtYW48L2tleXdv
cmQ+PGtleXdvcmQ+bG9uZ2l0dWRpbmFsIGxpa2VsaWhvb2QgcmF0aW8gdGVzdDwva2V5d29yZD48
a2V5d29yZD5sb25naXR1ZGluYWwgc3R1ZHk8L2tleXdvcmQ+PGtleXdvcmQ+bXVzY2xlIGNyYW1w
PC9rZXl3b3JkPjxrZXl3b3JkPm11c2NsZSBzcGFzbTwva2V5d29yZD48a2V5d29yZD5vYnNlcnZh
dGlvbmFsIHN0dWR5PC9rZXl3b3JkPjxrZXl3b3JkPm9zdGVvcG9yb3Npczwva2V5d29yZD48a2V5
d29yZD5zaW11bGF0aW9uPC9rZXl3b3JkPjxrZXl3b3JkPlVuaXRlZCBTdGF0ZXM8L2tleXdvcmQ+
PGtleXdvcmQ+Y29tcHV0ZXIgc2ltdWxhdGlvbjwva2V5d29yZD48a2V5d29yZD5kcnVnIGNvbWJp
bmF0aW9uPC9rZXl3b3JkPjxrZXl3b3JkPnN0YW5kYXJkczwva2V5d29yZD48a2V5d29yZD5zdGF0
aXN0aWNhbCBhbmFseXNpczwva2V5d29yZD48a2V5d29yZD5zdGF0aXN0aWNhbCBtb2RlbDwva2V5
d29yZD48a2V5d29yZD5Cb25lIERlbnNpdHkgQ29uc2VydmF0aW9uIEFnZW50czwva2V5d29yZD48
a2V5d29yZD5EYXRhIEludGVycHJldGF0aW9uLCBTdGF0aXN0aWNhbDwva2V5d29yZD48a2V5d29y
ZD5EcnVnIFRoZXJhcHksIENvbWJpbmF0aW9uPC9rZXl3b3JkPjxrZXl3b3JkPkRydWctUmVsYXRl
ZCBTaWRlIEVmZmVjdHMgYW5kIEFkdmVyc2UgUmVhY3Rpb25zPC9rZXl3b3JkPjxrZXl3b3JkPkh1
bWFuczwva2V5d29yZD48a2V5d29yZD5MaWtlbGlob29kIEZ1bmN0aW9uczwva2V5d29yZD48a2V5
d29yZD5Mb25naXR1ZGluYWwgU3R1ZGllczwva2V5d29yZD48a2V5d29yZD5QaGFybWFjZXV0aWNh
bCBQcmVwYXJhdGlvbnM8L2tleXdvcmQ+PGtleXdvcmQ+UHJvdG9uIFB1bXAgSW5oaWJpdG9yczwv
a2V5d29yZD48L2tleXdvcmRzPjxkYXRlcz48eWVhcj4yMDE0PC95ZWFyPjwvZGF0ZXM+PHB1Ymxp
c2hlcj5Kb2huIFdpbGV5IGFuZCBTb25zIEx0ZDwvcHVibGlzaGVyPjxpc2JuPjAyNzc2NzE1IChJ
U1NOKTwvaXNibj48d29yay10eXBlPkFydGljbGU8L3dvcmstdHlwZT48dXJscz48cmVsYXRlZC11
cmxzPjx1cmw+aHR0cHM6Ly93d3cuc2NvcHVzLmNvbS9pbndhcmQvcmVjb3JkLnVyaT9laWQ9Mi1z
Mi4wLTg0OTIyMzk0OTMxJmFtcDtkb2k9MTAuMTAwMiUyZnNpbS42MTAzJmFtcDtwYXJ0bmVySUQ9
NDAmYW1wO21kNT1iYzc5ZTFlOGRjOTE1YzNhZDQxYzlhZjc2ZjE5ZTRjOTwvdXJsPjwvcmVsYXRl
ZC11cmxzPjwvdXJscz48ZWxlY3Ryb25pYy1yZXNvdXJjZS1udW0+MTAuMTAwMi9zaW0uNjEwMzwv
ZWxlY3Ryb25pYy1yZXNvdXJjZS1udW0+PHJlbW90ZS1kYXRhYmFzZS1uYW1lPlNjb3B1czwvcmVt
b3RlLWRhdGFiYXNlLW5hbWU+PGxhbmd1YWdlPkVuZ2xpc2g8L2xhbmd1YWdlPjwvcmVjb3JkPjwv
Q2l0ZT48L0VuZE5vdGU+
</w:fldData>
              </w:fldChar>
            </w:r>
            <w:r>
              <w:rPr>
                <w:rFonts w:ascii="Calibri" w:eastAsia="Times New Roman" w:hAnsi="Calibri" w:cs="Calibri"/>
                <w:color w:val="000000"/>
                <w:lang w:eastAsia="en-GB"/>
              </w:rPr>
              <w:instrText xml:space="preserve"> ADDIN EN.CITE.DATA </w:instrText>
            </w:r>
            <w:r>
              <w:rPr>
                <w:rFonts w:ascii="Calibri" w:eastAsia="Times New Roman" w:hAnsi="Calibri" w:cs="Calibri"/>
                <w:color w:val="000000"/>
                <w:lang w:eastAsia="en-GB"/>
              </w:rPr>
            </w:r>
            <w:r>
              <w:rPr>
                <w:rFonts w:ascii="Calibri" w:eastAsia="Times New Roman" w:hAnsi="Calibri" w:cs="Calibri"/>
                <w:color w:val="000000"/>
                <w:lang w:eastAsia="en-GB"/>
              </w:rPr>
              <w:fldChar w:fldCharType="end"/>
            </w:r>
            <w:r>
              <w:rPr>
                <w:rFonts w:ascii="Calibri" w:eastAsia="Times New Roman" w:hAnsi="Calibri" w:cs="Calibri"/>
                <w:color w:val="000000"/>
                <w:lang w:eastAsia="en-GB"/>
              </w:rPr>
            </w:r>
            <w:r>
              <w:rPr>
                <w:rFonts w:ascii="Calibri" w:eastAsia="Times New Roman" w:hAnsi="Calibri" w:cs="Calibri"/>
                <w:color w:val="000000"/>
                <w:lang w:eastAsia="en-GB"/>
              </w:rPr>
              <w:fldChar w:fldCharType="separate"/>
            </w:r>
            <w:r w:rsidRPr="009A6245">
              <w:rPr>
                <w:rFonts w:ascii="Calibri" w:eastAsia="Times New Roman" w:hAnsi="Calibri" w:cs="Calibri"/>
                <w:noProof/>
                <w:color w:val="000000"/>
                <w:vertAlign w:val="superscript"/>
                <w:lang w:eastAsia="en-GB"/>
              </w:rPr>
              <w:t>18</w:t>
            </w:r>
            <w:r>
              <w:rPr>
                <w:rFonts w:ascii="Calibri" w:eastAsia="Times New Roman" w:hAnsi="Calibri" w:cs="Calibri"/>
                <w:color w:val="000000"/>
                <w:lang w:eastAsia="en-GB"/>
              </w:rPr>
              <w:fldChar w:fldCharType="end"/>
            </w:r>
            <w:r w:rsidRPr="008A69CE">
              <w:rPr>
                <w:rFonts w:ascii="Calibri" w:eastAsia="Times New Roman" w:hAnsi="Calibri" w:cs="Calibri"/>
                <w:color w:val="000000"/>
                <w:lang w:eastAsia="en-GB"/>
              </w:rPr>
              <w:t xml:space="preserve"> </w:t>
            </w:r>
          </w:p>
        </w:tc>
        <w:tc>
          <w:tcPr>
            <w:tcW w:w="2835" w:type="dxa"/>
            <w:tcBorders>
              <w:top w:val="nil"/>
              <w:left w:val="nil"/>
              <w:bottom w:val="single" w:sz="4" w:space="0" w:color="auto"/>
              <w:right w:val="single" w:sz="4" w:space="0" w:color="auto"/>
            </w:tcBorders>
            <w:shd w:val="clear" w:color="auto" w:fill="auto"/>
            <w:vAlign w:val="bottom"/>
            <w:hideMark/>
          </w:tcPr>
          <w:p w14:paraId="2E42B7F7"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Likelihood ratio test to compare relative risk for time-to-first event</w:t>
            </w:r>
          </w:p>
        </w:tc>
      </w:tr>
      <w:tr w:rsidR="00E37363" w:rsidRPr="008A69CE" w14:paraId="2BA7FBF3" w14:textId="77777777" w:rsidTr="00B45076">
        <w:trPr>
          <w:trHeight w:val="300"/>
        </w:trPr>
        <w:tc>
          <w:tcPr>
            <w:tcW w:w="1129" w:type="dxa"/>
            <w:vMerge/>
            <w:tcBorders>
              <w:left w:val="single" w:sz="4" w:space="0" w:color="auto"/>
              <w:bottom w:val="single" w:sz="4" w:space="0" w:color="auto"/>
              <w:right w:val="single" w:sz="4" w:space="0" w:color="auto"/>
            </w:tcBorders>
            <w:shd w:val="clear" w:color="auto" w:fill="auto"/>
            <w:vAlign w:val="center"/>
            <w:hideMark/>
          </w:tcPr>
          <w:p w14:paraId="7FCCC7BC" w14:textId="77777777" w:rsidR="00E37363" w:rsidRPr="008A69CE" w:rsidRDefault="00E37363" w:rsidP="00B45076">
            <w:pPr>
              <w:spacing w:after="0" w:line="240" w:lineRule="auto"/>
              <w:rPr>
                <w:rFonts w:ascii="Calibri" w:eastAsia="Times New Roman" w:hAnsi="Calibri" w:cs="Calibri"/>
                <w:b/>
                <w:bCs/>
                <w:color w:val="000000"/>
                <w:lang w:eastAsia="en-GB"/>
              </w:rPr>
            </w:pPr>
          </w:p>
        </w:tc>
        <w:tc>
          <w:tcPr>
            <w:tcW w:w="2268" w:type="dxa"/>
            <w:tcBorders>
              <w:top w:val="nil"/>
              <w:left w:val="nil"/>
              <w:bottom w:val="single" w:sz="4" w:space="0" w:color="auto"/>
              <w:right w:val="single" w:sz="4" w:space="0" w:color="auto"/>
            </w:tcBorders>
            <w:shd w:val="clear" w:color="auto" w:fill="auto"/>
            <w:vAlign w:val="bottom"/>
            <w:hideMark/>
          </w:tcPr>
          <w:p w14:paraId="6E1764FD"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Time</w:t>
            </w:r>
            <w:r>
              <w:rPr>
                <w:rFonts w:ascii="Calibri" w:eastAsia="Times New Roman" w:hAnsi="Calibri" w:cs="Calibri"/>
                <w:color w:val="000000"/>
                <w:lang w:eastAsia="en-GB"/>
              </w:rPr>
              <w:t>-</w:t>
            </w:r>
            <w:r w:rsidRPr="008A69CE">
              <w:rPr>
                <w:rFonts w:ascii="Calibri" w:eastAsia="Times New Roman" w:hAnsi="Calibri" w:cs="Calibri"/>
                <w:color w:val="000000"/>
                <w:lang w:eastAsia="en-GB"/>
              </w:rPr>
              <w:t>to</w:t>
            </w:r>
            <w:r>
              <w:rPr>
                <w:rFonts w:ascii="Calibri" w:eastAsia="Times New Roman" w:hAnsi="Calibri" w:cs="Calibri"/>
                <w:color w:val="000000"/>
                <w:lang w:eastAsia="en-GB"/>
              </w:rPr>
              <w:t>-</w:t>
            </w:r>
            <w:r w:rsidRPr="008A69CE">
              <w:rPr>
                <w:rFonts w:ascii="Calibri" w:eastAsia="Times New Roman" w:hAnsi="Calibri" w:cs="Calibri"/>
                <w:color w:val="000000"/>
                <w:lang w:eastAsia="en-GB"/>
              </w:rPr>
              <w:t xml:space="preserve">event </w:t>
            </w:r>
          </w:p>
        </w:tc>
        <w:tc>
          <w:tcPr>
            <w:tcW w:w="1701" w:type="dxa"/>
            <w:tcBorders>
              <w:top w:val="nil"/>
              <w:left w:val="nil"/>
              <w:bottom w:val="single" w:sz="4" w:space="0" w:color="auto"/>
              <w:right w:val="single" w:sz="4" w:space="0" w:color="auto"/>
            </w:tcBorders>
            <w:shd w:val="clear" w:color="auto" w:fill="auto"/>
            <w:vAlign w:val="bottom"/>
            <w:hideMark/>
          </w:tcPr>
          <w:p w14:paraId="128A3B1E"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Poisson</w:t>
            </w:r>
          </w:p>
        </w:tc>
        <w:tc>
          <w:tcPr>
            <w:tcW w:w="1985" w:type="dxa"/>
            <w:vMerge/>
            <w:tcBorders>
              <w:left w:val="nil"/>
              <w:bottom w:val="single" w:sz="4" w:space="0" w:color="auto"/>
              <w:right w:val="single" w:sz="4" w:space="0" w:color="auto"/>
            </w:tcBorders>
            <w:shd w:val="clear" w:color="auto" w:fill="auto"/>
            <w:noWrap/>
            <w:vAlign w:val="bottom"/>
            <w:hideMark/>
          </w:tcPr>
          <w:p w14:paraId="5C0AB574" w14:textId="77777777" w:rsidR="00E37363" w:rsidRPr="008A69CE" w:rsidRDefault="00E37363" w:rsidP="00B45076">
            <w:pPr>
              <w:spacing w:after="0" w:line="240" w:lineRule="auto"/>
              <w:rPr>
                <w:rFonts w:ascii="Calibri" w:eastAsia="Times New Roman" w:hAnsi="Calibri" w:cs="Calibri"/>
                <w:color w:val="000000"/>
                <w:lang w:eastAsia="en-GB"/>
              </w:rPr>
            </w:pPr>
          </w:p>
        </w:tc>
        <w:tc>
          <w:tcPr>
            <w:tcW w:w="2835" w:type="dxa"/>
            <w:tcBorders>
              <w:top w:val="nil"/>
              <w:left w:val="nil"/>
              <w:bottom w:val="single" w:sz="4" w:space="0" w:color="auto"/>
              <w:right w:val="single" w:sz="4" w:space="0" w:color="auto"/>
            </w:tcBorders>
            <w:shd w:val="clear" w:color="auto" w:fill="auto"/>
            <w:noWrap/>
            <w:vAlign w:val="bottom"/>
            <w:hideMark/>
          </w:tcPr>
          <w:p w14:paraId="21E00EE4"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Likelihood ratio test to compare relative risk allowing recurrent events</w:t>
            </w:r>
          </w:p>
        </w:tc>
      </w:tr>
      <w:tr w:rsidR="00E37363" w:rsidRPr="008A69CE" w14:paraId="0483D39F" w14:textId="77777777" w:rsidTr="00B45076">
        <w:trPr>
          <w:trHeight w:val="300"/>
        </w:trPr>
        <w:tc>
          <w:tcPr>
            <w:tcW w:w="1129" w:type="dxa"/>
            <w:tcBorders>
              <w:top w:val="nil"/>
              <w:left w:val="single" w:sz="4" w:space="0" w:color="auto"/>
              <w:bottom w:val="single" w:sz="4" w:space="0" w:color="auto"/>
              <w:right w:val="single" w:sz="4" w:space="0" w:color="auto"/>
            </w:tcBorders>
            <w:shd w:val="clear" w:color="auto" w:fill="BFBFBF" w:themeFill="background1" w:themeFillShade="BF"/>
            <w:vAlign w:val="bottom"/>
            <w:hideMark/>
          </w:tcPr>
          <w:p w14:paraId="667958D1"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 </w:t>
            </w:r>
          </w:p>
        </w:tc>
        <w:tc>
          <w:tcPr>
            <w:tcW w:w="2268" w:type="dxa"/>
            <w:tcBorders>
              <w:top w:val="nil"/>
              <w:left w:val="nil"/>
              <w:bottom w:val="single" w:sz="4" w:space="0" w:color="auto"/>
              <w:right w:val="single" w:sz="4" w:space="0" w:color="auto"/>
            </w:tcBorders>
            <w:shd w:val="clear" w:color="auto" w:fill="BFBFBF" w:themeFill="background1" w:themeFillShade="BF"/>
            <w:vAlign w:val="bottom"/>
            <w:hideMark/>
          </w:tcPr>
          <w:p w14:paraId="585124F6"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 </w:t>
            </w:r>
          </w:p>
        </w:tc>
        <w:tc>
          <w:tcPr>
            <w:tcW w:w="1701" w:type="dxa"/>
            <w:tcBorders>
              <w:top w:val="nil"/>
              <w:left w:val="nil"/>
              <w:bottom w:val="single" w:sz="4" w:space="0" w:color="auto"/>
              <w:right w:val="single" w:sz="4" w:space="0" w:color="auto"/>
            </w:tcBorders>
            <w:shd w:val="clear" w:color="auto" w:fill="BFBFBF" w:themeFill="background1" w:themeFillShade="BF"/>
            <w:vAlign w:val="bottom"/>
            <w:hideMark/>
          </w:tcPr>
          <w:p w14:paraId="3C03E5CE"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 </w:t>
            </w:r>
          </w:p>
        </w:tc>
        <w:tc>
          <w:tcPr>
            <w:tcW w:w="1985" w:type="dxa"/>
            <w:tcBorders>
              <w:top w:val="nil"/>
              <w:left w:val="nil"/>
              <w:bottom w:val="single" w:sz="4" w:space="0" w:color="auto"/>
              <w:right w:val="single" w:sz="4" w:space="0" w:color="auto"/>
            </w:tcBorders>
            <w:shd w:val="clear" w:color="auto" w:fill="BFBFBF" w:themeFill="background1" w:themeFillShade="BF"/>
            <w:noWrap/>
            <w:vAlign w:val="bottom"/>
            <w:hideMark/>
          </w:tcPr>
          <w:p w14:paraId="7C93F403"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 </w:t>
            </w:r>
          </w:p>
        </w:tc>
        <w:tc>
          <w:tcPr>
            <w:tcW w:w="2835" w:type="dxa"/>
            <w:tcBorders>
              <w:top w:val="nil"/>
              <w:left w:val="nil"/>
              <w:bottom w:val="single" w:sz="4" w:space="0" w:color="auto"/>
              <w:right w:val="single" w:sz="4" w:space="0" w:color="auto"/>
            </w:tcBorders>
            <w:shd w:val="clear" w:color="auto" w:fill="BFBFBF" w:themeFill="background1" w:themeFillShade="BF"/>
            <w:noWrap/>
            <w:vAlign w:val="bottom"/>
            <w:hideMark/>
          </w:tcPr>
          <w:p w14:paraId="530511AC"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 </w:t>
            </w:r>
          </w:p>
        </w:tc>
      </w:tr>
      <w:tr w:rsidR="00E37363" w:rsidRPr="008A69CE" w14:paraId="66739253" w14:textId="77777777" w:rsidTr="00B45076">
        <w:trPr>
          <w:trHeight w:val="600"/>
        </w:trPr>
        <w:tc>
          <w:tcPr>
            <w:tcW w:w="1129" w:type="dxa"/>
            <w:vMerge w:val="restart"/>
            <w:tcBorders>
              <w:top w:val="nil"/>
              <w:left w:val="single" w:sz="4" w:space="0" w:color="auto"/>
              <w:right w:val="single" w:sz="4" w:space="0" w:color="auto"/>
            </w:tcBorders>
            <w:shd w:val="clear" w:color="auto" w:fill="auto"/>
            <w:vAlign w:val="center"/>
            <w:hideMark/>
          </w:tcPr>
          <w:p w14:paraId="505A2FF6" w14:textId="77777777" w:rsidR="00E37363" w:rsidRPr="008A69CE" w:rsidRDefault="00E37363" w:rsidP="00B45076">
            <w:pPr>
              <w:spacing w:after="0" w:line="240" w:lineRule="auto"/>
              <w:jc w:val="center"/>
              <w:rPr>
                <w:rFonts w:ascii="Calibri" w:eastAsia="Times New Roman" w:hAnsi="Calibri" w:cs="Calibri"/>
                <w:b/>
                <w:bCs/>
                <w:color w:val="000000"/>
                <w:lang w:eastAsia="en-GB"/>
              </w:rPr>
            </w:pPr>
            <w:r w:rsidRPr="008A69CE">
              <w:rPr>
                <w:rFonts w:ascii="Calibri" w:eastAsia="Times New Roman" w:hAnsi="Calibri" w:cs="Calibri"/>
                <w:b/>
                <w:bCs/>
                <w:color w:val="000000"/>
                <w:lang w:eastAsia="en-GB"/>
              </w:rPr>
              <w:t>Overall adverse event profile</w:t>
            </w:r>
          </w:p>
        </w:tc>
        <w:tc>
          <w:tcPr>
            <w:tcW w:w="2268" w:type="dxa"/>
            <w:tcBorders>
              <w:top w:val="nil"/>
              <w:left w:val="nil"/>
              <w:bottom w:val="single" w:sz="4" w:space="0" w:color="auto"/>
              <w:right w:val="single" w:sz="4" w:space="0" w:color="auto"/>
            </w:tcBorders>
            <w:shd w:val="clear" w:color="auto" w:fill="auto"/>
            <w:vAlign w:val="bottom"/>
            <w:hideMark/>
          </w:tcPr>
          <w:p w14:paraId="2EEEC8DC"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 xml:space="preserve">Binary </w:t>
            </w:r>
          </w:p>
        </w:tc>
        <w:tc>
          <w:tcPr>
            <w:tcW w:w="1701" w:type="dxa"/>
            <w:tcBorders>
              <w:top w:val="nil"/>
              <w:left w:val="nil"/>
              <w:bottom w:val="single" w:sz="4" w:space="0" w:color="auto"/>
              <w:right w:val="single" w:sz="4" w:space="0" w:color="auto"/>
            </w:tcBorders>
            <w:shd w:val="clear" w:color="auto" w:fill="auto"/>
            <w:vAlign w:val="bottom"/>
            <w:hideMark/>
          </w:tcPr>
          <w:p w14:paraId="199C6742" w14:textId="77777777" w:rsidR="00E37363" w:rsidRPr="008A69CE"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Multivariate - M</w:t>
            </w:r>
            <w:r w:rsidRPr="008A69CE">
              <w:rPr>
                <w:rFonts w:ascii="Calibri" w:eastAsia="Times New Roman" w:hAnsi="Calibri" w:cs="Calibri"/>
                <w:color w:val="000000"/>
                <w:lang w:eastAsia="en-GB"/>
              </w:rPr>
              <w:t xml:space="preserve">arkov chain </w:t>
            </w:r>
          </w:p>
        </w:tc>
        <w:tc>
          <w:tcPr>
            <w:tcW w:w="1985" w:type="dxa"/>
            <w:tcBorders>
              <w:top w:val="nil"/>
              <w:left w:val="nil"/>
              <w:bottom w:val="single" w:sz="4" w:space="0" w:color="auto"/>
              <w:right w:val="single" w:sz="4" w:space="0" w:color="auto"/>
            </w:tcBorders>
            <w:shd w:val="clear" w:color="auto" w:fill="auto"/>
            <w:noWrap/>
            <w:vAlign w:val="bottom"/>
            <w:hideMark/>
          </w:tcPr>
          <w:p w14:paraId="2031FF75"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Bristol &amp; Patel</w:t>
            </w:r>
            <w:r>
              <w:rPr>
                <w:rFonts w:ascii="Calibri" w:eastAsia="Times New Roman" w:hAnsi="Calibri" w:cs="Calibri"/>
                <w:color w:val="000000"/>
                <w:lang w:eastAsia="en-GB"/>
              </w:rPr>
              <w:fldChar w:fldCharType="begin"/>
            </w:r>
            <w:r>
              <w:rPr>
                <w:rFonts w:ascii="Calibri" w:eastAsia="Times New Roman" w:hAnsi="Calibri" w:cs="Calibri"/>
                <w:color w:val="000000"/>
                <w:lang w:eastAsia="en-GB"/>
              </w:rPr>
              <w:instrText xml:space="preserve"> ADDIN EN.CITE &lt;EndNote&gt;&lt;Cite&gt;&lt;Author&gt;Bristol&lt;/Author&gt;&lt;Year&gt;1990&lt;/Year&gt;&lt;RecNum&gt;21411&lt;/RecNum&gt;&lt;DisplayText&gt;&lt;style face="superscript"&gt;19&lt;/style&gt;&lt;/DisplayText&gt;&lt;record&gt;&lt;rec-number&gt;21411&lt;/rec-number&gt;&lt;foreign-keys&gt;&lt;key app="EN" db-id="z2f5a5pt0222p8esesuv59tow0trtzfpdxaw" timestamp="1521050349"&gt;21411&lt;/key&gt;&lt;/foreign-keys&gt;&lt;ref-type name="Journal Article"&gt;17&lt;/ref-type&gt;&lt;contributors&gt;&lt;authors&gt;&lt;author&gt;Bristol, D. R.&lt;/author&gt;&lt;author&gt;Patel, H. I.&lt;/author&gt;&lt;/authors&gt;&lt;/contributors&gt;&lt;auth-address&gt;(Bristol, Patel) Berlex Laboratories Inc., Wayne, NJ 07470-7358 United States&lt;/auth-address&gt;&lt;titles&gt;&lt;title&gt;A Markovian model for comparing incidences of side effects&lt;/title&gt;&lt;secondary-title&gt;Statistics in Medicine&lt;/secondary-title&gt;&lt;/titles&gt;&lt;periodical&gt;&lt;full-title&gt;Statistics in Medicine&lt;/full-title&gt;&lt;/periodical&gt;&lt;pages&gt;803-809&lt;/pages&gt;&lt;volume&gt;9&lt;/volume&gt;&lt;number&gt;7&lt;/number&gt;&lt;dates&gt;&lt;year&gt;1990&lt;/year&gt;&lt;/dates&gt;&lt;accession-num&gt;20343988&lt;/accession-num&gt;&lt;urls&gt;&lt;related-urls&gt;&lt;url&gt;http://ovidsp.ovid.com/ovidweb.cgi?T=JS&amp;amp;CSC=Y&amp;amp;NEWS=N&amp;amp;PAGE=fulltext&amp;amp;D=emed5&amp;amp;AN=20343988&lt;/url&gt;&lt;/related-urls&gt;&lt;/urls&gt;&lt;remote-database-name&gt;Embase&lt;/remote-database-name&gt;&lt;remote-database-provider&gt;Ovid Technologies&lt;/remote-database-provider&gt;&lt;/record&gt;&lt;/Cite&gt;&lt;/EndNote&gt;</w:instrText>
            </w:r>
            <w:r>
              <w:rPr>
                <w:rFonts w:ascii="Calibri" w:eastAsia="Times New Roman" w:hAnsi="Calibri" w:cs="Calibri"/>
                <w:color w:val="000000"/>
                <w:lang w:eastAsia="en-GB"/>
              </w:rPr>
              <w:fldChar w:fldCharType="separate"/>
            </w:r>
            <w:r w:rsidRPr="009A6245">
              <w:rPr>
                <w:rFonts w:ascii="Calibri" w:eastAsia="Times New Roman" w:hAnsi="Calibri" w:cs="Calibri"/>
                <w:noProof/>
                <w:color w:val="000000"/>
                <w:vertAlign w:val="superscript"/>
                <w:lang w:eastAsia="en-GB"/>
              </w:rPr>
              <w:t>19</w:t>
            </w:r>
            <w:r>
              <w:rPr>
                <w:rFonts w:ascii="Calibri" w:eastAsia="Times New Roman" w:hAnsi="Calibri" w:cs="Calibri"/>
                <w:color w:val="000000"/>
                <w:lang w:eastAsia="en-GB"/>
              </w:rPr>
              <w:fldChar w:fldCharType="end"/>
            </w:r>
          </w:p>
        </w:tc>
        <w:tc>
          <w:tcPr>
            <w:tcW w:w="2835" w:type="dxa"/>
            <w:tcBorders>
              <w:top w:val="nil"/>
              <w:left w:val="nil"/>
              <w:bottom w:val="single" w:sz="4" w:space="0" w:color="auto"/>
              <w:right w:val="single" w:sz="4" w:space="0" w:color="auto"/>
            </w:tcBorders>
            <w:shd w:val="clear" w:color="auto" w:fill="auto"/>
            <w:vAlign w:val="bottom"/>
            <w:hideMark/>
          </w:tcPr>
          <w:p w14:paraId="3921F2FC"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Multivari</w:t>
            </w:r>
            <w:r>
              <w:rPr>
                <w:rFonts w:ascii="Calibri" w:eastAsia="Times New Roman" w:hAnsi="Calibri" w:cs="Calibri"/>
                <w:color w:val="000000"/>
                <w:lang w:eastAsia="en-GB"/>
              </w:rPr>
              <w:t>ate likelihood ratio test with Markov chain of order one</w:t>
            </w:r>
          </w:p>
        </w:tc>
      </w:tr>
      <w:tr w:rsidR="00E37363" w:rsidRPr="008A69CE" w14:paraId="7AAC97BD" w14:textId="77777777" w:rsidTr="00B45076">
        <w:trPr>
          <w:trHeight w:val="300"/>
        </w:trPr>
        <w:tc>
          <w:tcPr>
            <w:tcW w:w="1129" w:type="dxa"/>
            <w:vMerge/>
            <w:tcBorders>
              <w:left w:val="single" w:sz="4" w:space="0" w:color="auto"/>
              <w:right w:val="single" w:sz="4" w:space="0" w:color="auto"/>
            </w:tcBorders>
            <w:shd w:val="clear" w:color="auto" w:fill="auto"/>
            <w:vAlign w:val="center"/>
            <w:hideMark/>
          </w:tcPr>
          <w:p w14:paraId="7AC15FC0" w14:textId="77777777" w:rsidR="00E37363" w:rsidRPr="008A69CE" w:rsidRDefault="00E37363" w:rsidP="00B45076">
            <w:pPr>
              <w:spacing w:after="0" w:line="240" w:lineRule="auto"/>
              <w:rPr>
                <w:rFonts w:ascii="Calibri" w:eastAsia="Times New Roman" w:hAnsi="Calibri" w:cs="Calibri"/>
                <w:b/>
                <w:bCs/>
                <w:color w:val="000000"/>
                <w:lang w:eastAsia="en-GB"/>
              </w:rPr>
            </w:pPr>
          </w:p>
        </w:tc>
        <w:tc>
          <w:tcPr>
            <w:tcW w:w="2268" w:type="dxa"/>
            <w:tcBorders>
              <w:top w:val="nil"/>
              <w:left w:val="nil"/>
              <w:bottom w:val="single" w:sz="4" w:space="0" w:color="auto"/>
              <w:right w:val="single" w:sz="4" w:space="0" w:color="auto"/>
            </w:tcBorders>
            <w:shd w:val="clear" w:color="auto" w:fill="auto"/>
            <w:vAlign w:val="bottom"/>
            <w:hideMark/>
          </w:tcPr>
          <w:p w14:paraId="678354A4"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 xml:space="preserve">Binary </w:t>
            </w:r>
          </w:p>
        </w:tc>
        <w:tc>
          <w:tcPr>
            <w:tcW w:w="1701" w:type="dxa"/>
            <w:tcBorders>
              <w:top w:val="nil"/>
              <w:left w:val="nil"/>
              <w:bottom w:val="single" w:sz="4" w:space="0" w:color="auto"/>
              <w:right w:val="single" w:sz="4" w:space="0" w:color="auto"/>
            </w:tcBorders>
            <w:shd w:val="clear" w:color="auto" w:fill="auto"/>
            <w:vAlign w:val="bottom"/>
            <w:hideMark/>
          </w:tcPr>
          <w:p w14:paraId="3452F637"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Multivariate - chi-squared</w:t>
            </w:r>
          </w:p>
        </w:tc>
        <w:tc>
          <w:tcPr>
            <w:tcW w:w="1985" w:type="dxa"/>
            <w:tcBorders>
              <w:top w:val="nil"/>
              <w:left w:val="nil"/>
              <w:bottom w:val="single" w:sz="4" w:space="0" w:color="auto"/>
              <w:right w:val="single" w:sz="4" w:space="0" w:color="auto"/>
            </w:tcBorders>
            <w:shd w:val="clear" w:color="auto" w:fill="auto"/>
            <w:noWrap/>
            <w:vAlign w:val="bottom"/>
            <w:hideMark/>
          </w:tcPr>
          <w:p w14:paraId="6DBC5F43" w14:textId="77777777" w:rsidR="00E37363" w:rsidRPr="00027D47" w:rsidRDefault="00E37363" w:rsidP="00B45076">
            <w:pPr>
              <w:spacing w:after="0" w:line="240" w:lineRule="auto"/>
              <w:rPr>
                <w:rFonts w:ascii="Calibri" w:eastAsia="Times New Roman" w:hAnsi="Calibri" w:cs="Calibri"/>
                <w:color w:val="000000"/>
                <w:lang w:eastAsia="en-GB"/>
              </w:rPr>
            </w:pPr>
            <w:r w:rsidRPr="00027D47">
              <w:rPr>
                <w:rFonts w:ascii="Calibri" w:eastAsia="Times New Roman" w:hAnsi="Calibri" w:cs="Calibri"/>
                <w:color w:val="000000"/>
                <w:lang w:eastAsia="en-GB"/>
              </w:rPr>
              <w:t xml:space="preserve">Chuang-Stein </w:t>
            </w:r>
            <w:proofErr w:type="spellStart"/>
            <w:r w:rsidRPr="00027D47">
              <w:rPr>
                <w:rFonts w:cstheme="minorHAnsi"/>
              </w:rPr>
              <w:t>Mohberg</w:t>
            </w:r>
            <w:proofErr w:type="spellEnd"/>
            <w:r w:rsidRPr="00027D47">
              <w:rPr>
                <w:rFonts w:cstheme="minorHAnsi"/>
              </w:rPr>
              <w:t xml:space="preserve"> &amp; Musselman</w:t>
            </w:r>
            <w:r>
              <w:rPr>
                <w:rFonts w:cstheme="minorHAnsi"/>
              </w:rPr>
              <w:fldChar w:fldCharType="begin"/>
            </w:r>
            <w:r>
              <w:rPr>
                <w:rFonts w:cstheme="minorHAnsi"/>
              </w:rPr>
              <w:instrText xml:space="preserve"> ADDIN EN.CITE &lt;EndNote&gt;&lt;Cite&gt;&lt;Author&gt;Chuang-Stein&lt;/Author&gt;&lt;Year&gt;1992&lt;/Year&gt;&lt;RecNum&gt;24913&lt;/RecNum&gt;&lt;DisplayText&gt;&lt;style face="superscript"&gt;20&lt;/style&gt;&lt;/DisplayText&gt;&lt;record&gt;&lt;rec-number&gt;24913&lt;/rec-number&gt;&lt;foreign-keys&gt;&lt;key app="EN" db-id="z2f5a5pt0222p8esesuv59tow0trtzfpdxaw" timestamp="1535540279"&gt;24913&lt;/key&gt;&lt;/foreign-keys&gt;&lt;ref-type name="Journal Article"&gt;17&lt;/ref-type&gt;&lt;contributors&gt;&lt;authors&gt;&lt;author&gt;Chuang-Stein, Christy&lt;/author&gt;&lt;author&gt;Mohberg, Noel R.&lt;/author&gt;&lt;author&gt;Musselman, David M.&lt;/author&gt;&lt;/authors&gt;&lt;/contributors&gt;&lt;titles&gt;&lt;title&gt;Organization and analysis of safety data using a multivariate approach&lt;/title&gt;&lt;secondary-title&gt;Statistics in Medicine&lt;/secondary-title&gt;&lt;/titles&gt;&lt;periodical&gt;&lt;full-title&gt;Statistics in Medicine&lt;/full-title&gt;&lt;/periodical&gt;&lt;pages&gt;1075-1089&lt;/pages&gt;&lt;volume&gt;11&lt;/volume&gt;&lt;number&gt;8&lt;/number&gt;&lt;dates&gt;&lt;year&gt;1992&lt;/year&gt;&lt;/dates&gt;&lt;urls&gt;&lt;related-urls&gt;&lt;url&gt;https://onlinelibrary.wiley.com/doi/abs/10.1002/sim.4780110809&lt;/url&gt;&lt;/related-urls&gt;&lt;/urls&gt;&lt;electronic-resource-num&gt;doi:10.1002/sim.4780110809&lt;/electronic-resource-num&gt;&lt;/record&gt;&lt;/Cite&gt;&lt;/EndNote&gt;</w:instrText>
            </w:r>
            <w:r>
              <w:rPr>
                <w:rFonts w:cstheme="minorHAnsi"/>
              </w:rPr>
              <w:fldChar w:fldCharType="separate"/>
            </w:r>
            <w:r w:rsidRPr="009A6245">
              <w:rPr>
                <w:rFonts w:cstheme="minorHAnsi"/>
                <w:noProof/>
                <w:vertAlign w:val="superscript"/>
              </w:rPr>
              <w:t>20</w:t>
            </w:r>
            <w:r>
              <w:rPr>
                <w:rFonts w:cstheme="minorHAnsi"/>
              </w:rPr>
              <w:fldChar w:fldCharType="end"/>
            </w:r>
          </w:p>
        </w:tc>
        <w:tc>
          <w:tcPr>
            <w:tcW w:w="2835" w:type="dxa"/>
            <w:tcBorders>
              <w:top w:val="nil"/>
              <w:left w:val="nil"/>
              <w:bottom w:val="single" w:sz="4" w:space="0" w:color="auto"/>
              <w:right w:val="single" w:sz="4" w:space="0" w:color="auto"/>
            </w:tcBorders>
            <w:shd w:val="clear" w:color="auto" w:fill="auto"/>
            <w:noWrap/>
            <w:vAlign w:val="bottom"/>
            <w:hideMark/>
          </w:tcPr>
          <w:p w14:paraId="6E9F91E3"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Multivariate test with chi-squared distribution</w:t>
            </w:r>
          </w:p>
        </w:tc>
      </w:tr>
      <w:tr w:rsidR="00E37363" w:rsidRPr="008A69CE" w14:paraId="7F96F2E3" w14:textId="77777777" w:rsidTr="00B45076">
        <w:trPr>
          <w:trHeight w:val="600"/>
        </w:trPr>
        <w:tc>
          <w:tcPr>
            <w:tcW w:w="1129" w:type="dxa"/>
            <w:vMerge/>
            <w:tcBorders>
              <w:left w:val="single" w:sz="4" w:space="0" w:color="auto"/>
              <w:right w:val="single" w:sz="4" w:space="0" w:color="auto"/>
            </w:tcBorders>
            <w:shd w:val="clear" w:color="auto" w:fill="auto"/>
            <w:vAlign w:val="center"/>
            <w:hideMark/>
          </w:tcPr>
          <w:p w14:paraId="4A462B9D" w14:textId="77777777" w:rsidR="00E37363" w:rsidRPr="008A69CE" w:rsidRDefault="00E37363" w:rsidP="00B45076">
            <w:pPr>
              <w:spacing w:after="0" w:line="240" w:lineRule="auto"/>
              <w:rPr>
                <w:rFonts w:ascii="Calibri" w:eastAsia="Times New Roman" w:hAnsi="Calibri" w:cs="Calibri"/>
                <w:b/>
                <w:bCs/>
                <w:color w:val="000000"/>
                <w:lang w:eastAsia="en-GB"/>
              </w:rPr>
            </w:pPr>
          </w:p>
        </w:tc>
        <w:tc>
          <w:tcPr>
            <w:tcW w:w="2268" w:type="dxa"/>
            <w:tcBorders>
              <w:top w:val="nil"/>
              <w:left w:val="nil"/>
              <w:bottom w:val="single" w:sz="4" w:space="0" w:color="auto"/>
              <w:right w:val="single" w:sz="4" w:space="0" w:color="auto"/>
            </w:tcBorders>
            <w:shd w:val="clear" w:color="auto" w:fill="auto"/>
            <w:vAlign w:val="bottom"/>
          </w:tcPr>
          <w:p w14:paraId="01040CEA"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 xml:space="preserve">Binary  </w:t>
            </w:r>
          </w:p>
        </w:tc>
        <w:tc>
          <w:tcPr>
            <w:tcW w:w="1701" w:type="dxa"/>
            <w:tcBorders>
              <w:top w:val="nil"/>
              <w:left w:val="nil"/>
              <w:bottom w:val="single" w:sz="4" w:space="0" w:color="auto"/>
              <w:right w:val="single" w:sz="4" w:space="0" w:color="auto"/>
            </w:tcBorders>
            <w:shd w:val="clear" w:color="auto" w:fill="auto"/>
            <w:vAlign w:val="bottom"/>
          </w:tcPr>
          <w:p w14:paraId="13702F8C"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Multinomial - logit</w:t>
            </w:r>
          </w:p>
        </w:tc>
        <w:tc>
          <w:tcPr>
            <w:tcW w:w="1985" w:type="dxa"/>
            <w:vMerge w:val="restart"/>
            <w:tcBorders>
              <w:top w:val="nil"/>
              <w:left w:val="nil"/>
              <w:right w:val="single" w:sz="4" w:space="0" w:color="auto"/>
            </w:tcBorders>
            <w:shd w:val="clear" w:color="auto" w:fill="auto"/>
            <w:noWrap/>
            <w:vAlign w:val="center"/>
          </w:tcPr>
          <w:p w14:paraId="51DCCCBA" w14:textId="77777777" w:rsidR="00E37363" w:rsidRPr="008A69CE" w:rsidRDefault="00E37363" w:rsidP="00B45076">
            <w:pPr>
              <w:spacing w:after="0" w:line="240" w:lineRule="auto"/>
              <w:rPr>
                <w:rFonts w:ascii="Calibri" w:eastAsia="Times New Roman" w:hAnsi="Calibri" w:cs="Calibri"/>
                <w:color w:val="000000"/>
                <w:lang w:eastAsia="en-GB"/>
              </w:rPr>
            </w:pPr>
            <w:proofErr w:type="spellStart"/>
            <w:r w:rsidRPr="008A69CE">
              <w:rPr>
                <w:rFonts w:ascii="Calibri" w:eastAsia="Times New Roman" w:hAnsi="Calibri" w:cs="Calibri"/>
                <w:color w:val="000000"/>
                <w:lang w:eastAsia="en-GB"/>
              </w:rPr>
              <w:t>Agresti</w:t>
            </w:r>
            <w:proofErr w:type="spellEnd"/>
            <w:r w:rsidRPr="008A69CE">
              <w:rPr>
                <w:rFonts w:ascii="Calibri" w:eastAsia="Times New Roman" w:hAnsi="Calibri" w:cs="Calibri"/>
                <w:color w:val="000000"/>
                <w:lang w:eastAsia="en-GB"/>
              </w:rPr>
              <w:t xml:space="preserve"> </w:t>
            </w:r>
            <w:r>
              <w:rPr>
                <w:rFonts w:ascii="Calibri" w:eastAsia="Times New Roman" w:hAnsi="Calibri" w:cs="Calibri"/>
                <w:color w:val="000000"/>
                <w:lang w:eastAsia="en-GB"/>
              </w:rPr>
              <w:t>&amp;</w:t>
            </w:r>
            <w:r w:rsidRPr="008A69CE">
              <w:rPr>
                <w:rFonts w:ascii="Calibri" w:eastAsia="Times New Roman" w:hAnsi="Calibri" w:cs="Calibri"/>
                <w:color w:val="000000"/>
                <w:lang w:eastAsia="en-GB"/>
              </w:rPr>
              <w:t xml:space="preserve"> Klingenberg</w:t>
            </w:r>
            <w:r>
              <w:rPr>
                <w:rFonts w:ascii="Calibri" w:eastAsia="Times New Roman" w:hAnsi="Calibri" w:cs="Calibri"/>
                <w:color w:val="000000"/>
                <w:lang w:eastAsia="en-GB"/>
              </w:rPr>
              <w:fldChar w:fldCharType="begin"/>
            </w:r>
            <w:r>
              <w:rPr>
                <w:rFonts w:ascii="Calibri" w:eastAsia="Times New Roman" w:hAnsi="Calibri" w:cs="Calibri"/>
                <w:color w:val="000000"/>
                <w:lang w:eastAsia="en-GB"/>
              </w:rPr>
              <w:instrText xml:space="preserve"> ADDIN EN.CITE &lt;EndNote&gt;&lt;Cite&gt;&lt;Author&gt;Agresti&lt;/Author&gt;&lt;Year&gt;2005&lt;/Year&gt;&lt;RecNum&gt;24916&lt;/RecNum&gt;&lt;DisplayText&gt;&lt;style face="superscript"&gt;21&lt;/style&gt;&lt;/DisplayText&gt;&lt;record&gt;&lt;rec-number&gt;24916&lt;/rec-number&gt;&lt;foreign-keys&gt;&lt;key app="EN" db-id="z2f5a5pt0222p8esesuv59tow0trtzfpdxaw" timestamp="1535720781"&gt;24916&lt;/key&gt;&lt;/foreign-keys&gt;&lt;ref-type name="Journal Article"&gt;17&lt;/ref-type&gt;&lt;contributors&gt;&lt;authors&gt;&lt;author&gt; Agresti, A. and Klingenberg, B.&lt;/author&gt;&lt;/authors&gt;&lt;/contributors&gt;&lt;titles&gt;&lt;title&gt;Multivariate tests comparing binomial probabilities, with application to safety studies for drugs&lt;/title&gt;&lt;secondary-title&gt;Appl. Statist.&lt;/secondary-title&gt;&lt;/titles&gt;&lt;periodical&gt;&lt;full-title&gt;Appl. Statist.&lt;/full-title&gt;&lt;/periodical&gt;&lt;pages&gt;691-706&lt;/pages&gt;&lt;volume&gt;54&lt;/volume&gt;&lt;number&gt;4&lt;/number&gt;&lt;dates&gt;&lt;year&gt;2005&lt;/year&gt;&lt;/dates&gt;&lt;urls&gt;&lt;/urls&gt;&lt;/record&gt;&lt;/Cite&gt;&lt;/EndNote&gt;</w:instrText>
            </w:r>
            <w:r>
              <w:rPr>
                <w:rFonts w:ascii="Calibri" w:eastAsia="Times New Roman" w:hAnsi="Calibri" w:cs="Calibri"/>
                <w:color w:val="000000"/>
                <w:lang w:eastAsia="en-GB"/>
              </w:rPr>
              <w:fldChar w:fldCharType="separate"/>
            </w:r>
            <w:r w:rsidRPr="009A6245">
              <w:rPr>
                <w:rFonts w:ascii="Calibri" w:eastAsia="Times New Roman" w:hAnsi="Calibri" w:cs="Calibri"/>
                <w:noProof/>
                <w:color w:val="000000"/>
                <w:vertAlign w:val="superscript"/>
                <w:lang w:eastAsia="en-GB"/>
              </w:rPr>
              <w:t>21</w:t>
            </w:r>
            <w:r>
              <w:rPr>
                <w:rFonts w:ascii="Calibri" w:eastAsia="Times New Roman" w:hAnsi="Calibri" w:cs="Calibri"/>
                <w:color w:val="000000"/>
                <w:lang w:eastAsia="en-GB"/>
              </w:rPr>
              <w:fldChar w:fldCharType="end"/>
            </w:r>
          </w:p>
        </w:tc>
        <w:tc>
          <w:tcPr>
            <w:tcW w:w="2835" w:type="dxa"/>
            <w:tcBorders>
              <w:top w:val="nil"/>
              <w:left w:val="nil"/>
              <w:bottom w:val="single" w:sz="4" w:space="0" w:color="auto"/>
              <w:right w:val="single" w:sz="4" w:space="0" w:color="auto"/>
            </w:tcBorders>
            <w:shd w:val="clear" w:color="auto" w:fill="auto"/>
            <w:vAlign w:val="bottom"/>
          </w:tcPr>
          <w:p w14:paraId="1EA6C9C3"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Likelihood ratio test using a logit models to test for equality of two vectors for the marginal distributions</w:t>
            </w:r>
          </w:p>
        </w:tc>
      </w:tr>
      <w:tr w:rsidR="00E37363" w:rsidRPr="008A69CE" w14:paraId="500C03C5" w14:textId="77777777" w:rsidTr="00B45076">
        <w:trPr>
          <w:trHeight w:val="300"/>
        </w:trPr>
        <w:tc>
          <w:tcPr>
            <w:tcW w:w="1129" w:type="dxa"/>
            <w:vMerge/>
            <w:tcBorders>
              <w:left w:val="single" w:sz="4" w:space="0" w:color="auto"/>
              <w:right w:val="single" w:sz="4" w:space="0" w:color="auto"/>
            </w:tcBorders>
            <w:shd w:val="clear" w:color="auto" w:fill="auto"/>
            <w:vAlign w:val="center"/>
            <w:hideMark/>
          </w:tcPr>
          <w:p w14:paraId="5CF0DF61" w14:textId="77777777" w:rsidR="00E37363" w:rsidRPr="008A69CE" w:rsidRDefault="00E37363" w:rsidP="00B45076">
            <w:pPr>
              <w:spacing w:after="0" w:line="240" w:lineRule="auto"/>
              <w:rPr>
                <w:rFonts w:ascii="Calibri" w:eastAsia="Times New Roman" w:hAnsi="Calibri" w:cs="Calibri"/>
                <w:b/>
                <w:bCs/>
                <w:color w:val="000000"/>
                <w:lang w:eastAsia="en-GB"/>
              </w:rPr>
            </w:pPr>
          </w:p>
        </w:tc>
        <w:tc>
          <w:tcPr>
            <w:tcW w:w="2268" w:type="dxa"/>
            <w:tcBorders>
              <w:top w:val="nil"/>
              <w:left w:val="nil"/>
              <w:bottom w:val="single" w:sz="4" w:space="0" w:color="auto"/>
              <w:right w:val="single" w:sz="4" w:space="0" w:color="auto"/>
            </w:tcBorders>
            <w:shd w:val="clear" w:color="auto" w:fill="auto"/>
            <w:vAlign w:val="bottom"/>
            <w:hideMark/>
          </w:tcPr>
          <w:p w14:paraId="1FB68241"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Binary</w:t>
            </w:r>
          </w:p>
        </w:tc>
        <w:tc>
          <w:tcPr>
            <w:tcW w:w="1701" w:type="dxa"/>
            <w:tcBorders>
              <w:top w:val="nil"/>
              <w:left w:val="nil"/>
              <w:bottom w:val="single" w:sz="4" w:space="0" w:color="auto"/>
              <w:right w:val="single" w:sz="4" w:space="0" w:color="auto"/>
            </w:tcBorders>
            <w:shd w:val="clear" w:color="auto" w:fill="auto"/>
            <w:vAlign w:val="bottom"/>
            <w:hideMark/>
          </w:tcPr>
          <w:p w14:paraId="37AFAE50"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Exact permutation distribution</w:t>
            </w:r>
          </w:p>
        </w:tc>
        <w:tc>
          <w:tcPr>
            <w:tcW w:w="1985" w:type="dxa"/>
            <w:vMerge/>
            <w:tcBorders>
              <w:left w:val="nil"/>
              <w:right w:val="single" w:sz="4" w:space="0" w:color="auto"/>
            </w:tcBorders>
            <w:shd w:val="clear" w:color="auto" w:fill="auto"/>
            <w:noWrap/>
            <w:vAlign w:val="bottom"/>
            <w:hideMark/>
          </w:tcPr>
          <w:p w14:paraId="69BEFD77" w14:textId="77777777" w:rsidR="00E37363" w:rsidRPr="008A69CE" w:rsidRDefault="00E37363" w:rsidP="00B45076">
            <w:pPr>
              <w:spacing w:after="0" w:line="240" w:lineRule="auto"/>
              <w:rPr>
                <w:rFonts w:ascii="Calibri" w:eastAsia="Times New Roman" w:hAnsi="Calibri" w:cs="Calibri"/>
                <w:color w:val="000000"/>
                <w:lang w:eastAsia="en-GB"/>
              </w:rPr>
            </w:pPr>
          </w:p>
        </w:tc>
        <w:tc>
          <w:tcPr>
            <w:tcW w:w="2835" w:type="dxa"/>
            <w:tcBorders>
              <w:top w:val="nil"/>
              <w:left w:val="nil"/>
              <w:bottom w:val="single" w:sz="4" w:space="0" w:color="auto"/>
              <w:right w:val="single" w:sz="4" w:space="0" w:color="auto"/>
            </w:tcBorders>
            <w:shd w:val="clear" w:color="auto" w:fill="auto"/>
            <w:noWrap/>
            <w:vAlign w:val="bottom"/>
            <w:hideMark/>
          </w:tcPr>
          <w:p w14:paraId="5F0EA63B"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Likelihood ratio test using the exact permutation distribution to test joint distributions</w:t>
            </w:r>
          </w:p>
        </w:tc>
      </w:tr>
      <w:tr w:rsidR="00E37363" w:rsidRPr="008A69CE" w14:paraId="7FEF2FA0" w14:textId="77777777" w:rsidTr="00B45076">
        <w:trPr>
          <w:trHeight w:val="900"/>
        </w:trPr>
        <w:tc>
          <w:tcPr>
            <w:tcW w:w="1129" w:type="dxa"/>
            <w:vMerge/>
            <w:tcBorders>
              <w:left w:val="single" w:sz="4" w:space="0" w:color="auto"/>
              <w:bottom w:val="single" w:sz="4" w:space="0" w:color="auto"/>
              <w:right w:val="single" w:sz="4" w:space="0" w:color="auto"/>
            </w:tcBorders>
            <w:shd w:val="clear" w:color="auto" w:fill="auto"/>
            <w:vAlign w:val="center"/>
            <w:hideMark/>
          </w:tcPr>
          <w:p w14:paraId="77F96A57" w14:textId="77777777" w:rsidR="00E37363" w:rsidRPr="008A69CE" w:rsidRDefault="00E37363" w:rsidP="00B45076">
            <w:pPr>
              <w:spacing w:after="0" w:line="240" w:lineRule="auto"/>
              <w:rPr>
                <w:rFonts w:ascii="Calibri" w:eastAsia="Times New Roman" w:hAnsi="Calibri" w:cs="Calibri"/>
                <w:b/>
                <w:bCs/>
                <w:color w:val="000000"/>
                <w:lang w:eastAsia="en-GB"/>
              </w:rPr>
            </w:pPr>
          </w:p>
        </w:tc>
        <w:tc>
          <w:tcPr>
            <w:tcW w:w="2268" w:type="dxa"/>
            <w:tcBorders>
              <w:top w:val="nil"/>
              <w:left w:val="nil"/>
              <w:bottom w:val="single" w:sz="4" w:space="0" w:color="auto"/>
              <w:right w:val="single" w:sz="4" w:space="0" w:color="auto"/>
            </w:tcBorders>
            <w:shd w:val="clear" w:color="auto" w:fill="auto"/>
            <w:vAlign w:val="bottom"/>
          </w:tcPr>
          <w:p w14:paraId="36717A47"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Binary</w:t>
            </w:r>
          </w:p>
        </w:tc>
        <w:tc>
          <w:tcPr>
            <w:tcW w:w="1701" w:type="dxa"/>
            <w:tcBorders>
              <w:top w:val="nil"/>
              <w:left w:val="nil"/>
              <w:bottom w:val="single" w:sz="4" w:space="0" w:color="auto"/>
              <w:right w:val="single" w:sz="4" w:space="0" w:color="auto"/>
            </w:tcBorders>
            <w:shd w:val="clear" w:color="auto" w:fill="auto"/>
            <w:vAlign w:val="bottom"/>
          </w:tcPr>
          <w:p w14:paraId="3A6CB435"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 xml:space="preserve">Multinomial - logistic normal random intercept model </w:t>
            </w:r>
          </w:p>
        </w:tc>
        <w:tc>
          <w:tcPr>
            <w:tcW w:w="1985" w:type="dxa"/>
            <w:vMerge/>
            <w:tcBorders>
              <w:left w:val="nil"/>
              <w:bottom w:val="single" w:sz="4" w:space="0" w:color="auto"/>
              <w:right w:val="single" w:sz="4" w:space="0" w:color="auto"/>
            </w:tcBorders>
            <w:shd w:val="clear" w:color="auto" w:fill="auto"/>
            <w:noWrap/>
            <w:vAlign w:val="bottom"/>
          </w:tcPr>
          <w:p w14:paraId="774A3ADB" w14:textId="77777777" w:rsidR="00E37363" w:rsidRPr="008A69CE" w:rsidRDefault="00E37363" w:rsidP="00B45076">
            <w:pPr>
              <w:spacing w:after="0" w:line="240" w:lineRule="auto"/>
              <w:rPr>
                <w:rFonts w:ascii="Calibri" w:eastAsia="Times New Roman" w:hAnsi="Calibri" w:cs="Calibri"/>
                <w:color w:val="000000"/>
                <w:lang w:eastAsia="en-GB"/>
              </w:rPr>
            </w:pPr>
          </w:p>
        </w:tc>
        <w:tc>
          <w:tcPr>
            <w:tcW w:w="2835" w:type="dxa"/>
            <w:tcBorders>
              <w:top w:val="nil"/>
              <w:left w:val="nil"/>
              <w:bottom w:val="single" w:sz="4" w:space="0" w:color="auto"/>
              <w:right w:val="single" w:sz="4" w:space="0" w:color="auto"/>
            </w:tcBorders>
            <w:shd w:val="clear" w:color="auto" w:fill="auto"/>
            <w:vAlign w:val="bottom"/>
          </w:tcPr>
          <w:p w14:paraId="75C0C915" w14:textId="77777777" w:rsidR="00E37363" w:rsidRPr="008A69CE" w:rsidRDefault="00E37363" w:rsidP="00B45076">
            <w:pPr>
              <w:spacing w:after="0" w:line="240" w:lineRule="auto"/>
              <w:rPr>
                <w:rFonts w:ascii="Calibri" w:eastAsia="Times New Roman" w:hAnsi="Calibri" w:cs="Calibri"/>
                <w:color w:val="000000"/>
                <w:lang w:eastAsia="en-GB"/>
              </w:rPr>
            </w:pPr>
            <w:r w:rsidRPr="008A69CE">
              <w:rPr>
                <w:rFonts w:ascii="Calibri" w:eastAsia="Times New Roman" w:hAnsi="Calibri" w:cs="Calibri"/>
                <w:color w:val="000000"/>
                <w:lang w:eastAsia="en-GB"/>
              </w:rPr>
              <w:t xml:space="preserve">Likelihood ratio test using a logistic normal random intercept model to compare marginal distributions whilst modelling the joint distributions </w:t>
            </w:r>
          </w:p>
        </w:tc>
      </w:tr>
    </w:tbl>
    <w:p w14:paraId="1602F6DA" w14:textId="77777777" w:rsidR="00E37363" w:rsidRDefault="00E37363" w:rsidP="00E37363">
      <w:pPr>
        <w:sectPr w:rsidR="00E37363" w:rsidSect="00E37363">
          <w:pgSz w:w="11906" w:h="16838" w:code="9"/>
          <w:pgMar w:top="1440" w:right="1440" w:bottom="1440" w:left="1440" w:header="709" w:footer="709" w:gutter="0"/>
          <w:cols w:space="708"/>
          <w:docGrid w:linePitch="360"/>
        </w:sectPr>
      </w:pPr>
    </w:p>
    <w:tbl>
      <w:tblPr>
        <w:tblW w:w="14596" w:type="dxa"/>
        <w:tblLook w:val="04A0" w:firstRow="1" w:lastRow="0" w:firstColumn="1" w:lastColumn="0" w:noHBand="0" w:noVBand="1"/>
      </w:tblPr>
      <w:tblGrid>
        <w:gridCol w:w="1218"/>
        <w:gridCol w:w="1612"/>
        <w:gridCol w:w="2977"/>
        <w:gridCol w:w="2410"/>
        <w:gridCol w:w="6379"/>
      </w:tblGrid>
      <w:tr w:rsidR="00E37363" w:rsidRPr="00A512E7" w14:paraId="3A3BD080" w14:textId="77777777" w:rsidTr="00B45076">
        <w:trPr>
          <w:trHeight w:val="298"/>
        </w:trPr>
        <w:tc>
          <w:tcPr>
            <w:tcW w:w="14596" w:type="dxa"/>
            <w:gridSpan w:val="5"/>
            <w:tcBorders>
              <w:bottom w:val="single" w:sz="4" w:space="0" w:color="auto"/>
            </w:tcBorders>
            <w:shd w:val="clear" w:color="auto" w:fill="auto"/>
            <w:noWrap/>
            <w:vAlign w:val="center"/>
          </w:tcPr>
          <w:p w14:paraId="0AC4C810" w14:textId="77777777" w:rsidR="00E37363" w:rsidRPr="00C15C68" w:rsidRDefault="00E37363" w:rsidP="00B45076">
            <w:pPr>
              <w:spacing w:after="0" w:line="240" w:lineRule="auto"/>
              <w:rPr>
                <w:rFonts w:ascii="Calibri" w:eastAsia="Times New Roman" w:hAnsi="Calibri" w:cs="Calibri"/>
                <w:b/>
                <w:bCs/>
                <w:color w:val="000000"/>
                <w:lang w:eastAsia="en-GB"/>
              </w:rPr>
            </w:pPr>
            <w:r w:rsidRPr="00C15C68">
              <w:rPr>
                <w:rFonts w:ascii="Calibri" w:eastAsia="Times New Roman" w:hAnsi="Calibri" w:cs="Calibri"/>
                <w:b/>
                <w:bCs/>
                <w:color w:val="000000"/>
                <w:lang w:eastAsia="en-GB"/>
              </w:rPr>
              <w:lastRenderedPageBreak/>
              <w:t xml:space="preserve">Table 6: Summary of estimation approaches to analyse emerging AE data </w:t>
            </w:r>
            <w:r w:rsidRPr="00C15C68">
              <w:rPr>
                <w:rFonts w:cstheme="minorHAnsi"/>
                <w:b/>
              </w:rPr>
              <w:t>in phase II/III RCTs</w:t>
            </w:r>
          </w:p>
        </w:tc>
      </w:tr>
      <w:tr w:rsidR="00E37363" w:rsidRPr="00A512E7" w14:paraId="659B67D3" w14:textId="77777777" w:rsidTr="00B45076">
        <w:trPr>
          <w:trHeight w:val="298"/>
        </w:trPr>
        <w:tc>
          <w:tcPr>
            <w:tcW w:w="12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BA8B4E"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r w:rsidRPr="00A512E7">
              <w:rPr>
                <w:rFonts w:ascii="Calibri" w:eastAsia="Times New Roman" w:hAnsi="Calibri" w:cs="Calibri"/>
                <w:b/>
                <w:bCs/>
                <w:color w:val="000000"/>
                <w:lang w:eastAsia="en-GB"/>
              </w:rPr>
              <w:t>Outcome</w:t>
            </w:r>
          </w:p>
        </w:tc>
        <w:tc>
          <w:tcPr>
            <w:tcW w:w="1612" w:type="dxa"/>
            <w:tcBorders>
              <w:top w:val="single" w:sz="4" w:space="0" w:color="auto"/>
              <w:left w:val="nil"/>
              <w:bottom w:val="single" w:sz="4" w:space="0" w:color="auto"/>
              <w:right w:val="single" w:sz="4" w:space="0" w:color="auto"/>
            </w:tcBorders>
            <w:shd w:val="clear" w:color="auto" w:fill="auto"/>
            <w:noWrap/>
            <w:vAlign w:val="bottom"/>
            <w:hideMark/>
          </w:tcPr>
          <w:p w14:paraId="467EE9C8"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r w:rsidRPr="00A512E7">
              <w:rPr>
                <w:rFonts w:ascii="Calibri" w:eastAsia="Times New Roman" w:hAnsi="Calibri" w:cs="Calibri"/>
                <w:b/>
                <w:bCs/>
                <w:color w:val="000000"/>
                <w:lang w:eastAsia="en-GB"/>
              </w:rPr>
              <w:t>Data type</w:t>
            </w:r>
          </w:p>
        </w:tc>
        <w:tc>
          <w:tcPr>
            <w:tcW w:w="2977" w:type="dxa"/>
            <w:tcBorders>
              <w:top w:val="single" w:sz="4" w:space="0" w:color="auto"/>
              <w:left w:val="nil"/>
              <w:bottom w:val="single" w:sz="4" w:space="0" w:color="auto"/>
              <w:right w:val="single" w:sz="4" w:space="0" w:color="auto"/>
            </w:tcBorders>
            <w:shd w:val="clear" w:color="auto" w:fill="auto"/>
            <w:noWrap/>
            <w:vAlign w:val="bottom"/>
            <w:hideMark/>
          </w:tcPr>
          <w:p w14:paraId="0DDB6B36" w14:textId="77777777" w:rsidR="00E37363" w:rsidRPr="00A512E7" w:rsidRDefault="00E37363" w:rsidP="00B45076">
            <w:pPr>
              <w:spacing w:after="0" w:line="240" w:lineRule="auto"/>
              <w:rPr>
                <w:rFonts w:ascii="Calibri" w:eastAsia="Times New Roman" w:hAnsi="Calibri" w:cs="Calibri"/>
                <w:b/>
                <w:bCs/>
                <w:color w:val="000000"/>
                <w:lang w:eastAsia="en-GB"/>
              </w:rPr>
            </w:pPr>
            <w:r w:rsidRPr="00A512E7">
              <w:rPr>
                <w:rFonts w:ascii="Calibri" w:eastAsia="Times New Roman" w:hAnsi="Calibri" w:cs="Calibri"/>
                <w:b/>
                <w:bCs/>
                <w:color w:val="000000"/>
                <w:lang w:eastAsia="en-GB"/>
              </w:rPr>
              <w:t xml:space="preserve">Estimate </w:t>
            </w:r>
          </w:p>
        </w:tc>
        <w:tc>
          <w:tcPr>
            <w:tcW w:w="2410" w:type="dxa"/>
            <w:tcBorders>
              <w:top w:val="single" w:sz="4" w:space="0" w:color="auto"/>
              <w:left w:val="nil"/>
              <w:bottom w:val="single" w:sz="4" w:space="0" w:color="auto"/>
              <w:right w:val="single" w:sz="4" w:space="0" w:color="auto"/>
            </w:tcBorders>
            <w:shd w:val="clear" w:color="auto" w:fill="auto"/>
            <w:noWrap/>
            <w:vAlign w:val="bottom"/>
            <w:hideMark/>
          </w:tcPr>
          <w:p w14:paraId="35ACAA05" w14:textId="77777777" w:rsidR="00E37363" w:rsidRPr="00A512E7" w:rsidRDefault="00E37363" w:rsidP="00B45076">
            <w:pPr>
              <w:spacing w:after="0" w:line="240" w:lineRule="auto"/>
              <w:rPr>
                <w:rFonts w:ascii="Calibri" w:eastAsia="Times New Roman" w:hAnsi="Calibri" w:cs="Calibri"/>
                <w:b/>
                <w:bCs/>
                <w:color w:val="000000"/>
                <w:lang w:eastAsia="en-GB"/>
              </w:rPr>
            </w:pPr>
            <w:r w:rsidRPr="00A512E7">
              <w:rPr>
                <w:rFonts w:ascii="Calibri" w:eastAsia="Times New Roman" w:hAnsi="Calibri" w:cs="Calibri"/>
                <w:b/>
                <w:bCs/>
                <w:color w:val="000000"/>
                <w:lang w:eastAsia="en-GB"/>
              </w:rPr>
              <w:t>Reference</w:t>
            </w:r>
          </w:p>
        </w:tc>
        <w:tc>
          <w:tcPr>
            <w:tcW w:w="6379" w:type="dxa"/>
            <w:tcBorders>
              <w:top w:val="single" w:sz="4" w:space="0" w:color="auto"/>
              <w:left w:val="nil"/>
              <w:bottom w:val="single" w:sz="4" w:space="0" w:color="auto"/>
              <w:right w:val="single" w:sz="4" w:space="0" w:color="auto"/>
            </w:tcBorders>
            <w:shd w:val="clear" w:color="auto" w:fill="auto"/>
            <w:vAlign w:val="bottom"/>
            <w:hideMark/>
          </w:tcPr>
          <w:p w14:paraId="3C034C85" w14:textId="77777777" w:rsidR="00E37363" w:rsidRPr="00A512E7" w:rsidRDefault="00E37363" w:rsidP="00B45076">
            <w:pPr>
              <w:spacing w:after="0" w:line="240" w:lineRule="auto"/>
              <w:rPr>
                <w:rFonts w:ascii="Calibri" w:eastAsia="Times New Roman" w:hAnsi="Calibri" w:cs="Calibri"/>
                <w:b/>
                <w:bCs/>
                <w:color w:val="000000"/>
                <w:lang w:eastAsia="en-GB"/>
              </w:rPr>
            </w:pPr>
            <w:r w:rsidRPr="00A512E7">
              <w:rPr>
                <w:rFonts w:ascii="Calibri" w:eastAsia="Times New Roman" w:hAnsi="Calibri" w:cs="Calibri"/>
                <w:b/>
                <w:bCs/>
                <w:color w:val="000000"/>
                <w:lang w:eastAsia="en-GB"/>
              </w:rPr>
              <w:t>Brief Description</w:t>
            </w:r>
          </w:p>
        </w:tc>
      </w:tr>
      <w:tr w:rsidR="00E37363" w:rsidRPr="00A512E7" w14:paraId="3F67819C" w14:textId="77777777" w:rsidTr="00B45076">
        <w:trPr>
          <w:trHeight w:val="650"/>
        </w:trPr>
        <w:tc>
          <w:tcPr>
            <w:tcW w:w="1218" w:type="dxa"/>
            <w:tcBorders>
              <w:left w:val="single" w:sz="4" w:space="0" w:color="auto"/>
              <w:bottom w:val="single" w:sz="4" w:space="0" w:color="auto"/>
              <w:right w:val="single" w:sz="4" w:space="0" w:color="auto"/>
            </w:tcBorders>
            <w:shd w:val="clear" w:color="auto" w:fill="auto"/>
            <w:noWrap/>
            <w:vAlign w:val="center"/>
            <w:hideMark/>
          </w:tcPr>
          <w:p w14:paraId="15EAFDDE"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Emerging Adverse events (multiple)</w:t>
            </w:r>
          </w:p>
        </w:tc>
        <w:tc>
          <w:tcPr>
            <w:tcW w:w="1612" w:type="dxa"/>
            <w:tcBorders>
              <w:top w:val="nil"/>
              <w:left w:val="nil"/>
              <w:bottom w:val="single" w:sz="4" w:space="0" w:color="auto"/>
              <w:right w:val="single" w:sz="4" w:space="0" w:color="auto"/>
            </w:tcBorders>
            <w:shd w:val="clear" w:color="auto" w:fill="auto"/>
            <w:noWrap/>
            <w:vAlign w:val="bottom"/>
            <w:hideMark/>
          </w:tcPr>
          <w:p w14:paraId="7319FCEB"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 xml:space="preserve">Ordinal </w:t>
            </w:r>
          </w:p>
        </w:tc>
        <w:tc>
          <w:tcPr>
            <w:tcW w:w="2977" w:type="dxa"/>
            <w:tcBorders>
              <w:top w:val="nil"/>
              <w:left w:val="nil"/>
              <w:bottom w:val="single" w:sz="4" w:space="0" w:color="auto"/>
              <w:right w:val="single" w:sz="4" w:space="0" w:color="auto"/>
            </w:tcBorders>
            <w:shd w:val="clear" w:color="auto" w:fill="auto"/>
            <w:noWrap/>
            <w:vAlign w:val="bottom"/>
            <w:hideMark/>
          </w:tcPr>
          <w:p w14:paraId="4708CA51"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 xml:space="preserve">Posterior probability </w:t>
            </w:r>
          </w:p>
        </w:tc>
        <w:tc>
          <w:tcPr>
            <w:tcW w:w="2410" w:type="dxa"/>
            <w:tcBorders>
              <w:top w:val="nil"/>
              <w:left w:val="nil"/>
              <w:bottom w:val="single" w:sz="4" w:space="0" w:color="auto"/>
              <w:right w:val="single" w:sz="4" w:space="0" w:color="auto"/>
            </w:tcBorders>
            <w:shd w:val="clear" w:color="auto" w:fill="auto"/>
            <w:noWrap/>
            <w:vAlign w:val="bottom"/>
            <w:hideMark/>
          </w:tcPr>
          <w:p w14:paraId="37466483" w14:textId="77777777" w:rsidR="00E37363" w:rsidRPr="00027D47" w:rsidRDefault="00E37363" w:rsidP="00B45076">
            <w:pPr>
              <w:spacing w:after="0" w:line="240" w:lineRule="auto"/>
              <w:rPr>
                <w:rFonts w:ascii="Calibri" w:eastAsia="Times New Roman" w:hAnsi="Calibri" w:cs="Calibri"/>
                <w:color w:val="000000"/>
                <w:lang w:eastAsia="en-GB"/>
              </w:rPr>
            </w:pPr>
            <w:r w:rsidRPr="00027D47">
              <w:rPr>
                <w:rFonts w:ascii="Calibri" w:eastAsia="Times New Roman" w:hAnsi="Calibri" w:cs="Calibri"/>
                <w:color w:val="000000"/>
                <w:lang w:eastAsia="en-GB"/>
              </w:rPr>
              <w:t>Leon</w:t>
            </w:r>
            <w:r w:rsidRPr="00027D47">
              <w:rPr>
                <w:rFonts w:cstheme="minorHAnsi"/>
              </w:rPr>
              <w:t>-</w:t>
            </w:r>
            <w:proofErr w:type="spellStart"/>
            <w:r w:rsidRPr="00027D47">
              <w:rPr>
                <w:rFonts w:cstheme="minorHAnsi"/>
              </w:rPr>
              <w:t>Novelo</w:t>
            </w:r>
            <w:proofErr w:type="spellEnd"/>
            <w:r w:rsidRPr="00027D47">
              <w:rPr>
                <w:rFonts w:cstheme="minorHAnsi"/>
              </w:rPr>
              <w:t xml:space="preserve">, Zhou, </w:t>
            </w:r>
            <w:proofErr w:type="spellStart"/>
            <w:r w:rsidRPr="00027D47">
              <w:rPr>
                <w:rFonts w:cstheme="minorHAnsi"/>
              </w:rPr>
              <w:t>Nebiyou</w:t>
            </w:r>
            <w:proofErr w:type="spellEnd"/>
            <w:r w:rsidRPr="00027D47">
              <w:rPr>
                <w:rFonts w:cstheme="minorHAnsi"/>
              </w:rPr>
              <w:t xml:space="preserve"> Bekele &amp; Muller</w:t>
            </w:r>
            <w:r>
              <w:rPr>
                <w:rFonts w:cstheme="minorHAnsi"/>
              </w:rPr>
              <w:fldChar w:fldCharType="begin"/>
            </w:r>
            <w:r>
              <w:rPr>
                <w:rFonts w:cstheme="minorHAnsi"/>
              </w:rPr>
              <w:instrText xml:space="preserve"> ADDIN EN.CITE &lt;EndNote&gt;&lt;Cite&gt;&lt;Author&gt;Leon-Novelo&lt;/Author&gt;&lt;Year&gt;2010&lt;/Year&gt;&lt;RecNum&gt;22114&lt;/RecNum&gt;&lt;DisplayText&gt;&lt;style face="superscript"&gt;22&lt;/style&gt;&lt;/DisplayText&gt;&lt;record&gt;&lt;rec-number&gt;22114&lt;/rec-number&gt;&lt;foreign-keys&gt;&lt;key app="EN" db-id="z2f5a5pt0222p8esesuv59tow0trtzfpdxaw" timestamp="1521051146"&gt;22114&lt;/key&gt;&lt;/foreign-keys&gt;&lt;ref-type name="Journal Article"&gt;17&lt;/ref-type&gt;&lt;contributors&gt;&lt;authors&gt;&lt;author&gt;Leon-Novelo, L. G.&lt;/author&gt;&lt;author&gt;Zhou, X.&lt;/author&gt;&lt;author&gt;Bekele, B. N.&lt;/author&gt;&lt;author&gt;Muller, P.&lt;/author&gt;&lt;/authors&gt;&lt;/contributors&gt;&lt;auth-address&gt;Leon-Novelo, L G. University of Florida, Department of Statistics, Gainesville, Florida 32611, USA. luis@stat.ufl.edu&lt;/auth-address&gt;&lt;titles&gt;&lt;title&gt;Assessing toxicities in a clinical trial: Bayesian inference for ordinal data nested within categories&lt;/title&gt;&lt;secondary-title&gt;Biometrics&lt;/secondary-title&gt;&lt;/titles&gt;&lt;periodical&gt;&lt;full-title&gt;Biometrics&lt;/full-title&gt;&lt;/periodical&gt;&lt;pages&gt;966-74&lt;/pages&gt;&lt;volume&gt;66&lt;/volume&gt;&lt;number&gt;3&lt;/number&gt;&lt;dates&gt;&lt;year&gt;2010&lt;/year&gt;&lt;/dates&gt;&lt;accession-num&gt;19930188&lt;/accession-num&gt;&lt;urls&gt;&lt;related-urls&gt;&lt;url&gt;http://ovidsp.ovid.com/ovidweb.cgi?T=JS&amp;amp;CSC=Y&amp;amp;NEWS=N&amp;amp;PAGE=fulltext&amp;amp;D=med6&amp;amp;AN=19930188&lt;/url&gt;&lt;/related-urls&gt;&lt;/urls&gt;&lt;custom2&gt;NIHMS154629&lt;/custom2&gt;&lt;remote-database-name&gt;MEDLINE&lt;/remote-database-name&gt;&lt;remote-database-provider&gt;Ovid Technologies&lt;/remote-database-provider&gt;&lt;/record&gt;&lt;/Cite&gt;&lt;/EndNote&gt;</w:instrText>
            </w:r>
            <w:r>
              <w:rPr>
                <w:rFonts w:cstheme="minorHAnsi"/>
              </w:rPr>
              <w:fldChar w:fldCharType="separate"/>
            </w:r>
            <w:r w:rsidRPr="009A6245">
              <w:rPr>
                <w:rFonts w:cstheme="minorHAnsi"/>
                <w:noProof/>
                <w:vertAlign w:val="superscript"/>
              </w:rPr>
              <w:t>22</w:t>
            </w:r>
            <w:r>
              <w:rPr>
                <w:rFonts w:cstheme="minorHAnsi"/>
              </w:rPr>
              <w:fldChar w:fldCharType="end"/>
            </w:r>
          </w:p>
        </w:tc>
        <w:tc>
          <w:tcPr>
            <w:tcW w:w="6379" w:type="dxa"/>
            <w:tcBorders>
              <w:top w:val="nil"/>
              <w:left w:val="nil"/>
              <w:bottom w:val="single" w:sz="4" w:space="0" w:color="auto"/>
              <w:right w:val="single" w:sz="4" w:space="0" w:color="auto"/>
            </w:tcBorders>
            <w:shd w:val="clear" w:color="auto" w:fill="auto"/>
            <w:vAlign w:val="bottom"/>
            <w:hideMark/>
          </w:tcPr>
          <w:p w14:paraId="228ABC53"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Posterior probability of each grade of an AE (participant maximum grade used) allowing multiple different events per participant</w:t>
            </w:r>
          </w:p>
        </w:tc>
      </w:tr>
      <w:tr w:rsidR="00E37363" w:rsidRPr="00A512E7" w14:paraId="7DCE2D4E" w14:textId="77777777" w:rsidTr="00B45076">
        <w:trPr>
          <w:trHeight w:val="298"/>
        </w:trPr>
        <w:tc>
          <w:tcPr>
            <w:tcW w:w="1218" w:type="dxa"/>
            <w:tcBorders>
              <w:top w:val="nil"/>
              <w:left w:val="single" w:sz="4" w:space="0" w:color="auto"/>
              <w:bottom w:val="single" w:sz="4" w:space="0" w:color="auto"/>
              <w:right w:val="single" w:sz="4" w:space="0" w:color="auto"/>
            </w:tcBorders>
            <w:shd w:val="clear" w:color="000000" w:fill="A6A6A6"/>
            <w:noWrap/>
            <w:vAlign w:val="center"/>
            <w:hideMark/>
          </w:tcPr>
          <w:p w14:paraId="00E42620"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r w:rsidRPr="00A512E7">
              <w:rPr>
                <w:rFonts w:ascii="Calibri" w:eastAsia="Times New Roman" w:hAnsi="Calibri" w:cs="Calibri"/>
                <w:b/>
                <w:bCs/>
                <w:color w:val="000000"/>
                <w:lang w:eastAsia="en-GB"/>
              </w:rPr>
              <w:t> </w:t>
            </w:r>
          </w:p>
        </w:tc>
        <w:tc>
          <w:tcPr>
            <w:tcW w:w="1612" w:type="dxa"/>
            <w:tcBorders>
              <w:top w:val="nil"/>
              <w:left w:val="nil"/>
              <w:bottom w:val="single" w:sz="4" w:space="0" w:color="auto"/>
              <w:right w:val="single" w:sz="4" w:space="0" w:color="auto"/>
            </w:tcBorders>
            <w:shd w:val="clear" w:color="000000" w:fill="A6A6A6"/>
            <w:noWrap/>
            <w:vAlign w:val="bottom"/>
            <w:hideMark/>
          </w:tcPr>
          <w:p w14:paraId="4B97550B"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 </w:t>
            </w:r>
          </w:p>
        </w:tc>
        <w:tc>
          <w:tcPr>
            <w:tcW w:w="2977" w:type="dxa"/>
            <w:tcBorders>
              <w:top w:val="nil"/>
              <w:left w:val="nil"/>
              <w:bottom w:val="single" w:sz="4" w:space="0" w:color="auto"/>
              <w:right w:val="single" w:sz="4" w:space="0" w:color="auto"/>
            </w:tcBorders>
            <w:shd w:val="clear" w:color="000000" w:fill="A6A6A6"/>
            <w:noWrap/>
            <w:vAlign w:val="bottom"/>
            <w:hideMark/>
          </w:tcPr>
          <w:p w14:paraId="07A6626A"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 </w:t>
            </w:r>
          </w:p>
        </w:tc>
        <w:tc>
          <w:tcPr>
            <w:tcW w:w="2410" w:type="dxa"/>
            <w:tcBorders>
              <w:top w:val="nil"/>
              <w:left w:val="nil"/>
              <w:bottom w:val="single" w:sz="4" w:space="0" w:color="auto"/>
              <w:right w:val="single" w:sz="4" w:space="0" w:color="auto"/>
            </w:tcBorders>
            <w:shd w:val="clear" w:color="000000" w:fill="A6A6A6"/>
            <w:noWrap/>
            <w:vAlign w:val="bottom"/>
            <w:hideMark/>
          </w:tcPr>
          <w:p w14:paraId="151A2C2A"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 </w:t>
            </w:r>
          </w:p>
        </w:tc>
        <w:tc>
          <w:tcPr>
            <w:tcW w:w="6379" w:type="dxa"/>
            <w:tcBorders>
              <w:top w:val="nil"/>
              <w:left w:val="nil"/>
              <w:bottom w:val="single" w:sz="4" w:space="0" w:color="auto"/>
              <w:right w:val="single" w:sz="4" w:space="0" w:color="auto"/>
            </w:tcBorders>
            <w:shd w:val="clear" w:color="000000" w:fill="A6A6A6"/>
            <w:vAlign w:val="bottom"/>
            <w:hideMark/>
          </w:tcPr>
          <w:p w14:paraId="281D0ED1"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 </w:t>
            </w:r>
          </w:p>
        </w:tc>
      </w:tr>
      <w:tr w:rsidR="00E37363" w:rsidRPr="00A512E7" w14:paraId="2ABAA197" w14:textId="77777777" w:rsidTr="00B45076">
        <w:trPr>
          <w:trHeight w:val="388"/>
        </w:trPr>
        <w:tc>
          <w:tcPr>
            <w:tcW w:w="1218" w:type="dxa"/>
            <w:tcBorders>
              <w:top w:val="nil"/>
              <w:left w:val="single" w:sz="4" w:space="0" w:color="auto"/>
              <w:right w:val="single" w:sz="4" w:space="0" w:color="auto"/>
            </w:tcBorders>
            <w:shd w:val="clear" w:color="auto" w:fill="auto"/>
            <w:vAlign w:val="center"/>
          </w:tcPr>
          <w:p w14:paraId="69AD112E"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p>
        </w:tc>
        <w:tc>
          <w:tcPr>
            <w:tcW w:w="1612" w:type="dxa"/>
            <w:tcBorders>
              <w:top w:val="nil"/>
              <w:left w:val="nil"/>
              <w:bottom w:val="single" w:sz="4" w:space="0" w:color="auto"/>
              <w:right w:val="single" w:sz="4" w:space="0" w:color="auto"/>
            </w:tcBorders>
            <w:shd w:val="clear" w:color="auto" w:fill="auto"/>
            <w:noWrap/>
            <w:vAlign w:val="bottom"/>
          </w:tcPr>
          <w:p w14:paraId="2F78F7B1"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Binary</w:t>
            </w:r>
          </w:p>
        </w:tc>
        <w:tc>
          <w:tcPr>
            <w:tcW w:w="2977" w:type="dxa"/>
            <w:tcBorders>
              <w:top w:val="nil"/>
              <w:left w:val="nil"/>
              <w:bottom w:val="single" w:sz="4" w:space="0" w:color="auto"/>
              <w:right w:val="single" w:sz="4" w:space="0" w:color="auto"/>
            </w:tcBorders>
            <w:shd w:val="clear" w:color="auto" w:fill="auto"/>
            <w:noWrap/>
            <w:vAlign w:val="bottom"/>
          </w:tcPr>
          <w:p w14:paraId="4EC2FCF1"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Frequencies &amp; percentage</w:t>
            </w:r>
          </w:p>
        </w:tc>
        <w:tc>
          <w:tcPr>
            <w:tcW w:w="2410" w:type="dxa"/>
            <w:tcBorders>
              <w:top w:val="nil"/>
              <w:left w:val="nil"/>
              <w:bottom w:val="single" w:sz="4" w:space="0" w:color="auto"/>
              <w:right w:val="single" w:sz="4" w:space="0" w:color="auto"/>
            </w:tcBorders>
            <w:shd w:val="clear" w:color="auto" w:fill="auto"/>
            <w:noWrap/>
            <w:vAlign w:val="bottom"/>
          </w:tcPr>
          <w:p w14:paraId="296E99DF" w14:textId="77777777" w:rsidR="00E37363" w:rsidRPr="00027D47" w:rsidRDefault="00E37363" w:rsidP="00B45076">
            <w:pPr>
              <w:spacing w:after="0" w:line="240" w:lineRule="auto"/>
              <w:rPr>
                <w:rFonts w:ascii="Calibri" w:eastAsia="Times New Roman" w:hAnsi="Calibri" w:cs="Calibri"/>
                <w:color w:val="000000"/>
                <w:lang w:eastAsia="en-GB"/>
              </w:rPr>
            </w:pPr>
            <w:r w:rsidRPr="00027D47">
              <w:rPr>
                <w:rFonts w:ascii="Calibri" w:eastAsia="Times New Roman" w:hAnsi="Calibri" w:cs="Calibri"/>
                <w:color w:val="000000"/>
                <w:lang w:eastAsia="en-GB"/>
              </w:rPr>
              <w:t xml:space="preserve">Evans </w:t>
            </w:r>
            <w:r w:rsidRPr="00027D47">
              <w:rPr>
                <w:rFonts w:cstheme="minorHAnsi"/>
              </w:rPr>
              <w:t>&amp; Nitsch</w:t>
            </w:r>
            <w:r>
              <w:rPr>
                <w:rFonts w:cstheme="minorHAnsi"/>
              </w:rPr>
              <w:fldChar w:fldCharType="begin"/>
            </w:r>
            <w:r>
              <w:rPr>
                <w:rFonts w:cstheme="minorHAnsi"/>
              </w:rPr>
              <w:instrText xml:space="preserve"> ADDIN EN.CITE &lt;EndNote&gt;&lt;Cite&gt;&lt;Author&gt;Evans&lt;/Author&gt;&lt;Year&gt;2012&lt;/Year&gt;&lt;RecNum&gt;8686&lt;/RecNum&gt;&lt;DisplayText&gt;&lt;style face="superscript"&gt;23&lt;/style&gt;&lt;/DisplayText&gt;&lt;record&gt;&lt;rec-number&gt;8686&lt;/rec-number&gt;&lt;foreign-keys&gt;&lt;key app="EN" db-id="z2f5a5pt0222p8esesuv59tow0trtzfpdxaw" timestamp="1521047391"&gt;8686&lt;/key&gt;&lt;/foreign-keys&gt;&lt;ref-type name="Book Section"&gt;5&lt;/ref-type&gt;&lt;contributors&gt;&lt;authors&gt;&lt;author&gt;Evans, S. J. W.&lt;/author&gt;&lt;author&gt;Nitsch, D.&lt;/author&gt;&lt;/authors&gt;&lt;secondary-authors&gt;&lt;author&gt;Talbot, J.&lt;/author&gt;&lt;author&gt;Aronson, J.K.&lt;/author&gt;&lt;/secondary-authors&gt;&lt;/contributors&gt;&lt;auth-address&gt;Medical Statistics Unit, London School of Hygiene and Tropical Medicine, Keppel St, London WC1E 7HT, United Kingdom&amp;#xD;Non-communicable Disease Epidemiology Unit, London School of Hygiene and Tropical Medicine, Keppel St, London WC1E 7HT, United Kingdom&lt;/auth-address&gt;&lt;titles&gt;&lt;title&gt;Statistics: Analysis and Presentation of Safety Data&lt;/title&gt;&lt;secondary-title&gt;Stephens&amp;apos; Detection and Evaluation of Adverse Drug Reactions: Principles and Practice&lt;/secondary-title&gt;&lt;alt-title&gt;Stephens&amp;apos; Detect. and Eval. of Adverse Drug React.: Princ. and Pract., Sixth Ed.&lt;/alt-title&gt;&lt;/titles&gt;&lt;pages&gt;349-388&lt;/pages&gt;&lt;edition&gt;Sixth Edition&lt;/edition&gt;&lt;section&gt;6&lt;/section&gt;&lt;keywords&gt;&lt;keyword&gt;Bayesian&lt;/keyword&gt;&lt;keyword&gt;Disproportionality&lt;/keyword&gt;&lt;keyword&gt;Epidemiology&lt;/keyword&gt;&lt;keyword&gt;Harms&lt;/keyword&gt;&lt;keyword&gt;Proportional reporting ratios&lt;/keyword&gt;&lt;keyword&gt;Safety&lt;/keyword&gt;&lt;keyword&gt;Sequential probability ratio tests&lt;/keyword&gt;&lt;keyword&gt;Statistics&lt;/keyword&gt;&lt;keyword&gt;Survival analysis&lt;/keyword&gt;&lt;/keywords&gt;&lt;dates&gt;&lt;year&gt;2012&lt;/year&gt;&lt;/dates&gt;&lt;publisher&gt;John Wiley and Sons&lt;/publisher&gt;&lt;isbn&gt;9780470986349 (ISBN)&lt;/isbn&gt;&lt;urls&gt;&lt;related-urls&gt;&lt;url&gt;https://www.scopus.com/inward/record.uri?eid=2-s2.0-84886165109&amp;amp;doi=10.1002%2f9780470975053.ch6&amp;amp;partnerID=40&amp;amp;md5=f02ff359adc262179d255b7c8767198b&lt;/url&gt;&lt;/related-urls&gt;&lt;/urls&gt;&lt;electronic-resource-num&gt;10.1002/9780470975053.ch6&lt;/electronic-resource-num&gt;&lt;remote-database-name&gt;Scopus&lt;/remote-database-name&gt;&lt;language&gt;English&lt;/language&gt;&lt;/record&gt;&lt;/Cite&gt;&lt;/EndNote&gt;</w:instrText>
            </w:r>
            <w:r>
              <w:rPr>
                <w:rFonts w:cstheme="minorHAnsi"/>
              </w:rPr>
              <w:fldChar w:fldCharType="separate"/>
            </w:r>
            <w:r w:rsidRPr="005550A8">
              <w:rPr>
                <w:rFonts w:cstheme="minorHAnsi"/>
                <w:noProof/>
                <w:vertAlign w:val="superscript"/>
              </w:rPr>
              <w:t>23</w:t>
            </w:r>
            <w:r>
              <w:rPr>
                <w:rFonts w:cstheme="minorHAnsi"/>
              </w:rPr>
              <w:fldChar w:fldCharType="end"/>
            </w:r>
          </w:p>
        </w:tc>
        <w:tc>
          <w:tcPr>
            <w:tcW w:w="6379" w:type="dxa"/>
            <w:tcBorders>
              <w:top w:val="nil"/>
              <w:left w:val="nil"/>
              <w:bottom w:val="single" w:sz="4" w:space="0" w:color="auto"/>
              <w:right w:val="single" w:sz="4" w:space="0" w:color="auto"/>
            </w:tcBorders>
            <w:shd w:val="clear" w:color="auto" w:fill="auto"/>
            <w:vAlign w:val="bottom"/>
          </w:tcPr>
          <w:p w14:paraId="1311BE35"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Standard estimates for AE analysis including frequencies, percentages, risk differences and odds ratios</w:t>
            </w:r>
          </w:p>
        </w:tc>
      </w:tr>
      <w:tr w:rsidR="00E37363" w:rsidRPr="00A512E7" w14:paraId="120BF18A" w14:textId="77777777" w:rsidTr="00B45076">
        <w:trPr>
          <w:trHeight w:val="388"/>
        </w:trPr>
        <w:tc>
          <w:tcPr>
            <w:tcW w:w="1218" w:type="dxa"/>
            <w:tcBorders>
              <w:top w:val="nil"/>
              <w:left w:val="single" w:sz="4" w:space="0" w:color="auto"/>
              <w:right w:val="single" w:sz="4" w:space="0" w:color="auto"/>
            </w:tcBorders>
            <w:shd w:val="clear" w:color="auto" w:fill="auto"/>
            <w:vAlign w:val="center"/>
          </w:tcPr>
          <w:p w14:paraId="54D5E962"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p>
        </w:tc>
        <w:tc>
          <w:tcPr>
            <w:tcW w:w="1612" w:type="dxa"/>
            <w:tcBorders>
              <w:top w:val="nil"/>
              <w:left w:val="nil"/>
              <w:bottom w:val="single" w:sz="4" w:space="0" w:color="auto"/>
              <w:right w:val="single" w:sz="4" w:space="0" w:color="auto"/>
            </w:tcBorders>
            <w:shd w:val="clear" w:color="auto" w:fill="auto"/>
            <w:noWrap/>
            <w:vAlign w:val="bottom"/>
          </w:tcPr>
          <w:p w14:paraId="2D67320A"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Binary</w:t>
            </w:r>
          </w:p>
        </w:tc>
        <w:tc>
          <w:tcPr>
            <w:tcW w:w="2977" w:type="dxa"/>
            <w:tcBorders>
              <w:top w:val="nil"/>
              <w:left w:val="nil"/>
              <w:bottom w:val="single" w:sz="4" w:space="0" w:color="auto"/>
              <w:right w:val="single" w:sz="4" w:space="0" w:color="auto"/>
            </w:tcBorders>
            <w:shd w:val="clear" w:color="auto" w:fill="auto"/>
            <w:noWrap/>
            <w:vAlign w:val="bottom"/>
          </w:tcPr>
          <w:p w14:paraId="6AF77083"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 xml:space="preserve">Regression models </w:t>
            </w:r>
          </w:p>
        </w:tc>
        <w:tc>
          <w:tcPr>
            <w:tcW w:w="2410" w:type="dxa"/>
            <w:tcBorders>
              <w:top w:val="nil"/>
              <w:left w:val="nil"/>
              <w:bottom w:val="single" w:sz="4" w:space="0" w:color="auto"/>
              <w:right w:val="single" w:sz="4" w:space="0" w:color="auto"/>
            </w:tcBorders>
            <w:shd w:val="clear" w:color="auto" w:fill="auto"/>
            <w:noWrap/>
            <w:vAlign w:val="bottom"/>
          </w:tcPr>
          <w:p w14:paraId="31A44B59" w14:textId="77777777" w:rsidR="00E37363" w:rsidRPr="00027D47" w:rsidRDefault="00E37363" w:rsidP="00B45076">
            <w:pPr>
              <w:spacing w:after="0" w:line="240" w:lineRule="auto"/>
              <w:rPr>
                <w:rFonts w:ascii="Calibri" w:eastAsia="Times New Roman" w:hAnsi="Calibri" w:cs="Calibri"/>
                <w:color w:val="000000"/>
                <w:lang w:eastAsia="en-GB"/>
              </w:rPr>
            </w:pPr>
            <w:r w:rsidRPr="00027D47">
              <w:rPr>
                <w:rFonts w:ascii="Calibri" w:eastAsia="Times New Roman" w:hAnsi="Calibri" w:cs="Calibri"/>
                <w:color w:val="000000"/>
                <w:lang w:eastAsia="en-GB"/>
              </w:rPr>
              <w:t xml:space="preserve">Evans </w:t>
            </w:r>
            <w:r w:rsidRPr="00027D47">
              <w:rPr>
                <w:rFonts w:cstheme="minorHAnsi"/>
              </w:rPr>
              <w:t>&amp; Nitsch</w:t>
            </w:r>
            <w:r>
              <w:rPr>
                <w:rFonts w:cstheme="minorHAnsi"/>
              </w:rPr>
              <w:fldChar w:fldCharType="begin"/>
            </w:r>
            <w:r>
              <w:rPr>
                <w:rFonts w:cstheme="minorHAnsi"/>
              </w:rPr>
              <w:instrText xml:space="preserve"> ADDIN EN.CITE &lt;EndNote&gt;&lt;Cite&gt;&lt;Author&gt;Evans&lt;/Author&gt;&lt;Year&gt;2012&lt;/Year&gt;&lt;RecNum&gt;8686&lt;/RecNum&gt;&lt;DisplayText&gt;&lt;style face="superscript"&gt;23&lt;/style&gt;&lt;/DisplayText&gt;&lt;record&gt;&lt;rec-number&gt;8686&lt;/rec-number&gt;&lt;foreign-keys&gt;&lt;key app="EN" db-id="z2f5a5pt0222p8esesuv59tow0trtzfpdxaw" timestamp="1521047391"&gt;8686&lt;/key&gt;&lt;/foreign-keys&gt;&lt;ref-type name="Book Section"&gt;5&lt;/ref-type&gt;&lt;contributors&gt;&lt;authors&gt;&lt;author&gt;Evans, S. J. W.&lt;/author&gt;&lt;author&gt;Nitsch, D.&lt;/author&gt;&lt;/authors&gt;&lt;secondary-authors&gt;&lt;author&gt;Talbot, J.&lt;/author&gt;&lt;author&gt;Aronson, J.K.&lt;/author&gt;&lt;/secondary-authors&gt;&lt;/contributors&gt;&lt;auth-address&gt;Medical Statistics Unit, London School of Hygiene and Tropical Medicine, Keppel St, London WC1E 7HT, United Kingdom&amp;#xD;Non-communicable Disease Epidemiology Unit, London School of Hygiene and Tropical Medicine, Keppel St, London WC1E 7HT, United Kingdom&lt;/auth-address&gt;&lt;titles&gt;&lt;title&gt;Statistics: Analysis and Presentation of Safety Data&lt;/title&gt;&lt;secondary-title&gt;Stephens&amp;apos; Detection and Evaluation of Adverse Drug Reactions: Principles and Practice&lt;/secondary-title&gt;&lt;alt-title&gt;Stephens&amp;apos; Detect. and Eval. of Adverse Drug React.: Princ. and Pract., Sixth Ed.&lt;/alt-title&gt;&lt;/titles&gt;&lt;pages&gt;349-388&lt;/pages&gt;&lt;edition&gt;Sixth Edition&lt;/edition&gt;&lt;section&gt;6&lt;/section&gt;&lt;keywords&gt;&lt;keyword&gt;Bayesian&lt;/keyword&gt;&lt;keyword&gt;Disproportionality&lt;/keyword&gt;&lt;keyword&gt;Epidemiology&lt;/keyword&gt;&lt;keyword&gt;Harms&lt;/keyword&gt;&lt;keyword&gt;Proportional reporting ratios&lt;/keyword&gt;&lt;keyword&gt;Safety&lt;/keyword&gt;&lt;keyword&gt;Sequential probability ratio tests&lt;/keyword&gt;&lt;keyword&gt;Statistics&lt;/keyword&gt;&lt;keyword&gt;Survival analysis&lt;/keyword&gt;&lt;/keywords&gt;&lt;dates&gt;&lt;year&gt;2012&lt;/year&gt;&lt;/dates&gt;&lt;publisher&gt;John Wiley and Sons&lt;/publisher&gt;&lt;isbn&gt;9780470986349 (ISBN)&lt;/isbn&gt;&lt;urls&gt;&lt;related-urls&gt;&lt;url&gt;https://www.scopus.com/inward/record.uri?eid=2-s2.0-84886165109&amp;amp;doi=10.1002%2f9780470975053.ch6&amp;amp;partnerID=40&amp;amp;md5=f02ff359adc262179d255b7c8767198b&lt;/url&gt;&lt;/related-urls&gt;&lt;/urls&gt;&lt;electronic-resource-num&gt;10.1002/9780470975053.ch6&lt;/electronic-resource-num&gt;&lt;remote-database-name&gt;Scopus&lt;/remote-database-name&gt;&lt;language&gt;English&lt;/language&gt;&lt;/record&gt;&lt;/Cite&gt;&lt;/EndNote&gt;</w:instrText>
            </w:r>
            <w:r>
              <w:rPr>
                <w:rFonts w:cstheme="minorHAnsi"/>
              </w:rPr>
              <w:fldChar w:fldCharType="separate"/>
            </w:r>
            <w:r w:rsidRPr="005550A8">
              <w:rPr>
                <w:rFonts w:cstheme="minorHAnsi"/>
                <w:noProof/>
                <w:vertAlign w:val="superscript"/>
              </w:rPr>
              <w:t>23</w:t>
            </w:r>
            <w:r>
              <w:rPr>
                <w:rFonts w:cstheme="minorHAnsi"/>
              </w:rPr>
              <w:fldChar w:fldCharType="end"/>
            </w:r>
          </w:p>
        </w:tc>
        <w:tc>
          <w:tcPr>
            <w:tcW w:w="6379" w:type="dxa"/>
            <w:tcBorders>
              <w:top w:val="nil"/>
              <w:left w:val="nil"/>
              <w:bottom w:val="single" w:sz="4" w:space="0" w:color="auto"/>
              <w:right w:val="single" w:sz="4" w:space="0" w:color="auto"/>
            </w:tcBorders>
            <w:shd w:val="clear" w:color="auto" w:fill="auto"/>
            <w:vAlign w:val="bottom"/>
          </w:tcPr>
          <w:p w14:paraId="06EB759E"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 xml:space="preserve">Regression based </w:t>
            </w:r>
            <w:r>
              <w:rPr>
                <w:rFonts w:ascii="Calibri" w:eastAsia="Times New Roman" w:hAnsi="Calibri" w:cs="Calibri"/>
                <w:color w:val="000000"/>
                <w:lang w:eastAsia="en-GB"/>
              </w:rPr>
              <w:t>approaches for AE analysis e.g. P</w:t>
            </w:r>
            <w:r w:rsidRPr="00A512E7">
              <w:rPr>
                <w:rFonts w:ascii="Calibri" w:eastAsia="Times New Roman" w:hAnsi="Calibri" w:cs="Calibri"/>
                <w:color w:val="000000"/>
                <w:lang w:eastAsia="en-GB"/>
              </w:rPr>
              <w:t xml:space="preserve">oisson regression </w:t>
            </w:r>
          </w:p>
        </w:tc>
      </w:tr>
      <w:tr w:rsidR="00E37363" w:rsidRPr="00A512E7" w14:paraId="726B97CE" w14:textId="77777777" w:rsidTr="00B45076">
        <w:trPr>
          <w:trHeight w:val="388"/>
        </w:trPr>
        <w:tc>
          <w:tcPr>
            <w:tcW w:w="1218" w:type="dxa"/>
            <w:tcBorders>
              <w:top w:val="nil"/>
              <w:left w:val="single" w:sz="4" w:space="0" w:color="auto"/>
              <w:right w:val="single" w:sz="4" w:space="0" w:color="auto"/>
            </w:tcBorders>
            <w:shd w:val="clear" w:color="auto" w:fill="auto"/>
            <w:vAlign w:val="center"/>
          </w:tcPr>
          <w:p w14:paraId="6F3DE504"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p>
        </w:tc>
        <w:tc>
          <w:tcPr>
            <w:tcW w:w="1612" w:type="dxa"/>
            <w:tcBorders>
              <w:top w:val="nil"/>
              <w:left w:val="nil"/>
              <w:bottom w:val="single" w:sz="4" w:space="0" w:color="auto"/>
              <w:right w:val="single" w:sz="4" w:space="0" w:color="auto"/>
            </w:tcBorders>
            <w:shd w:val="clear" w:color="auto" w:fill="auto"/>
            <w:noWrap/>
            <w:vAlign w:val="bottom"/>
          </w:tcPr>
          <w:p w14:paraId="3487B8E6"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Binary</w:t>
            </w:r>
          </w:p>
        </w:tc>
        <w:tc>
          <w:tcPr>
            <w:tcW w:w="2977" w:type="dxa"/>
            <w:tcBorders>
              <w:top w:val="nil"/>
              <w:left w:val="nil"/>
              <w:bottom w:val="single" w:sz="4" w:space="0" w:color="auto"/>
              <w:right w:val="single" w:sz="4" w:space="0" w:color="auto"/>
            </w:tcBorders>
            <w:shd w:val="clear" w:color="auto" w:fill="auto"/>
            <w:noWrap/>
            <w:vAlign w:val="bottom"/>
          </w:tcPr>
          <w:p w14:paraId="55CD1F81"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Confidence interval</w:t>
            </w:r>
          </w:p>
        </w:tc>
        <w:tc>
          <w:tcPr>
            <w:tcW w:w="2410" w:type="dxa"/>
            <w:tcBorders>
              <w:top w:val="nil"/>
              <w:left w:val="nil"/>
              <w:bottom w:val="single" w:sz="4" w:space="0" w:color="auto"/>
              <w:right w:val="single" w:sz="4" w:space="0" w:color="auto"/>
            </w:tcBorders>
            <w:shd w:val="clear" w:color="auto" w:fill="auto"/>
            <w:noWrap/>
            <w:vAlign w:val="bottom"/>
          </w:tcPr>
          <w:p w14:paraId="393E6A6F" w14:textId="77777777" w:rsidR="00E37363" w:rsidRPr="00027D47" w:rsidRDefault="00E37363" w:rsidP="00B45076">
            <w:pPr>
              <w:spacing w:after="0" w:line="240" w:lineRule="auto"/>
              <w:rPr>
                <w:rFonts w:ascii="Calibri" w:eastAsia="Times New Roman" w:hAnsi="Calibri" w:cs="Calibri"/>
                <w:color w:val="000000"/>
                <w:lang w:eastAsia="en-GB"/>
              </w:rPr>
            </w:pPr>
            <w:r w:rsidRPr="00027D47">
              <w:rPr>
                <w:rFonts w:ascii="Calibri" w:eastAsia="Times New Roman" w:hAnsi="Calibri" w:cs="Calibri"/>
                <w:color w:val="000000"/>
                <w:lang w:eastAsia="en-GB"/>
              </w:rPr>
              <w:t>O'Gorman,</w:t>
            </w:r>
            <w:r w:rsidRPr="00027D47">
              <w:rPr>
                <w:rFonts w:cstheme="minorHAnsi"/>
              </w:rPr>
              <w:t xml:space="preserve"> </w:t>
            </w:r>
            <w:proofErr w:type="spellStart"/>
            <w:r w:rsidRPr="00027D47">
              <w:rPr>
                <w:rFonts w:cstheme="minorHAnsi"/>
              </w:rPr>
              <w:t>Woolson</w:t>
            </w:r>
            <w:proofErr w:type="spellEnd"/>
            <w:r w:rsidRPr="00027D47">
              <w:rPr>
                <w:rFonts w:cstheme="minorHAnsi"/>
              </w:rPr>
              <w:t>, Jones</w:t>
            </w:r>
            <w:r>
              <w:rPr>
                <w:rFonts w:cstheme="minorHAnsi"/>
              </w:rPr>
              <w:fldChar w:fldCharType="begin"/>
            </w:r>
            <w:r>
              <w:rPr>
                <w:rFonts w:cstheme="minorHAnsi"/>
              </w:rPr>
              <w:instrText xml:space="preserve"> ADDIN EN.CITE &lt;EndNote&gt;&lt;Cite&gt;&lt;Author&gt;O&amp;apos;Gorman&lt;/Author&gt;&lt;Year&gt;1994&lt;/Year&gt;&lt;RecNum&gt;21316&lt;/RecNum&gt;&lt;DisplayText&gt;&lt;style face="superscript"&gt;24&lt;/style&gt;&lt;/DisplayText&gt;&lt;record&gt;&lt;rec-number&gt;21316&lt;/rec-number&gt;&lt;foreign-keys&gt;&lt;key app="EN" db-id="z2f5a5pt0222p8esesuv59tow0trtzfpdxaw" timestamp="1521050348"&gt;21316&lt;/key&gt;&lt;/foreign-keys&gt;&lt;ref-type name="Journal Article"&gt;17&lt;/ref-type&gt;&lt;contributors&gt;&lt;authors&gt;&lt;author&gt;O&amp;apos;Gorman, T. W.&lt;/author&gt;&lt;author&gt;Woolson, R. F.&lt;/author&gt;&lt;author&gt;Jones, M. P.&lt;/author&gt;&lt;/authors&gt;&lt;/contributors&gt;&lt;auth-address&gt;(O&amp;apos;Gorman) Northern Illinois University, DeKalb, IL, United States (Woolson, Jones) University of Iowa, Iowa City, IA, United States (O&amp;apos;Gorman) Department of Mathematical Sciences, Northern Illinois University, DeKalb, IL 60115, United States&lt;/auth-address&gt;&lt;titles&gt;&lt;title&gt;A comparison of two methods of estimating a common risk difference in a stratified analysis of a multicenter clinical trial&lt;/title&gt;&lt;secondary-title&gt;Controlled Clinical Trials&lt;/secondary-title&gt;&lt;/titles&gt;&lt;periodical&gt;&lt;full-title&gt;Controlled Clinical Trials&lt;/full-title&gt;&lt;/periodical&gt;&lt;pages&gt;135-153&lt;/pages&gt;&lt;volume&gt;15&lt;/volume&gt;&lt;number&gt;2&lt;/number&gt;&lt;dates&gt;&lt;year&gt;1994&lt;/year&gt;&lt;/dates&gt;&lt;accession-num&gt;24236475&lt;/accession-num&gt;&lt;urls&gt;&lt;related-urls&gt;&lt;url&gt;http://ovidsp.ovid.com/ovidweb.cgi?T=JS&amp;amp;CSC=Y&amp;amp;NEWS=N&amp;amp;PAGE=fulltext&amp;amp;D=emed6&amp;amp;AN=24236475&lt;/url&gt;&lt;/related-urls&gt;&lt;/urls&gt;&lt;remote-database-name&gt;Embase&lt;/remote-database-name&gt;&lt;remote-database-provider&gt;Ovid Technologies&lt;/remote-database-provider&gt;&lt;/record&gt;&lt;/Cite&gt;&lt;/EndNote&gt;</w:instrText>
            </w:r>
            <w:r>
              <w:rPr>
                <w:rFonts w:cstheme="minorHAnsi"/>
              </w:rPr>
              <w:fldChar w:fldCharType="separate"/>
            </w:r>
            <w:r w:rsidRPr="005550A8">
              <w:rPr>
                <w:rFonts w:cstheme="minorHAnsi"/>
                <w:noProof/>
                <w:vertAlign w:val="superscript"/>
              </w:rPr>
              <w:t>24</w:t>
            </w:r>
            <w:r>
              <w:rPr>
                <w:rFonts w:cstheme="minorHAnsi"/>
              </w:rPr>
              <w:fldChar w:fldCharType="end"/>
            </w:r>
          </w:p>
        </w:tc>
        <w:tc>
          <w:tcPr>
            <w:tcW w:w="6379" w:type="dxa"/>
            <w:tcBorders>
              <w:top w:val="nil"/>
              <w:left w:val="nil"/>
              <w:bottom w:val="single" w:sz="4" w:space="0" w:color="auto"/>
              <w:right w:val="single" w:sz="4" w:space="0" w:color="auto"/>
            </w:tcBorders>
            <w:shd w:val="clear" w:color="auto" w:fill="auto"/>
            <w:vAlign w:val="bottom"/>
          </w:tcPr>
          <w:p w14:paraId="2A86049C" w14:textId="77777777" w:rsidR="00E37363" w:rsidRPr="00A512E7"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Two methods to estimate </w:t>
            </w:r>
            <w:r w:rsidRPr="00A512E7">
              <w:rPr>
                <w:rFonts w:ascii="Calibri" w:eastAsia="Times New Roman" w:hAnsi="Calibri" w:cs="Calibri"/>
                <w:color w:val="000000"/>
                <w:lang w:eastAsia="en-GB"/>
              </w:rPr>
              <w:t>CIs for risk-difference when combing data across multiple sites</w:t>
            </w:r>
          </w:p>
        </w:tc>
      </w:tr>
      <w:tr w:rsidR="00E37363" w:rsidRPr="00A512E7" w14:paraId="3D41EB9C" w14:textId="77777777" w:rsidTr="00B45076">
        <w:trPr>
          <w:trHeight w:val="388"/>
        </w:trPr>
        <w:tc>
          <w:tcPr>
            <w:tcW w:w="1218" w:type="dxa"/>
            <w:tcBorders>
              <w:top w:val="nil"/>
              <w:left w:val="single" w:sz="4" w:space="0" w:color="auto"/>
              <w:right w:val="single" w:sz="4" w:space="0" w:color="auto"/>
            </w:tcBorders>
            <w:shd w:val="clear" w:color="auto" w:fill="auto"/>
            <w:vAlign w:val="center"/>
          </w:tcPr>
          <w:p w14:paraId="24ABB073"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p>
        </w:tc>
        <w:tc>
          <w:tcPr>
            <w:tcW w:w="1612" w:type="dxa"/>
            <w:tcBorders>
              <w:top w:val="nil"/>
              <w:left w:val="nil"/>
              <w:bottom w:val="single" w:sz="4" w:space="0" w:color="auto"/>
              <w:right w:val="single" w:sz="4" w:space="0" w:color="auto"/>
            </w:tcBorders>
            <w:shd w:val="clear" w:color="auto" w:fill="auto"/>
            <w:noWrap/>
            <w:vAlign w:val="bottom"/>
          </w:tcPr>
          <w:p w14:paraId="699CF3EE" w14:textId="77777777" w:rsidR="00E37363" w:rsidRPr="00A512E7"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Count</w:t>
            </w:r>
          </w:p>
        </w:tc>
        <w:tc>
          <w:tcPr>
            <w:tcW w:w="2977" w:type="dxa"/>
            <w:tcBorders>
              <w:top w:val="nil"/>
              <w:left w:val="nil"/>
              <w:bottom w:val="single" w:sz="4" w:space="0" w:color="auto"/>
              <w:right w:val="single" w:sz="4" w:space="0" w:color="auto"/>
            </w:tcBorders>
            <w:shd w:val="clear" w:color="auto" w:fill="auto"/>
            <w:noWrap/>
            <w:vAlign w:val="bottom"/>
          </w:tcPr>
          <w:p w14:paraId="4546EE97"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Confidence interval</w:t>
            </w:r>
          </w:p>
        </w:tc>
        <w:tc>
          <w:tcPr>
            <w:tcW w:w="2410" w:type="dxa"/>
            <w:tcBorders>
              <w:top w:val="nil"/>
              <w:left w:val="nil"/>
              <w:bottom w:val="single" w:sz="4" w:space="0" w:color="auto"/>
              <w:right w:val="single" w:sz="4" w:space="0" w:color="auto"/>
            </w:tcBorders>
            <w:shd w:val="clear" w:color="auto" w:fill="auto"/>
            <w:noWrap/>
            <w:vAlign w:val="bottom"/>
          </w:tcPr>
          <w:p w14:paraId="4D3BFDBB" w14:textId="77777777" w:rsidR="00E37363" w:rsidRPr="00027D47" w:rsidRDefault="00E37363" w:rsidP="00B45076">
            <w:pPr>
              <w:spacing w:after="0" w:line="240" w:lineRule="auto"/>
              <w:rPr>
                <w:rFonts w:ascii="Calibri" w:eastAsia="Times New Roman" w:hAnsi="Calibri" w:cs="Calibri"/>
                <w:color w:val="000000"/>
                <w:lang w:eastAsia="en-GB"/>
              </w:rPr>
            </w:pPr>
            <w:r w:rsidRPr="00027D47">
              <w:rPr>
                <w:rFonts w:ascii="Calibri" w:eastAsia="Times New Roman" w:hAnsi="Calibri" w:cs="Calibri"/>
                <w:color w:val="000000"/>
                <w:lang w:eastAsia="en-GB"/>
              </w:rPr>
              <w:t>Liu, Wang, Liu &amp; Snavely</w:t>
            </w:r>
            <w:r>
              <w:rPr>
                <w:rFonts w:ascii="Calibri" w:eastAsia="Times New Roman" w:hAnsi="Calibri" w:cs="Calibri"/>
                <w:color w:val="000000"/>
                <w:lang w:eastAsia="en-GB"/>
              </w:rPr>
              <w:fldChar w:fldCharType="begin"/>
            </w:r>
            <w:r>
              <w:rPr>
                <w:rFonts w:ascii="Calibri" w:eastAsia="Times New Roman" w:hAnsi="Calibri" w:cs="Calibri"/>
                <w:color w:val="000000"/>
                <w:lang w:eastAsia="en-GB"/>
              </w:rPr>
              <w:instrText xml:space="preserve"> ADDIN EN.CITE &lt;EndNote&gt;&lt;Cite&gt;&lt;Author&gt;Liu&lt;/Author&gt;&lt;Year&gt;2006&lt;/Year&gt;&lt;RecNum&gt;24897&lt;/RecNum&gt;&lt;DisplayText&gt;&lt;style face="superscript"&gt;25&lt;/style&gt;&lt;/DisplayText&gt;&lt;record&gt;&lt;rec-number&gt;24897&lt;/rec-number&gt;&lt;foreign-keys&gt;&lt;key app="EN" db-id="z2f5a5pt0222p8esesuv59tow0trtzfpdxaw" timestamp="1527158074"&gt;24897&lt;/key&gt;&lt;/foreign-keys&gt;&lt;ref-type name="Journal Article"&gt;17&lt;/ref-type&gt;&lt;contributors&gt;&lt;authors&gt;&lt;author&gt;Liu, G.F.&lt;/author&gt;&lt;author&gt;Wang, J.&lt;/author&gt;&lt;author&gt;Liu, K.&lt;/author&gt;&lt;author&gt;Snavely, D.B.&lt;/author&gt;&lt;/authors&gt;&lt;/contributors&gt;&lt;titles&gt;&lt;title&gt;Confidence intervals for an exposure adjusted incidence rate difference with applications to clinical trials&lt;/title&gt;&lt;secondary-title&gt;Statistics in Medicine&lt;/secondary-title&gt;&lt;/titles&gt;&lt;periodical&gt;&lt;full-title&gt;Statistics in Medicine&lt;/full-title&gt;&lt;/periodical&gt;&lt;pages&gt;1275-1286&lt;/pages&gt;&lt;volume&gt;25&lt;/volume&gt;&lt;number&gt;8&lt;/number&gt;&lt;dates&gt;&lt;year&gt;2006&lt;/year&gt;&lt;/dates&gt;&lt;urls&gt;&lt;related-urls&gt;&lt;url&gt;https://onlinelibrary.wiley.com/doi/abs/10.1002/sim.2335&lt;/url&gt;&lt;/related-urls&gt;&lt;/urls&gt;&lt;electronic-resource-num&gt;doi:10.1002/sim.2335&lt;/electronic-resource-num&gt;&lt;/record&gt;&lt;/Cite&gt;&lt;/EndNote&gt;</w:instrText>
            </w:r>
            <w:r>
              <w:rPr>
                <w:rFonts w:ascii="Calibri" w:eastAsia="Times New Roman" w:hAnsi="Calibri" w:cs="Calibri"/>
                <w:color w:val="000000"/>
                <w:lang w:eastAsia="en-GB"/>
              </w:rPr>
              <w:fldChar w:fldCharType="separate"/>
            </w:r>
            <w:r w:rsidRPr="005550A8">
              <w:rPr>
                <w:rFonts w:ascii="Calibri" w:eastAsia="Times New Roman" w:hAnsi="Calibri" w:cs="Calibri"/>
                <w:noProof/>
                <w:color w:val="000000"/>
                <w:vertAlign w:val="superscript"/>
                <w:lang w:eastAsia="en-GB"/>
              </w:rPr>
              <w:t>25</w:t>
            </w:r>
            <w:r>
              <w:rPr>
                <w:rFonts w:ascii="Calibri" w:eastAsia="Times New Roman" w:hAnsi="Calibri" w:cs="Calibri"/>
                <w:color w:val="000000"/>
                <w:lang w:eastAsia="en-GB"/>
              </w:rPr>
              <w:fldChar w:fldCharType="end"/>
            </w:r>
          </w:p>
        </w:tc>
        <w:tc>
          <w:tcPr>
            <w:tcW w:w="6379" w:type="dxa"/>
            <w:tcBorders>
              <w:top w:val="nil"/>
              <w:left w:val="nil"/>
              <w:bottom w:val="single" w:sz="4" w:space="0" w:color="auto"/>
              <w:right w:val="single" w:sz="4" w:space="0" w:color="auto"/>
            </w:tcBorders>
            <w:shd w:val="clear" w:color="auto" w:fill="auto"/>
            <w:vAlign w:val="bottom"/>
          </w:tcPr>
          <w:p w14:paraId="1181D7D6" w14:textId="77777777" w:rsidR="00E37363" w:rsidRPr="00A512E7"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Four methods to estimate </w:t>
            </w:r>
            <w:r w:rsidRPr="00A512E7">
              <w:rPr>
                <w:rFonts w:ascii="Calibri" w:eastAsia="Times New Roman" w:hAnsi="Calibri" w:cs="Calibri"/>
                <w:color w:val="000000"/>
                <w:lang w:eastAsia="en-GB"/>
              </w:rPr>
              <w:t>CIs for exposure adjusted incident ratios</w:t>
            </w:r>
          </w:p>
        </w:tc>
      </w:tr>
      <w:tr w:rsidR="00E37363" w:rsidRPr="00A512E7" w14:paraId="6061A1D5" w14:textId="77777777" w:rsidTr="00B45076">
        <w:trPr>
          <w:trHeight w:val="388"/>
        </w:trPr>
        <w:tc>
          <w:tcPr>
            <w:tcW w:w="1218" w:type="dxa"/>
            <w:vMerge w:val="restart"/>
            <w:tcBorders>
              <w:top w:val="nil"/>
              <w:left w:val="single" w:sz="4" w:space="0" w:color="auto"/>
              <w:right w:val="single" w:sz="4" w:space="0" w:color="auto"/>
            </w:tcBorders>
            <w:shd w:val="clear" w:color="auto" w:fill="auto"/>
            <w:vAlign w:val="center"/>
            <w:hideMark/>
          </w:tcPr>
          <w:p w14:paraId="24F8825C"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 xml:space="preserve">Emerging </w:t>
            </w:r>
            <w:r w:rsidRPr="00A512E7">
              <w:rPr>
                <w:rFonts w:ascii="Calibri" w:eastAsia="Times New Roman" w:hAnsi="Calibri" w:cs="Calibri"/>
                <w:b/>
                <w:bCs/>
                <w:color w:val="000000"/>
                <w:lang w:eastAsia="en-GB"/>
              </w:rPr>
              <w:t xml:space="preserve">Adverse events </w:t>
            </w:r>
            <w:r>
              <w:rPr>
                <w:rFonts w:ascii="Calibri" w:eastAsia="Times New Roman" w:hAnsi="Calibri" w:cs="Calibri"/>
                <w:b/>
                <w:bCs/>
                <w:color w:val="000000"/>
                <w:lang w:eastAsia="en-GB"/>
              </w:rPr>
              <w:t>(single)</w:t>
            </w:r>
          </w:p>
          <w:p w14:paraId="6CADD039"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r w:rsidRPr="00A512E7">
              <w:rPr>
                <w:rFonts w:ascii="Calibri" w:eastAsia="Times New Roman" w:hAnsi="Calibri" w:cs="Calibri"/>
                <w:b/>
                <w:bCs/>
                <w:color w:val="000000"/>
                <w:lang w:eastAsia="en-GB"/>
              </w:rPr>
              <w:t> </w:t>
            </w:r>
          </w:p>
          <w:p w14:paraId="6319FB83"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r w:rsidRPr="00A512E7">
              <w:rPr>
                <w:rFonts w:ascii="Calibri" w:eastAsia="Times New Roman" w:hAnsi="Calibri" w:cs="Calibri"/>
                <w:b/>
                <w:bCs/>
                <w:color w:val="000000"/>
                <w:lang w:eastAsia="en-GB"/>
              </w:rPr>
              <w:t> </w:t>
            </w:r>
          </w:p>
          <w:p w14:paraId="76D2C480"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r w:rsidRPr="00A512E7">
              <w:rPr>
                <w:rFonts w:ascii="Calibri" w:eastAsia="Times New Roman" w:hAnsi="Calibri" w:cs="Calibri"/>
                <w:b/>
                <w:bCs/>
                <w:color w:val="000000"/>
                <w:lang w:eastAsia="en-GB"/>
              </w:rPr>
              <w:t> </w:t>
            </w:r>
          </w:p>
          <w:p w14:paraId="0EC962A1"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r w:rsidRPr="00A512E7">
              <w:rPr>
                <w:rFonts w:ascii="Calibri" w:eastAsia="Times New Roman" w:hAnsi="Calibri" w:cs="Calibri"/>
                <w:b/>
                <w:bCs/>
                <w:color w:val="000000"/>
                <w:lang w:eastAsia="en-GB"/>
              </w:rPr>
              <w:t> </w:t>
            </w:r>
          </w:p>
          <w:p w14:paraId="5ED98557"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r w:rsidRPr="00A512E7">
              <w:rPr>
                <w:rFonts w:ascii="Calibri" w:eastAsia="Times New Roman" w:hAnsi="Calibri" w:cs="Calibri"/>
                <w:b/>
                <w:bCs/>
                <w:color w:val="000000"/>
                <w:lang w:eastAsia="en-GB"/>
              </w:rPr>
              <w:t> </w:t>
            </w:r>
          </w:p>
          <w:p w14:paraId="59DD460D"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r w:rsidRPr="00A512E7">
              <w:rPr>
                <w:rFonts w:ascii="Calibri" w:eastAsia="Times New Roman" w:hAnsi="Calibri" w:cs="Calibri"/>
                <w:b/>
                <w:bCs/>
                <w:color w:val="000000"/>
                <w:lang w:eastAsia="en-GB"/>
              </w:rPr>
              <w:t> </w:t>
            </w:r>
          </w:p>
          <w:p w14:paraId="18D54CB2"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r w:rsidRPr="00A512E7">
              <w:rPr>
                <w:rFonts w:ascii="Calibri" w:eastAsia="Times New Roman" w:hAnsi="Calibri" w:cs="Calibri"/>
                <w:b/>
                <w:bCs/>
                <w:color w:val="000000"/>
                <w:lang w:eastAsia="en-GB"/>
              </w:rPr>
              <w:t> </w:t>
            </w:r>
          </w:p>
          <w:p w14:paraId="49EC18B0"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r w:rsidRPr="00A512E7">
              <w:rPr>
                <w:rFonts w:ascii="Calibri" w:eastAsia="Times New Roman" w:hAnsi="Calibri" w:cs="Calibri"/>
                <w:b/>
                <w:bCs/>
                <w:color w:val="000000"/>
                <w:lang w:eastAsia="en-GB"/>
              </w:rPr>
              <w:t> </w:t>
            </w:r>
          </w:p>
        </w:tc>
        <w:tc>
          <w:tcPr>
            <w:tcW w:w="1612" w:type="dxa"/>
            <w:tcBorders>
              <w:top w:val="nil"/>
              <w:left w:val="nil"/>
              <w:bottom w:val="single" w:sz="4" w:space="0" w:color="auto"/>
              <w:right w:val="single" w:sz="4" w:space="0" w:color="auto"/>
            </w:tcBorders>
            <w:shd w:val="clear" w:color="auto" w:fill="auto"/>
            <w:noWrap/>
            <w:vAlign w:val="bottom"/>
            <w:hideMark/>
          </w:tcPr>
          <w:p w14:paraId="017BF17B"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 xml:space="preserve">Binary </w:t>
            </w:r>
          </w:p>
        </w:tc>
        <w:tc>
          <w:tcPr>
            <w:tcW w:w="2977" w:type="dxa"/>
            <w:tcBorders>
              <w:top w:val="nil"/>
              <w:left w:val="nil"/>
              <w:bottom w:val="single" w:sz="4" w:space="0" w:color="auto"/>
              <w:right w:val="single" w:sz="4" w:space="0" w:color="auto"/>
            </w:tcBorders>
            <w:shd w:val="clear" w:color="auto" w:fill="auto"/>
            <w:noWrap/>
            <w:vAlign w:val="bottom"/>
            <w:hideMark/>
          </w:tcPr>
          <w:p w14:paraId="0AEBB17C"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Confidence interval</w:t>
            </w:r>
          </w:p>
        </w:tc>
        <w:tc>
          <w:tcPr>
            <w:tcW w:w="2410" w:type="dxa"/>
            <w:tcBorders>
              <w:top w:val="nil"/>
              <w:left w:val="nil"/>
              <w:bottom w:val="single" w:sz="4" w:space="0" w:color="auto"/>
              <w:right w:val="single" w:sz="4" w:space="0" w:color="auto"/>
            </w:tcBorders>
            <w:shd w:val="clear" w:color="auto" w:fill="auto"/>
            <w:noWrap/>
            <w:vAlign w:val="bottom"/>
            <w:hideMark/>
          </w:tcPr>
          <w:p w14:paraId="0F04A590" w14:textId="77777777" w:rsidR="00E37363" w:rsidRPr="00027D47" w:rsidRDefault="00E37363" w:rsidP="00B45076">
            <w:pPr>
              <w:spacing w:after="0" w:line="240" w:lineRule="auto"/>
              <w:rPr>
                <w:rFonts w:ascii="Calibri" w:eastAsia="Times New Roman" w:hAnsi="Calibri" w:cs="Calibri"/>
                <w:color w:val="000000"/>
                <w:lang w:eastAsia="en-GB"/>
              </w:rPr>
            </w:pPr>
            <w:r w:rsidRPr="00027D47">
              <w:rPr>
                <w:rFonts w:ascii="Calibri" w:eastAsia="Times New Roman" w:hAnsi="Calibri" w:cs="Calibri"/>
                <w:color w:val="000000"/>
                <w:lang w:eastAsia="en-GB"/>
              </w:rPr>
              <w:t>Borkowf</w:t>
            </w:r>
            <w:r>
              <w:rPr>
                <w:rFonts w:ascii="Calibri" w:eastAsia="Times New Roman" w:hAnsi="Calibri" w:cs="Calibri"/>
                <w:color w:val="000000"/>
                <w:lang w:eastAsia="en-GB"/>
              </w:rPr>
              <w:fldChar w:fldCharType="begin"/>
            </w:r>
            <w:r>
              <w:rPr>
                <w:rFonts w:ascii="Calibri" w:eastAsia="Times New Roman" w:hAnsi="Calibri" w:cs="Calibri"/>
                <w:color w:val="000000"/>
                <w:lang w:eastAsia="en-GB"/>
              </w:rPr>
              <w:instrText xml:space="preserve"> ADDIN EN.CITE &lt;EndNote&gt;&lt;Cite&gt;&lt;Author&gt;Borkowf&lt;/Author&gt;&lt;Year&gt;2006&lt;/Year&gt;&lt;RecNum&gt;22310&lt;/RecNum&gt;&lt;DisplayText&gt;&lt;style face="superscript"&gt;26&lt;/style&gt;&lt;/DisplayText&gt;&lt;record&gt;&lt;rec-number&gt;22310&lt;/rec-number&gt;&lt;foreign-keys&gt;&lt;key app="EN" db-id="z2f5a5pt0222p8esesuv59tow0trtzfpdxaw" timestamp="1521051148"&gt;22310&lt;/key&gt;&lt;/foreign-keys&gt;&lt;ref-type name="Journal Article"&gt;17&lt;/ref-type&gt;&lt;contributors&gt;&lt;authors&gt;&lt;author&gt;Borkowf, C. B.&lt;/author&gt;&lt;/authors&gt;&lt;/contributors&gt;&lt;auth-address&gt;Borkowf, Craig B. Centers for Disease Control and Prevention, National Center for HIV, STD, and TB Prevention NCHSTP, Division of HIV/AIDS Prevention-Surveillance and Epidemiology, Quantitative Sciences and Informatics Branch, Atlanta, GA 30333, USA. CBorkowf@cdc.gov&lt;/auth-address&gt;&lt;titles&gt;&lt;title&gt;Constructing binomial confidence intervals with near nominal coverage by adding a single imaginary failure or success&lt;/title&gt;&lt;secondary-title&gt;Statistics in Medicine&lt;/secondary-title&gt;&lt;/titles&gt;&lt;periodical&gt;&lt;full-title&gt;Statistics in Medicine&lt;/full-title&gt;&lt;/periodical&gt;&lt;pages&gt;3679-95&lt;/pages&gt;&lt;volume&gt;25&lt;/volume&gt;&lt;number&gt;21&lt;/number&gt;&lt;dates&gt;&lt;year&gt;2006&lt;/year&gt;&lt;/dates&gt;&lt;accession-num&gt;16381080&lt;/accession-num&gt;&lt;urls&gt;&lt;related-urls&gt;&lt;url&gt;http://ovidsp.ovid.com/ovidweb.cgi?T=JS&amp;amp;CSC=Y&amp;amp;NEWS=N&amp;amp;PAGE=fulltext&amp;amp;D=med5&amp;amp;AN=16381080&lt;/url&gt;&lt;/related-urls&gt;&lt;/urls&gt;&lt;remote-database-name&gt;MEDLINE&lt;/remote-database-name&gt;&lt;remote-database-provider&gt;Ovid Technologies&lt;/remote-database-provider&gt;&lt;/record&gt;&lt;/Cite&gt;&lt;/EndNote&gt;</w:instrText>
            </w:r>
            <w:r>
              <w:rPr>
                <w:rFonts w:ascii="Calibri" w:eastAsia="Times New Roman" w:hAnsi="Calibri" w:cs="Calibri"/>
                <w:color w:val="000000"/>
                <w:lang w:eastAsia="en-GB"/>
              </w:rPr>
              <w:fldChar w:fldCharType="separate"/>
            </w:r>
            <w:r w:rsidRPr="005550A8">
              <w:rPr>
                <w:rFonts w:ascii="Calibri" w:eastAsia="Times New Roman" w:hAnsi="Calibri" w:cs="Calibri"/>
                <w:noProof/>
                <w:color w:val="000000"/>
                <w:vertAlign w:val="superscript"/>
                <w:lang w:eastAsia="en-GB"/>
              </w:rPr>
              <w:t>26</w:t>
            </w:r>
            <w:r>
              <w:rPr>
                <w:rFonts w:ascii="Calibri" w:eastAsia="Times New Roman" w:hAnsi="Calibri" w:cs="Calibri"/>
                <w:color w:val="000000"/>
                <w:lang w:eastAsia="en-GB"/>
              </w:rPr>
              <w:fldChar w:fldCharType="end"/>
            </w:r>
          </w:p>
        </w:tc>
        <w:tc>
          <w:tcPr>
            <w:tcW w:w="6379" w:type="dxa"/>
            <w:tcBorders>
              <w:top w:val="nil"/>
              <w:left w:val="nil"/>
              <w:bottom w:val="single" w:sz="4" w:space="0" w:color="auto"/>
              <w:right w:val="single" w:sz="4" w:space="0" w:color="auto"/>
            </w:tcBorders>
            <w:shd w:val="clear" w:color="auto" w:fill="auto"/>
            <w:vAlign w:val="bottom"/>
            <w:hideMark/>
          </w:tcPr>
          <w:p w14:paraId="4050372D"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 xml:space="preserve">Alternative to the </w:t>
            </w:r>
            <w:proofErr w:type="spellStart"/>
            <w:r w:rsidRPr="00A512E7">
              <w:rPr>
                <w:rFonts w:ascii="Calibri" w:eastAsia="Times New Roman" w:hAnsi="Calibri" w:cs="Calibri"/>
                <w:color w:val="000000"/>
                <w:lang w:eastAsia="en-GB"/>
              </w:rPr>
              <w:t>Clopper</w:t>
            </w:r>
            <w:proofErr w:type="spellEnd"/>
            <w:r w:rsidRPr="00A512E7">
              <w:rPr>
                <w:rFonts w:ascii="Calibri" w:eastAsia="Times New Roman" w:hAnsi="Calibri" w:cs="Calibri"/>
                <w:color w:val="000000"/>
                <w:lang w:eastAsia="en-GB"/>
              </w:rPr>
              <w:t>-Pearson CI for proportions</w:t>
            </w:r>
          </w:p>
        </w:tc>
      </w:tr>
      <w:tr w:rsidR="00E37363" w:rsidRPr="00A512E7" w14:paraId="37702774" w14:textId="77777777" w:rsidTr="00B45076">
        <w:trPr>
          <w:trHeight w:val="411"/>
        </w:trPr>
        <w:tc>
          <w:tcPr>
            <w:tcW w:w="1218" w:type="dxa"/>
            <w:vMerge/>
            <w:tcBorders>
              <w:left w:val="single" w:sz="4" w:space="0" w:color="auto"/>
              <w:right w:val="single" w:sz="4" w:space="0" w:color="auto"/>
            </w:tcBorders>
            <w:shd w:val="clear" w:color="auto" w:fill="auto"/>
            <w:noWrap/>
            <w:vAlign w:val="center"/>
          </w:tcPr>
          <w:p w14:paraId="1C8A60DE"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p>
        </w:tc>
        <w:tc>
          <w:tcPr>
            <w:tcW w:w="1612" w:type="dxa"/>
            <w:tcBorders>
              <w:top w:val="nil"/>
              <w:left w:val="nil"/>
              <w:bottom w:val="single" w:sz="4" w:space="0" w:color="auto"/>
              <w:right w:val="single" w:sz="4" w:space="0" w:color="auto"/>
            </w:tcBorders>
            <w:shd w:val="clear" w:color="auto" w:fill="auto"/>
            <w:noWrap/>
            <w:vAlign w:val="bottom"/>
          </w:tcPr>
          <w:p w14:paraId="03B2DB20" w14:textId="77777777" w:rsidR="00E37363" w:rsidRPr="00A512E7"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Binary</w:t>
            </w:r>
          </w:p>
        </w:tc>
        <w:tc>
          <w:tcPr>
            <w:tcW w:w="2977" w:type="dxa"/>
            <w:tcBorders>
              <w:top w:val="nil"/>
              <w:left w:val="nil"/>
              <w:bottom w:val="single" w:sz="4" w:space="0" w:color="auto"/>
              <w:right w:val="single" w:sz="4" w:space="0" w:color="auto"/>
            </w:tcBorders>
            <w:shd w:val="clear" w:color="auto" w:fill="auto"/>
            <w:noWrap/>
            <w:vAlign w:val="bottom"/>
          </w:tcPr>
          <w:p w14:paraId="7F8D101F" w14:textId="77777777" w:rsidR="00E37363" w:rsidRPr="00A512E7"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Mean cumulative function </w:t>
            </w:r>
          </w:p>
        </w:tc>
        <w:tc>
          <w:tcPr>
            <w:tcW w:w="2410" w:type="dxa"/>
            <w:tcBorders>
              <w:top w:val="nil"/>
              <w:left w:val="nil"/>
              <w:bottom w:val="single" w:sz="4" w:space="0" w:color="auto"/>
              <w:right w:val="single" w:sz="4" w:space="0" w:color="auto"/>
            </w:tcBorders>
            <w:shd w:val="clear" w:color="auto" w:fill="auto"/>
            <w:noWrap/>
            <w:vAlign w:val="bottom"/>
          </w:tcPr>
          <w:p w14:paraId="61B069A0" w14:textId="77777777" w:rsidR="00E37363" w:rsidRPr="00027D47"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Siddiqui</w:t>
            </w:r>
            <w:r>
              <w:rPr>
                <w:rFonts w:ascii="Calibri" w:eastAsia="Times New Roman" w:hAnsi="Calibri" w:cs="Calibri"/>
                <w:color w:val="000000"/>
                <w:lang w:eastAsia="en-GB"/>
              </w:rPr>
              <w:fldChar w:fldCharType="begin">
                <w:fldData xml:space="preserve">PEVuZE5vdGU+PENpdGU+PEF1dGhvcj5TaWRkaXF1aTwvQXV0aG9yPjxZZWFyPjIwMDk8L1llYXI+
PFJlY051bT41NDM3PC9SZWNOdW0+PERpc3BsYXlUZXh0PjxzdHlsZSBmYWNlPSJzdXBlcnNjcmlw
dCI+Mjc8L3N0eWxlPjwvRGlzcGxheVRleHQ+PHJlY29yZD48cmVjLW51bWJlcj41NDM3PC9yZWMt
bnVtYmVyPjxmb3JlaWduLWtleXM+PGtleSBhcHA9IkVOIiBkYi1pZD0iejJmNWE1cHQwMjIycDhl
c2VzdXY1OXRvdzB0cnR6ZnBkeGF3IiB0aW1lc3RhbXA9IjE1MTgxOTY0MjMiPjU0Mzc8L2tleT48
L2ZvcmVpZ24ta2V5cz48cmVmLXR5cGUgbmFtZT0iSm91cm5hbCBBcnRpY2xlIj4xNzwvcmVmLXR5
cGU+PGNvbnRyaWJ1dG9ycz48YXV0aG9ycz48YXV0aG9yPlNpZGRpcXVpLCBPLjwvYXV0aG9yPjwv
YXV0aG9ycz48L2NvbnRyaWJ1dG9ycz48YXV0aC1hZGRyZXNzPihTaWRkaXF1aSkgT2ZmaWNlIG9m
IEJpb3N0YXRpc3RpY3MsIE9mZmljZSBvZiBUcmFuc2xhdGlvbmFsIFNjaWVuY2VzLCBDZW50ZXIg
Zm9yIERydWcgRXZhbHVhdGlvbiBhbmQgUmVzZWFyY2gsIEZvb2QgYW5kIERydWcgQWRtaW5pc3Ry
YXRpb24sIFNpbHZlciBTcHJpbmcsIE1ELCBVbml0ZWQgU3RhdGVzJiN4RDtPLiBTaWRkaXF1aSwg
Rm9vZCBhbmQgRHJ1ZyBBZG1pbmlzdHJhdGlvbiwgMTA5MDMgTmV3IEhhbXBzaGlyZSBBdmVudWUs
IFNpbHZlciBTcHJpbmcsIE1EIDIwOTkzLCBVbml0ZWQgU3RhdGVzLiBFLW1haWw6IG9oaWR1bC5z
aWRkaXF1aUBmZGEuaGhzLmdvdjwvYXV0aC1hZGRyZXNzPjx0aXRsZXM+PHRpdGxlPlN0YXRpc3Rp
Y2FsIG1ldGhvZHMgdG8gYW5hbHl6ZSBhZHZlcnNlIGV2ZW50cyBkYXRhIG9mIHJhbmRvbWl6ZWQg
Y2xpbmljYWwgdHJpYWxzPC90aXRsZT48c2Vjb25kYXJ5LXRpdGxlPkpvdXJuYWwgb2YgQmlvcGhh
cm1hY2V1dGljYWwgU3RhdGlzdGljczwvc2Vjb25kYXJ5LXRpdGxlPjwvdGl0bGVzPjxwZXJpb2Rp
Y2FsPjxmdWxsLXRpdGxlPkpvdXJuYWwgb2YgQmlvcGhhcm1hY2V1dGljYWwgU3RhdGlzdGljczwv
ZnVsbC10aXRsZT48L3BlcmlvZGljYWw+PHBhZ2VzPjg4OS04OTk8L3BhZ2VzPjx2b2x1bWU+MTk8
L3ZvbHVtZT48bnVtYmVyPjU8L251bWJlcj48a2V5d29yZHM+PGtleXdvcmQ+QWR2ZXJzZSBldmVu
dHM8L2tleXdvcmQ+PGtleXdvcmQ+QUVzPC9rZXl3b3JkPjxrZXl3b3JkPkdlbmRlcjwva2V5d29y
ZD48a2V5d29yZD5pc3M8L2tleXdvcmQ+PGtleXdvcmQ+bWNmPC9rZXl3b3JkPjxrZXl3b3JkPmFk
dmVyc2UgZHJ1ZyByZWFjdGlvbjwva2V5d29yZD48a2V5d29yZD5hcnRpY2xlPC9rZXl3b3JkPjxr
ZXl3b3JkPmNhcmRpb3Zhc2N1bGFyIGRpc2Vhc2U8L2tleXdvcmQ+PGtleXdvcmQ+ZGF0YSBhbmFs
eXNpczwva2V5d29yZD48a2V5d29yZD5kcnVnIHNhZmV0eTwva2V5d29yZD48a2V5d29yZD5leHBv
c3VyZTwva2V5d29yZD48a2V5d29yZD5mb29kIGFuZCBkcnVnIGFkbWluaXN0cmF0aW9uPC9rZXl3
b3JkPjxrZXl3b3JkPmluY2lkZW5jZTwva2V5d29yZD48a2V5d29yZD5ub25wYXJhbWV0cmljIHRl
c3Q8L2tleXdvcmQ+PGtleXdvcmQ+cHJpb3JpdHkgam91cm5hbDwva2V5d29yZD48a2V5d29yZD5y
YW5kb21pemVkIGNvbnRyb2xsZWQgdHJpYWw8L2tleXdvcmQ+PGtleXdvcmQ+c3RhdGlzdGljYWwg
bW9kZWw8L2tleXdvcmQ+PGtleXdvcmQ+c3RhdGlzdGljczwva2V5d29yZD48a2V5d29yZD5wbGFj
ZWJvPC9rZXl3b3JkPjxrZXl3b3JkPm1lYW4gY3VtdWxhdGl2ZSBmdW5jdGlvbjwva2V5d29yZD48
L2tleXdvcmRzPjxkYXRlcz48eWVhcj4yMDA5PC95ZWFyPjxwdWItZGF0ZXM+PGRhdGU+U2VwdGVt
YmVyPC9kYXRlPjwvcHViLWRhdGVzPjwvZGF0ZXM+PGlzYm4+MTA1NC0zNDA2JiN4RDsxNTIwLTU3
MTE8L2lzYm4+PGFjY2Vzc2lvbi1udW0+MzU4MTczNjQ2PC9hY2Nlc3Npb24tbnVtPjx1cmxzPjxy
ZWxhdGVkLXVybHM+PHVybD5odHRwOi8vb3ZpZHNwLm92aWQuY29tL292aWR3ZWIuY2dpP1Q9SlMm
YW1wO0NTQz1ZJmFtcDtORVdTPU4mYW1wO1BBR0U9ZnVsbHRleHQmYW1wO0Q9ZW1lZDEyJmFtcDtB
Tj0zNTgxNzM2NDY8L3VybD48L3JlbGF0ZWQtdXJscz48L3VybHM+PGVsZWN0cm9uaWMtcmVzb3Vy
Y2UtbnVtPmh0dHA6Ly9keC5kb2kub3JnLzEwLjEwODAvMTA1NDM0MDA5MDMxMDU0NjM8L2VsZWN0
cm9uaWMtcmVzb3VyY2UtbnVtPjxyZW1vdGUtZGF0YWJhc2UtbmFtZT5FbWJhc2U8L3JlbW90ZS1k
YXRhYmFzZS1uYW1lPjxyZW1vdGUtZGF0YWJhc2UtcHJvdmlkZXI+T3ZpZCBUZWNobm9sb2dpZXM8
L3JlbW90ZS1kYXRhYmFzZS1wcm92aWRlcj48bGFuZ3VhZ2U+RW5nbGlzaDwvbGFuZ3VhZ2U+PC9y
ZWNvcmQ+PC9DaXRlPjwvRW5kTm90ZT5=
</w:fldData>
              </w:fldChar>
            </w:r>
            <w:r>
              <w:rPr>
                <w:rFonts w:ascii="Calibri" w:eastAsia="Times New Roman" w:hAnsi="Calibri" w:cs="Calibri"/>
                <w:color w:val="000000"/>
                <w:lang w:eastAsia="en-GB"/>
              </w:rPr>
              <w:instrText xml:space="preserve"> ADDIN EN.CITE </w:instrText>
            </w:r>
            <w:r>
              <w:rPr>
                <w:rFonts w:ascii="Calibri" w:eastAsia="Times New Roman" w:hAnsi="Calibri" w:cs="Calibri"/>
                <w:color w:val="000000"/>
                <w:lang w:eastAsia="en-GB"/>
              </w:rPr>
              <w:fldChar w:fldCharType="begin">
                <w:fldData xml:space="preserve">PEVuZE5vdGU+PENpdGU+PEF1dGhvcj5TaWRkaXF1aTwvQXV0aG9yPjxZZWFyPjIwMDk8L1llYXI+
PFJlY051bT41NDM3PC9SZWNOdW0+PERpc3BsYXlUZXh0PjxzdHlsZSBmYWNlPSJzdXBlcnNjcmlw
dCI+Mjc8L3N0eWxlPjwvRGlzcGxheVRleHQ+PHJlY29yZD48cmVjLW51bWJlcj41NDM3PC9yZWMt
bnVtYmVyPjxmb3JlaWduLWtleXM+PGtleSBhcHA9IkVOIiBkYi1pZD0iejJmNWE1cHQwMjIycDhl
c2VzdXY1OXRvdzB0cnR6ZnBkeGF3IiB0aW1lc3RhbXA9IjE1MTgxOTY0MjMiPjU0Mzc8L2tleT48
L2ZvcmVpZ24ta2V5cz48cmVmLXR5cGUgbmFtZT0iSm91cm5hbCBBcnRpY2xlIj4xNzwvcmVmLXR5
cGU+PGNvbnRyaWJ1dG9ycz48YXV0aG9ycz48YXV0aG9yPlNpZGRpcXVpLCBPLjwvYXV0aG9yPjwv
YXV0aG9ycz48L2NvbnRyaWJ1dG9ycz48YXV0aC1hZGRyZXNzPihTaWRkaXF1aSkgT2ZmaWNlIG9m
IEJpb3N0YXRpc3RpY3MsIE9mZmljZSBvZiBUcmFuc2xhdGlvbmFsIFNjaWVuY2VzLCBDZW50ZXIg
Zm9yIERydWcgRXZhbHVhdGlvbiBhbmQgUmVzZWFyY2gsIEZvb2QgYW5kIERydWcgQWRtaW5pc3Ry
YXRpb24sIFNpbHZlciBTcHJpbmcsIE1ELCBVbml0ZWQgU3RhdGVzJiN4RDtPLiBTaWRkaXF1aSwg
Rm9vZCBhbmQgRHJ1ZyBBZG1pbmlzdHJhdGlvbiwgMTA5MDMgTmV3IEhhbXBzaGlyZSBBdmVudWUs
IFNpbHZlciBTcHJpbmcsIE1EIDIwOTkzLCBVbml0ZWQgU3RhdGVzLiBFLW1haWw6IG9oaWR1bC5z
aWRkaXF1aUBmZGEuaGhzLmdvdjwvYXV0aC1hZGRyZXNzPjx0aXRsZXM+PHRpdGxlPlN0YXRpc3Rp
Y2FsIG1ldGhvZHMgdG8gYW5hbHl6ZSBhZHZlcnNlIGV2ZW50cyBkYXRhIG9mIHJhbmRvbWl6ZWQg
Y2xpbmljYWwgdHJpYWxzPC90aXRsZT48c2Vjb25kYXJ5LXRpdGxlPkpvdXJuYWwgb2YgQmlvcGhh
cm1hY2V1dGljYWwgU3RhdGlzdGljczwvc2Vjb25kYXJ5LXRpdGxlPjwvdGl0bGVzPjxwZXJpb2Rp
Y2FsPjxmdWxsLXRpdGxlPkpvdXJuYWwgb2YgQmlvcGhhcm1hY2V1dGljYWwgU3RhdGlzdGljczwv
ZnVsbC10aXRsZT48L3BlcmlvZGljYWw+PHBhZ2VzPjg4OS04OTk8L3BhZ2VzPjx2b2x1bWU+MTk8
L3ZvbHVtZT48bnVtYmVyPjU8L251bWJlcj48a2V5d29yZHM+PGtleXdvcmQ+QWR2ZXJzZSBldmVu
dHM8L2tleXdvcmQ+PGtleXdvcmQ+QUVzPC9rZXl3b3JkPjxrZXl3b3JkPkdlbmRlcjwva2V5d29y
ZD48a2V5d29yZD5pc3M8L2tleXdvcmQ+PGtleXdvcmQ+bWNmPC9rZXl3b3JkPjxrZXl3b3JkPmFk
dmVyc2UgZHJ1ZyByZWFjdGlvbjwva2V5d29yZD48a2V5d29yZD5hcnRpY2xlPC9rZXl3b3JkPjxr
ZXl3b3JkPmNhcmRpb3Zhc2N1bGFyIGRpc2Vhc2U8L2tleXdvcmQ+PGtleXdvcmQ+ZGF0YSBhbmFs
eXNpczwva2V5d29yZD48a2V5d29yZD5kcnVnIHNhZmV0eTwva2V5d29yZD48a2V5d29yZD5leHBv
c3VyZTwva2V5d29yZD48a2V5d29yZD5mb29kIGFuZCBkcnVnIGFkbWluaXN0cmF0aW9uPC9rZXl3
b3JkPjxrZXl3b3JkPmluY2lkZW5jZTwva2V5d29yZD48a2V5d29yZD5ub25wYXJhbWV0cmljIHRl
c3Q8L2tleXdvcmQ+PGtleXdvcmQ+cHJpb3JpdHkgam91cm5hbDwva2V5d29yZD48a2V5d29yZD5y
YW5kb21pemVkIGNvbnRyb2xsZWQgdHJpYWw8L2tleXdvcmQ+PGtleXdvcmQ+c3RhdGlzdGljYWwg
bW9kZWw8L2tleXdvcmQ+PGtleXdvcmQ+c3RhdGlzdGljczwva2V5d29yZD48a2V5d29yZD5wbGFj
ZWJvPC9rZXl3b3JkPjxrZXl3b3JkPm1lYW4gY3VtdWxhdGl2ZSBmdW5jdGlvbjwva2V5d29yZD48
L2tleXdvcmRzPjxkYXRlcz48eWVhcj4yMDA5PC95ZWFyPjxwdWItZGF0ZXM+PGRhdGU+U2VwdGVt
YmVyPC9kYXRlPjwvcHViLWRhdGVzPjwvZGF0ZXM+PGlzYm4+MTA1NC0zNDA2JiN4RDsxNTIwLTU3
MTE8L2lzYm4+PGFjY2Vzc2lvbi1udW0+MzU4MTczNjQ2PC9hY2Nlc3Npb24tbnVtPjx1cmxzPjxy
ZWxhdGVkLXVybHM+PHVybD5odHRwOi8vb3ZpZHNwLm92aWQuY29tL292aWR3ZWIuY2dpP1Q9SlMm
YW1wO0NTQz1ZJmFtcDtORVdTPU4mYW1wO1BBR0U9ZnVsbHRleHQmYW1wO0Q9ZW1lZDEyJmFtcDtB
Tj0zNTgxNzM2NDY8L3VybD48L3JlbGF0ZWQtdXJscz48L3VybHM+PGVsZWN0cm9uaWMtcmVzb3Vy
Y2UtbnVtPmh0dHA6Ly9keC5kb2kub3JnLzEwLjEwODAvMTA1NDM0MDA5MDMxMDU0NjM8L2VsZWN0
cm9uaWMtcmVzb3VyY2UtbnVtPjxyZW1vdGUtZGF0YWJhc2UtbmFtZT5FbWJhc2U8L3JlbW90ZS1k
YXRhYmFzZS1uYW1lPjxyZW1vdGUtZGF0YWJhc2UtcHJvdmlkZXI+T3ZpZCBUZWNobm9sb2dpZXM8
L3JlbW90ZS1kYXRhYmFzZS1wcm92aWRlcj48bGFuZ3VhZ2U+RW5nbGlzaDwvbGFuZ3VhZ2U+PC9y
ZWNvcmQ+PC9DaXRlPjwvRW5kTm90ZT5=
</w:fldData>
              </w:fldChar>
            </w:r>
            <w:r>
              <w:rPr>
                <w:rFonts w:ascii="Calibri" w:eastAsia="Times New Roman" w:hAnsi="Calibri" w:cs="Calibri"/>
                <w:color w:val="000000"/>
                <w:lang w:eastAsia="en-GB"/>
              </w:rPr>
              <w:instrText xml:space="preserve"> ADDIN EN.CITE.DATA </w:instrText>
            </w:r>
            <w:r>
              <w:rPr>
                <w:rFonts w:ascii="Calibri" w:eastAsia="Times New Roman" w:hAnsi="Calibri" w:cs="Calibri"/>
                <w:color w:val="000000"/>
                <w:lang w:eastAsia="en-GB"/>
              </w:rPr>
            </w:r>
            <w:r>
              <w:rPr>
                <w:rFonts w:ascii="Calibri" w:eastAsia="Times New Roman" w:hAnsi="Calibri" w:cs="Calibri"/>
                <w:color w:val="000000"/>
                <w:lang w:eastAsia="en-GB"/>
              </w:rPr>
              <w:fldChar w:fldCharType="end"/>
            </w:r>
            <w:r>
              <w:rPr>
                <w:rFonts w:ascii="Calibri" w:eastAsia="Times New Roman" w:hAnsi="Calibri" w:cs="Calibri"/>
                <w:color w:val="000000"/>
                <w:lang w:eastAsia="en-GB"/>
              </w:rPr>
            </w:r>
            <w:r>
              <w:rPr>
                <w:rFonts w:ascii="Calibri" w:eastAsia="Times New Roman" w:hAnsi="Calibri" w:cs="Calibri"/>
                <w:color w:val="000000"/>
                <w:lang w:eastAsia="en-GB"/>
              </w:rPr>
              <w:fldChar w:fldCharType="separate"/>
            </w:r>
            <w:r w:rsidRPr="005550A8">
              <w:rPr>
                <w:rFonts w:ascii="Calibri" w:eastAsia="Times New Roman" w:hAnsi="Calibri" w:cs="Calibri"/>
                <w:noProof/>
                <w:color w:val="000000"/>
                <w:vertAlign w:val="superscript"/>
                <w:lang w:eastAsia="en-GB"/>
              </w:rPr>
              <w:t>27</w:t>
            </w:r>
            <w:r>
              <w:rPr>
                <w:rFonts w:ascii="Calibri" w:eastAsia="Times New Roman" w:hAnsi="Calibri" w:cs="Calibri"/>
                <w:color w:val="000000"/>
                <w:lang w:eastAsia="en-GB"/>
              </w:rPr>
              <w:fldChar w:fldCharType="end"/>
            </w:r>
          </w:p>
        </w:tc>
        <w:tc>
          <w:tcPr>
            <w:tcW w:w="6379" w:type="dxa"/>
            <w:tcBorders>
              <w:top w:val="nil"/>
              <w:left w:val="nil"/>
              <w:bottom w:val="single" w:sz="4" w:space="0" w:color="auto"/>
              <w:right w:val="single" w:sz="4" w:space="0" w:color="auto"/>
            </w:tcBorders>
            <w:shd w:val="clear" w:color="auto" w:fill="auto"/>
            <w:vAlign w:val="bottom"/>
          </w:tcPr>
          <w:p w14:paraId="47D0FC69"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Non-paramet</w:t>
            </w:r>
            <w:r>
              <w:rPr>
                <w:rFonts w:ascii="Calibri" w:eastAsia="Times New Roman" w:hAnsi="Calibri" w:cs="Calibri"/>
                <w:color w:val="000000"/>
                <w:lang w:eastAsia="en-GB"/>
              </w:rPr>
              <w:t>ric estimate of mean cumulative</w:t>
            </w:r>
            <w:r w:rsidRPr="00A512E7">
              <w:rPr>
                <w:rFonts w:ascii="Calibri" w:eastAsia="Times New Roman" w:hAnsi="Calibri" w:cs="Calibri"/>
                <w:color w:val="000000"/>
                <w:lang w:eastAsia="en-GB"/>
              </w:rPr>
              <w:t xml:space="preserve"> number of recurrent events</w:t>
            </w:r>
          </w:p>
        </w:tc>
      </w:tr>
      <w:tr w:rsidR="00E37363" w:rsidRPr="00A512E7" w14:paraId="4239E521" w14:textId="77777777" w:rsidTr="00B45076">
        <w:trPr>
          <w:trHeight w:val="411"/>
        </w:trPr>
        <w:tc>
          <w:tcPr>
            <w:tcW w:w="1218" w:type="dxa"/>
            <w:vMerge/>
            <w:tcBorders>
              <w:left w:val="single" w:sz="4" w:space="0" w:color="auto"/>
              <w:right w:val="single" w:sz="4" w:space="0" w:color="auto"/>
            </w:tcBorders>
            <w:shd w:val="clear" w:color="auto" w:fill="auto"/>
            <w:noWrap/>
            <w:vAlign w:val="center"/>
            <w:hideMark/>
          </w:tcPr>
          <w:p w14:paraId="64A668C7"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p>
        </w:tc>
        <w:tc>
          <w:tcPr>
            <w:tcW w:w="1612" w:type="dxa"/>
            <w:tcBorders>
              <w:top w:val="nil"/>
              <w:left w:val="nil"/>
              <w:bottom w:val="single" w:sz="4" w:space="0" w:color="auto"/>
              <w:right w:val="single" w:sz="4" w:space="0" w:color="auto"/>
            </w:tcBorders>
            <w:shd w:val="clear" w:color="auto" w:fill="auto"/>
            <w:noWrap/>
            <w:vAlign w:val="bottom"/>
            <w:hideMark/>
          </w:tcPr>
          <w:p w14:paraId="5F0E79C0"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Binary</w:t>
            </w:r>
          </w:p>
        </w:tc>
        <w:tc>
          <w:tcPr>
            <w:tcW w:w="2977" w:type="dxa"/>
            <w:tcBorders>
              <w:top w:val="nil"/>
              <w:left w:val="nil"/>
              <w:bottom w:val="single" w:sz="4" w:space="0" w:color="auto"/>
              <w:right w:val="single" w:sz="4" w:space="0" w:color="auto"/>
            </w:tcBorders>
            <w:shd w:val="clear" w:color="auto" w:fill="auto"/>
            <w:noWrap/>
            <w:vAlign w:val="bottom"/>
            <w:hideMark/>
          </w:tcPr>
          <w:p w14:paraId="4961A453"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Prevalence</w:t>
            </w:r>
          </w:p>
        </w:tc>
        <w:tc>
          <w:tcPr>
            <w:tcW w:w="2410" w:type="dxa"/>
            <w:tcBorders>
              <w:top w:val="nil"/>
              <w:left w:val="nil"/>
              <w:bottom w:val="single" w:sz="4" w:space="0" w:color="auto"/>
              <w:right w:val="single" w:sz="4" w:space="0" w:color="auto"/>
            </w:tcBorders>
            <w:shd w:val="clear" w:color="auto" w:fill="auto"/>
            <w:noWrap/>
            <w:vAlign w:val="bottom"/>
            <w:hideMark/>
          </w:tcPr>
          <w:p w14:paraId="41E9DB5E" w14:textId="77777777" w:rsidR="00E37363" w:rsidRPr="00027D47" w:rsidRDefault="00E37363" w:rsidP="00B45076">
            <w:pPr>
              <w:spacing w:after="0" w:line="240" w:lineRule="auto"/>
              <w:rPr>
                <w:rFonts w:ascii="Calibri" w:eastAsia="Times New Roman" w:hAnsi="Calibri" w:cs="Calibri"/>
                <w:color w:val="000000"/>
                <w:lang w:eastAsia="en-GB"/>
              </w:rPr>
            </w:pPr>
            <w:proofErr w:type="spellStart"/>
            <w:r w:rsidRPr="00027D47">
              <w:rPr>
                <w:rFonts w:ascii="Calibri" w:eastAsia="Times New Roman" w:hAnsi="Calibri" w:cs="Calibri"/>
                <w:color w:val="000000"/>
                <w:lang w:eastAsia="en-GB"/>
              </w:rPr>
              <w:t>Lancar</w:t>
            </w:r>
            <w:proofErr w:type="spellEnd"/>
            <w:r w:rsidRPr="00027D47">
              <w:rPr>
                <w:rFonts w:ascii="Calibri" w:eastAsia="Times New Roman" w:hAnsi="Calibri" w:cs="Calibri"/>
                <w:color w:val="000000"/>
                <w:lang w:eastAsia="en-GB"/>
              </w:rPr>
              <w:t xml:space="preserve">, </w:t>
            </w:r>
            <w:proofErr w:type="spellStart"/>
            <w:r w:rsidRPr="00027D47">
              <w:rPr>
                <w:rFonts w:cstheme="minorHAnsi"/>
              </w:rPr>
              <w:t>Kramar</w:t>
            </w:r>
            <w:proofErr w:type="spellEnd"/>
            <w:r w:rsidRPr="00027D47">
              <w:rPr>
                <w:rFonts w:cstheme="minorHAnsi"/>
              </w:rPr>
              <w:t xml:space="preserve"> &amp; Haie-Meder</w:t>
            </w:r>
            <w:r>
              <w:rPr>
                <w:rFonts w:cstheme="minorHAnsi"/>
              </w:rPr>
              <w:fldChar w:fldCharType="begin"/>
            </w:r>
            <w:r>
              <w:rPr>
                <w:rFonts w:cstheme="minorHAnsi"/>
              </w:rPr>
              <w:instrText xml:space="preserve"> ADDIN EN.CITE &lt;EndNote&gt;&lt;Cite&gt;&lt;Author&gt;Lancar&lt;/Author&gt;&lt;Year&gt;1995&lt;/Year&gt;&lt;RecNum&gt;22689&lt;/RecNum&gt;&lt;DisplayText&gt;&lt;style face="superscript"&gt;28&lt;/style&gt;&lt;/DisplayText&gt;&lt;record&gt;&lt;rec-number&gt;22689&lt;/rec-number&gt;&lt;foreign-keys&gt;&lt;key app="EN" db-id="z2f5a5pt0222p8esesuv59tow0trtzfpdxaw" timestamp="1521051152"&gt;22689&lt;/key&gt;&lt;/foreign-keys&gt;&lt;ref-type name="Journal Article"&gt;17&lt;/ref-type&gt;&lt;contributors&gt;&lt;authors&gt;&lt;author&gt;Lancar, R.&lt;/author&gt;&lt;author&gt;Kramar, A.&lt;/author&gt;&lt;author&gt;Haie-Meder, C.&lt;/author&gt;&lt;/authors&gt;&lt;/contributors&gt;&lt;auth-address&gt;Lancar, R. Departement de Biostatistiques et d&amp;apos;Epidemiologie, Institut Gustave Roussy, Villejuif, France.&lt;/auth-address&gt;&lt;titles&gt;&lt;title&gt;Non-parametric methods for analysing recurrent complications of varying severity&lt;/title&gt;&lt;secondary-title&gt;Statistics in Medicine&lt;/secondary-title&gt;&lt;/titles&gt;&lt;periodical&gt;&lt;full-title&gt;Statistics in Medicine&lt;/full-title&gt;&lt;/periodical&gt;&lt;pages&gt;2701-12&lt;/pages&gt;&lt;volume&gt;14&lt;/volume&gt;&lt;number&gt;24&lt;/number&gt;&lt;dates&gt;&lt;year&gt;1995&lt;/year&gt;&lt;/dates&gt;&lt;accession-num&gt;8619109&lt;/accession-num&gt;&lt;work-type&gt;Clinical Trial&amp;#xD;Randomized Controlled Trial&lt;/work-type&gt;&lt;urls&gt;&lt;related-urls&gt;&lt;url&gt;http://ovidsp.ovid.com/ovidweb.cgi?T=JS&amp;amp;CSC=Y&amp;amp;NEWS=N&amp;amp;PAGE=fulltext&amp;amp;D=med3&amp;amp;AN=8619109&lt;/url&gt;&lt;/related-urls&gt;&lt;/urls&gt;&lt;remote-database-name&gt;MEDLINE&lt;/remote-database-name&gt;&lt;remote-database-provider&gt;Ovid Technologies&lt;/remote-database-provider&gt;&lt;/record&gt;&lt;/Cite&gt;&lt;/EndNote&gt;</w:instrText>
            </w:r>
            <w:r>
              <w:rPr>
                <w:rFonts w:cstheme="minorHAnsi"/>
              </w:rPr>
              <w:fldChar w:fldCharType="separate"/>
            </w:r>
            <w:r w:rsidRPr="005550A8">
              <w:rPr>
                <w:rFonts w:cstheme="minorHAnsi"/>
                <w:noProof/>
                <w:vertAlign w:val="superscript"/>
              </w:rPr>
              <w:t>28</w:t>
            </w:r>
            <w:r>
              <w:rPr>
                <w:rFonts w:cstheme="minorHAnsi"/>
              </w:rPr>
              <w:fldChar w:fldCharType="end"/>
            </w:r>
          </w:p>
        </w:tc>
        <w:tc>
          <w:tcPr>
            <w:tcW w:w="6379" w:type="dxa"/>
            <w:tcBorders>
              <w:top w:val="nil"/>
              <w:left w:val="nil"/>
              <w:bottom w:val="single" w:sz="4" w:space="0" w:color="auto"/>
              <w:right w:val="single" w:sz="4" w:space="0" w:color="auto"/>
            </w:tcBorders>
            <w:shd w:val="clear" w:color="auto" w:fill="auto"/>
            <w:vAlign w:val="bottom"/>
            <w:hideMark/>
          </w:tcPr>
          <w:p w14:paraId="43918F79"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Non-parametric estimate of prevalence of event allowing for recurrence</w:t>
            </w:r>
          </w:p>
        </w:tc>
      </w:tr>
      <w:tr w:rsidR="00E37363" w:rsidRPr="00A512E7" w14:paraId="5008463E" w14:textId="77777777" w:rsidTr="00B45076">
        <w:trPr>
          <w:trHeight w:val="574"/>
        </w:trPr>
        <w:tc>
          <w:tcPr>
            <w:tcW w:w="1218" w:type="dxa"/>
            <w:vMerge/>
            <w:tcBorders>
              <w:left w:val="single" w:sz="4" w:space="0" w:color="auto"/>
              <w:right w:val="single" w:sz="4" w:space="0" w:color="auto"/>
            </w:tcBorders>
            <w:shd w:val="clear" w:color="auto" w:fill="auto"/>
            <w:noWrap/>
            <w:vAlign w:val="center"/>
            <w:hideMark/>
          </w:tcPr>
          <w:p w14:paraId="42180A77"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p>
        </w:tc>
        <w:tc>
          <w:tcPr>
            <w:tcW w:w="1612" w:type="dxa"/>
            <w:tcBorders>
              <w:top w:val="nil"/>
              <w:left w:val="nil"/>
              <w:bottom w:val="single" w:sz="4" w:space="0" w:color="auto"/>
              <w:right w:val="single" w:sz="4" w:space="0" w:color="auto"/>
            </w:tcBorders>
            <w:shd w:val="clear" w:color="auto" w:fill="auto"/>
            <w:noWrap/>
            <w:vAlign w:val="bottom"/>
            <w:hideMark/>
          </w:tcPr>
          <w:p w14:paraId="2F564B27"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Binary</w:t>
            </w:r>
          </w:p>
        </w:tc>
        <w:tc>
          <w:tcPr>
            <w:tcW w:w="2977" w:type="dxa"/>
            <w:tcBorders>
              <w:top w:val="nil"/>
              <w:left w:val="nil"/>
              <w:bottom w:val="single" w:sz="4" w:space="0" w:color="auto"/>
              <w:right w:val="single" w:sz="4" w:space="0" w:color="auto"/>
            </w:tcBorders>
            <w:shd w:val="clear" w:color="auto" w:fill="auto"/>
            <w:noWrap/>
            <w:vAlign w:val="bottom"/>
            <w:hideMark/>
          </w:tcPr>
          <w:p w14:paraId="1C8DDB6E"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Mean frequency function</w:t>
            </w:r>
          </w:p>
        </w:tc>
        <w:tc>
          <w:tcPr>
            <w:tcW w:w="2410" w:type="dxa"/>
            <w:tcBorders>
              <w:top w:val="nil"/>
              <w:left w:val="nil"/>
              <w:bottom w:val="single" w:sz="4" w:space="0" w:color="auto"/>
              <w:right w:val="single" w:sz="4" w:space="0" w:color="auto"/>
            </w:tcBorders>
            <w:shd w:val="clear" w:color="auto" w:fill="auto"/>
            <w:noWrap/>
            <w:vAlign w:val="bottom"/>
            <w:hideMark/>
          </w:tcPr>
          <w:p w14:paraId="0927D0A6"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Gong</w:t>
            </w:r>
            <w:r w:rsidRPr="005A22E3">
              <w:rPr>
                <w:rFonts w:cstheme="minorHAnsi"/>
                <w:sz w:val="20"/>
                <w:szCs w:val="20"/>
              </w:rPr>
              <w:t xml:space="preserve">, </w:t>
            </w:r>
            <w:r w:rsidRPr="00027D47">
              <w:rPr>
                <w:rFonts w:cstheme="minorHAnsi"/>
              </w:rPr>
              <w:t xml:space="preserve">Tong, </w:t>
            </w:r>
            <w:proofErr w:type="spellStart"/>
            <w:r w:rsidRPr="00027D47">
              <w:rPr>
                <w:rFonts w:cstheme="minorHAnsi"/>
              </w:rPr>
              <w:t>Strasak</w:t>
            </w:r>
            <w:proofErr w:type="spellEnd"/>
            <w:r w:rsidRPr="00027D47">
              <w:rPr>
                <w:rFonts w:cstheme="minorHAnsi"/>
              </w:rPr>
              <w:t xml:space="preserve"> &amp; Fang</w:t>
            </w:r>
            <w:r>
              <w:rPr>
                <w:rFonts w:cstheme="minorHAnsi"/>
              </w:rPr>
              <w:fldChar w:fldCharType="begin"/>
            </w:r>
            <w:r>
              <w:rPr>
                <w:rFonts w:cstheme="minorHAnsi"/>
              </w:rPr>
              <w:instrText xml:space="preserve"> ADDIN EN.CITE &lt;EndNote&gt;&lt;Cite&gt;&lt;Author&gt;Gong&lt;/Author&gt;&lt;Year&gt;2014&lt;/Year&gt;&lt;RecNum&gt;24899&lt;/RecNum&gt;&lt;DisplayText&gt;&lt;style face="superscript"&gt;29&lt;/style&gt;&lt;/DisplayText&gt;&lt;record&gt;&lt;rec-number&gt;24899&lt;/rec-number&gt;&lt;foreign-keys&gt;&lt;key app="EN" db-id="z2f5a5pt0222p8esesuv59tow0trtzfpdxaw" timestamp="1527175617"&gt;24899&lt;/key&gt;&lt;/foreign-keys&gt;&lt;ref-type name="Journal Article"&gt;17&lt;/ref-type&gt;&lt;contributors&gt;&lt;authors&gt;&lt;author&gt;Qi Gong&lt;/author&gt;&lt;author&gt;Barbara Tong &lt;/author&gt;&lt;author&gt;Alexander Strasak &lt;/author&gt;&lt;author&gt;Liang Fang &lt;/author&gt;&lt;/authors&gt;&lt;/contributors&gt;&lt;titles&gt;&lt;title&gt;Analysis of safety data in clinical trials using a recurrent event approach&lt;/title&gt;&lt;secondary-title&gt;Pharmaceutical Statistics&lt;/secondary-title&gt;&lt;/titles&gt;&lt;periodical&gt;&lt;full-title&gt;Pharmaceutical Statistics&lt;/full-title&gt;&lt;/periodical&gt;&lt;pages&gt;136-144&lt;/pages&gt;&lt;volume&gt;13&lt;/volume&gt;&lt;number&gt;2&lt;/number&gt;&lt;dates&gt;&lt;year&gt;2014&lt;/year&gt;&lt;/dates&gt;&lt;urls&gt;&lt;related-urls&gt;&lt;url&gt;https://onlinelibrary.wiley.com/doi/abs/10.1002/pst.1611&lt;/url&gt;&lt;/related-urls&gt;&lt;/urls&gt;&lt;electronic-resource-num&gt;doi:10.1002/pst.1611&lt;/electronic-resource-num&gt;&lt;/record&gt;&lt;/Cite&gt;&lt;/EndNote&gt;</w:instrText>
            </w:r>
            <w:r>
              <w:rPr>
                <w:rFonts w:cstheme="minorHAnsi"/>
              </w:rPr>
              <w:fldChar w:fldCharType="separate"/>
            </w:r>
            <w:r w:rsidRPr="005550A8">
              <w:rPr>
                <w:rFonts w:cstheme="minorHAnsi"/>
                <w:noProof/>
                <w:vertAlign w:val="superscript"/>
              </w:rPr>
              <w:t>29</w:t>
            </w:r>
            <w:r>
              <w:rPr>
                <w:rFonts w:cstheme="minorHAnsi"/>
              </w:rPr>
              <w:fldChar w:fldCharType="end"/>
            </w:r>
          </w:p>
        </w:tc>
        <w:tc>
          <w:tcPr>
            <w:tcW w:w="6379" w:type="dxa"/>
            <w:tcBorders>
              <w:top w:val="nil"/>
              <w:left w:val="nil"/>
              <w:bottom w:val="single" w:sz="4" w:space="0" w:color="auto"/>
              <w:right w:val="single" w:sz="4" w:space="0" w:color="auto"/>
            </w:tcBorders>
            <w:shd w:val="clear" w:color="auto" w:fill="auto"/>
            <w:vAlign w:val="bottom"/>
            <w:hideMark/>
          </w:tcPr>
          <w:p w14:paraId="577C20EF"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Non-parametric estimate of mean cumulative number of recurrent events in presence of competing risks</w:t>
            </w:r>
          </w:p>
        </w:tc>
      </w:tr>
      <w:tr w:rsidR="00E37363" w:rsidRPr="00A512E7" w14:paraId="1DD629BD" w14:textId="77777777" w:rsidTr="00B45076">
        <w:trPr>
          <w:trHeight w:val="271"/>
        </w:trPr>
        <w:tc>
          <w:tcPr>
            <w:tcW w:w="1218" w:type="dxa"/>
            <w:vMerge/>
            <w:tcBorders>
              <w:left w:val="single" w:sz="4" w:space="0" w:color="auto"/>
              <w:right w:val="single" w:sz="4" w:space="0" w:color="auto"/>
            </w:tcBorders>
            <w:shd w:val="clear" w:color="auto" w:fill="auto"/>
            <w:noWrap/>
            <w:vAlign w:val="center"/>
            <w:hideMark/>
          </w:tcPr>
          <w:p w14:paraId="687B950F"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p>
        </w:tc>
        <w:tc>
          <w:tcPr>
            <w:tcW w:w="1612" w:type="dxa"/>
            <w:tcBorders>
              <w:top w:val="nil"/>
              <w:left w:val="nil"/>
              <w:bottom w:val="single" w:sz="4" w:space="0" w:color="auto"/>
              <w:right w:val="single" w:sz="4" w:space="0" w:color="auto"/>
            </w:tcBorders>
            <w:shd w:val="clear" w:color="auto" w:fill="auto"/>
            <w:noWrap/>
            <w:vAlign w:val="bottom"/>
            <w:hideMark/>
          </w:tcPr>
          <w:p w14:paraId="681246CD"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Binary</w:t>
            </w:r>
          </w:p>
        </w:tc>
        <w:tc>
          <w:tcPr>
            <w:tcW w:w="2977" w:type="dxa"/>
            <w:tcBorders>
              <w:top w:val="nil"/>
              <w:left w:val="nil"/>
              <w:bottom w:val="single" w:sz="4" w:space="0" w:color="auto"/>
              <w:right w:val="single" w:sz="4" w:space="0" w:color="auto"/>
            </w:tcBorders>
            <w:shd w:val="clear" w:color="auto" w:fill="auto"/>
            <w:noWrap/>
            <w:vAlign w:val="bottom"/>
            <w:hideMark/>
          </w:tcPr>
          <w:p w14:paraId="203304F6"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Mean cumulative duration</w:t>
            </w:r>
          </w:p>
        </w:tc>
        <w:tc>
          <w:tcPr>
            <w:tcW w:w="2410" w:type="dxa"/>
            <w:tcBorders>
              <w:top w:val="nil"/>
              <w:left w:val="nil"/>
              <w:bottom w:val="single" w:sz="4" w:space="0" w:color="auto"/>
              <w:right w:val="single" w:sz="4" w:space="0" w:color="auto"/>
            </w:tcBorders>
            <w:shd w:val="clear" w:color="auto" w:fill="auto"/>
            <w:noWrap/>
            <w:vAlign w:val="bottom"/>
            <w:hideMark/>
          </w:tcPr>
          <w:p w14:paraId="605206B7"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Wang &amp; Quartey</w:t>
            </w:r>
            <w:r>
              <w:rPr>
                <w:rFonts w:ascii="Calibri" w:eastAsia="Times New Roman" w:hAnsi="Calibri" w:cs="Calibri"/>
                <w:color w:val="000000"/>
                <w:lang w:eastAsia="en-GB"/>
              </w:rPr>
              <w:t>, 2012</w:t>
            </w:r>
            <w:r>
              <w:rPr>
                <w:rFonts w:ascii="Calibri" w:eastAsia="Times New Roman" w:hAnsi="Calibri" w:cs="Calibri"/>
                <w:color w:val="000000"/>
                <w:lang w:eastAsia="en-GB"/>
              </w:rPr>
              <w:fldChar w:fldCharType="begin"/>
            </w:r>
            <w:r>
              <w:rPr>
                <w:rFonts w:ascii="Calibri" w:eastAsia="Times New Roman" w:hAnsi="Calibri" w:cs="Calibri"/>
                <w:color w:val="000000"/>
                <w:lang w:eastAsia="en-GB"/>
              </w:rPr>
              <w:instrText xml:space="preserve"> ADDIN EN.CITE &lt;EndNote&gt;&lt;Cite&gt;&lt;Author&gt;Wang&lt;/Author&gt;&lt;Year&gt;2012&lt;/Year&gt;&lt;RecNum&gt;16261&lt;/RecNum&gt;&lt;DisplayText&gt;&lt;style face="superscript"&gt;30&lt;/style&gt;&lt;/DisplayText&gt;&lt;record&gt;&lt;rec-number&gt;16261&lt;/rec-number&gt;&lt;foreign-keys&gt;&lt;key app="EN" db-id="z2f5a5pt0222p8esesuv59tow0trtzfpdxaw" timestamp="1521049901"&gt;16261&lt;/key&gt;&lt;/foreign-keys&gt;&lt;ref-type name="Journal Article"&gt;17&lt;/ref-type&gt;&lt;contributors&gt;&lt;authors&gt;&lt;author&gt;Wang, J.&lt;/author&gt;&lt;author&gt;Quartey, G.&lt;/author&gt;&lt;/authors&gt;&lt;/contributors&gt;&lt;auth-address&gt;(Wang) Novartis Pharma AG, Basel, Switzerland (Quartey) Statistics Methods and Research Group, F. Hoffmann La Roche, Welwyn Garden City, United Kingdom&lt;/auth-address&gt;&lt;titles&gt;&lt;title&gt;Nonparametric estimation for cumulative duration of adverse events&lt;/title&gt;&lt;secondary-title&gt;Biometrical Journal&lt;/secondary-title&gt;&lt;/titles&gt;&lt;periodical&gt;&lt;full-title&gt;Biometrical Journal&lt;/full-title&gt;&lt;/periodical&gt;&lt;pages&gt;61-74&lt;/pages&gt;&lt;volume&gt;54&lt;/volume&gt;&lt;number&gt;1&lt;/number&gt;&lt;dates&gt;&lt;year&gt;2012&lt;/year&gt;&lt;pub-dates&gt;&lt;date&gt;January&lt;/date&gt;&lt;/pub-dates&gt;&lt;/dates&gt;&lt;accession-num&gt;364052100&lt;/accession-num&gt;&lt;urls&gt;&lt;related-urls&gt;&lt;url&gt;http://ovidsp.ovid.com/ovidweb.cgi?T=JS&amp;amp;CSC=Y&amp;amp;NEWS=N&amp;amp;PAGE=fulltext&amp;amp;D=emed14&amp;amp;AN=364052100&lt;/url&gt;&lt;/related-urls&gt;&lt;/urls&gt;&lt;remote-database-name&gt;Embase&lt;/remote-database-name&gt;&lt;remote-database-provider&gt;Ovid Technologies&lt;/remote-database-provider&gt;&lt;/record&gt;&lt;/Cite&gt;&lt;/EndNote&gt;</w:instrText>
            </w:r>
            <w:r>
              <w:rPr>
                <w:rFonts w:ascii="Calibri" w:eastAsia="Times New Roman" w:hAnsi="Calibri" w:cs="Calibri"/>
                <w:color w:val="000000"/>
                <w:lang w:eastAsia="en-GB"/>
              </w:rPr>
              <w:fldChar w:fldCharType="separate"/>
            </w:r>
            <w:r w:rsidRPr="005550A8">
              <w:rPr>
                <w:rFonts w:ascii="Calibri" w:eastAsia="Times New Roman" w:hAnsi="Calibri" w:cs="Calibri"/>
                <w:noProof/>
                <w:color w:val="000000"/>
                <w:vertAlign w:val="superscript"/>
                <w:lang w:eastAsia="en-GB"/>
              </w:rPr>
              <w:t>30</w:t>
            </w:r>
            <w:r>
              <w:rPr>
                <w:rFonts w:ascii="Calibri" w:eastAsia="Times New Roman" w:hAnsi="Calibri" w:cs="Calibri"/>
                <w:color w:val="000000"/>
                <w:lang w:eastAsia="en-GB"/>
              </w:rPr>
              <w:fldChar w:fldCharType="end"/>
            </w:r>
          </w:p>
        </w:tc>
        <w:tc>
          <w:tcPr>
            <w:tcW w:w="6379" w:type="dxa"/>
            <w:tcBorders>
              <w:top w:val="nil"/>
              <w:left w:val="nil"/>
              <w:bottom w:val="single" w:sz="4" w:space="0" w:color="auto"/>
              <w:right w:val="single" w:sz="4" w:space="0" w:color="auto"/>
            </w:tcBorders>
            <w:shd w:val="clear" w:color="auto" w:fill="auto"/>
            <w:vAlign w:val="bottom"/>
            <w:hideMark/>
          </w:tcPr>
          <w:p w14:paraId="45D880E8"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Non-parametric estimate of mean cumulative duration for recurrent events</w:t>
            </w:r>
          </w:p>
        </w:tc>
      </w:tr>
      <w:tr w:rsidR="00E37363" w:rsidRPr="00A512E7" w14:paraId="6DE640F4" w14:textId="77777777" w:rsidTr="00B45076">
        <w:trPr>
          <w:trHeight w:val="279"/>
        </w:trPr>
        <w:tc>
          <w:tcPr>
            <w:tcW w:w="1218" w:type="dxa"/>
            <w:vMerge/>
            <w:tcBorders>
              <w:left w:val="single" w:sz="4" w:space="0" w:color="auto"/>
              <w:right w:val="single" w:sz="4" w:space="0" w:color="auto"/>
            </w:tcBorders>
            <w:shd w:val="clear" w:color="auto" w:fill="auto"/>
            <w:noWrap/>
            <w:vAlign w:val="center"/>
            <w:hideMark/>
          </w:tcPr>
          <w:p w14:paraId="3C0BE8E3"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p>
        </w:tc>
        <w:tc>
          <w:tcPr>
            <w:tcW w:w="1612" w:type="dxa"/>
            <w:tcBorders>
              <w:top w:val="nil"/>
              <w:left w:val="nil"/>
              <w:bottom w:val="single" w:sz="4" w:space="0" w:color="auto"/>
              <w:right w:val="single" w:sz="4" w:space="0" w:color="auto"/>
            </w:tcBorders>
            <w:shd w:val="clear" w:color="auto" w:fill="auto"/>
            <w:noWrap/>
            <w:vAlign w:val="bottom"/>
            <w:hideMark/>
          </w:tcPr>
          <w:p w14:paraId="2FF23345"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Binary</w:t>
            </w:r>
          </w:p>
        </w:tc>
        <w:tc>
          <w:tcPr>
            <w:tcW w:w="2977" w:type="dxa"/>
            <w:tcBorders>
              <w:top w:val="nil"/>
              <w:left w:val="nil"/>
              <w:bottom w:val="single" w:sz="4" w:space="0" w:color="auto"/>
              <w:right w:val="single" w:sz="4" w:space="0" w:color="auto"/>
            </w:tcBorders>
            <w:shd w:val="clear" w:color="auto" w:fill="auto"/>
            <w:noWrap/>
            <w:vAlign w:val="bottom"/>
            <w:hideMark/>
          </w:tcPr>
          <w:p w14:paraId="79A599A2"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Mean cumulative duration</w:t>
            </w:r>
          </w:p>
        </w:tc>
        <w:tc>
          <w:tcPr>
            <w:tcW w:w="2410" w:type="dxa"/>
            <w:tcBorders>
              <w:top w:val="nil"/>
              <w:left w:val="nil"/>
              <w:bottom w:val="single" w:sz="4" w:space="0" w:color="auto"/>
              <w:right w:val="single" w:sz="4" w:space="0" w:color="auto"/>
            </w:tcBorders>
            <w:shd w:val="clear" w:color="auto" w:fill="auto"/>
            <w:noWrap/>
            <w:vAlign w:val="bottom"/>
            <w:hideMark/>
          </w:tcPr>
          <w:p w14:paraId="6103C533"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Wang &amp; Quartey</w:t>
            </w:r>
            <w:r>
              <w:rPr>
                <w:rFonts w:ascii="Calibri" w:eastAsia="Times New Roman" w:hAnsi="Calibri" w:cs="Calibri"/>
                <w:color w:val="000000"/>
                <w:lang w:eastAsia="en-GB"/>
              </w:rPr>
              <w:t>, 2013</w:t>
            </w:r>
            <w:r>
              <w:rPr>
                <w:rFonts w:ascii="Calibri" w:eastAsia="Times New Roman" w:hAnsi="Calibri" w:cs="Calibri"/>
                <w:color w:val="000000"/>
                <w:lang w:eastAsia="en-GB"/>
              </w:rPr>
              <w:fldChar w:fldCharType="begin"/>
            </w:r>
            <w:r>
              <w:rPr>
                <w:rFonts w:ascii="Calibri" w:eastAsia="Times New Roman" w:hAnsi="Calibri" w:cs="Calibri"/>
                <w:color w:val="000000"/>
                <w:lang w:eastAsia="en-GB"/>
              </w:rPr>
              <w:instrText xml:space="preserve"> ADDIN EN.CITE &lt;EndNote&gt;&lt;Cite&gt;&lt;Author&gt;Wang&lt;/Author&gt;&lt;Year&gt;2013&lt;/Year&gt;&lt;RecNum&gt;24900&lt;/RecNum&gt;&lt;DisplayText&gt;&lt;style face="superscript"&gt;31&lt;/style&gt;&lt;/DisplayText&gt;&lt;record&gt;&lt;rec-number&gt;24900&lt;/rec-number&gt;&lt;foreign-keys&gt;&lt;key app="EN" db-id="z2f5a5pt0222p8esesuv59tow0trtzfpdxaw" timestamp="1527176023"&gt;24900&lt;/key&gt;&lt;/foreign-keys&gt;&lt;ref-type name="Journal Article"&gt;17&lt;/ref-type&gt;&lt;contributors&gt;&lt;authors&gt;&lt;author&gt;Wang, Jixian&lt;/author&gt;&lt;author&gt;Quartey, George&lt;/author&gt;&lt;/authors&gt;&lt;/contributors&gt;&lt;titles&gt;&lt;title&gt;A semi-parametric approach to analysis of event duration and prevalence&lt;/title&gt;&lt;secondary-title&gt;Computational Statistics &amp;amp; Data Analysis&lt;/secondary-title&gt;&lt;/titles&gt;&lt;periodical&gt;&lt;full-title&gt;Computational Statistics &amp;amp; Data Analysis&lt;/full-title&gt;&lt;/periodical&gt;&lt;pages&gt;248-257&lt;/pages&gt;&lt;volume&gt;67&lt;/volume&gt;&lt;keywords&gt;&lt;keyword&gt;Prevalence&lt;/keyword&gt;&lt;keyword&gt;Recurrent events&lt;/keyword&gt;&lt;keyword&gt;Semi-parametric model&lt;/keyword&gt;&lt;keyword&gt;Time-varying coefficient&lt;/keyword&gt;&lt;/keywords&gt;&lt;dates&gt;&lt;year&gt;2013&lt;/year&gt;&lt;pub-dates&gt;&lt;date&gt;2013/11/01/&lt;/date&gt;&lt;/pub-dates&gt;&lt;/dates&gt;&lt;isbn&gt;0167-9473&lt;/isbn&gt;&lt;urls&gt;&lt;related-urls&gt;&lt;url&gt;http://www.sciencedirect.com/science/article/pii/S0167947313002107&lt;/url&gt;&lt;/related-urls&gt;&lt;/urls&gt;&lt;electronic-resource-num&gt;https://doi.org/10.1016/j.csda.2013.05.023&lt;/electronic-resource-num&gt;&lt;/record&gt;&lt;/Cite&gt;&lt;/EndNote&gt;</w:instrText>
            </w:r>
            <w:r>
              <w:rPr>
                <w:rFonts w:ascii="Calibri" w:eastAsia="Times New Roman" w:hAnsi="Calibri" w:cs="Calibri"/>
                <w:color w:val="000000"/>
                <w:lang w:eastAsia="en-GB"/>
              </w:rPr>
              <w:fldChar w:fldCharType="separate"/>
            </w:r>
            <w:r w:rsidRPr="005550A8">
              <w:rPr>
                <w:rFonts w:ascii="Calibri" w:eastAsia="Times New Roman" w:hAnsi="Calibri" w:cs="Calibri"/>
                <w:noProof/>
                <w:color w:val="000000"/>
                <w:vertAlign w:val="superscript"/>
                <w:lang w:eastAsia="en-GB"/>
              </w:rPr>
              <w:t>31</w:t>
            </w:r>
            <w:r>
              <w:rPr>
                <w:rFonts w:ascii="Calibri" w:eastAsia="Times New Roman" w:hAnsi="Calibri" w:cs="Calibri"/>
                <w:color w:val="000000"/>
                <w:lang w:eastAsia="en-GB"/>
              </w:rPr>
              <w:fldChar w:fldCharType="end"/>
            </w:r>
          </w:p>
        </w:tc>
        <w:tc>
          <w:tcPr>
            <w:tcW w:w="6379" w:type="dxa"/>
            <w:tcBorders>
              <w:top w:val="nil"/>
              <w:left w:val="nil"/>
              <w:bottom w:val="single" w:sz="4" w:space="0" w:color="auto"/>
              <w:right w:val="single" w:sz="4" w:space="0" w:color="auto"/>
            </w:tcBorders>
            <w:shd w:val="clear" w:color="auto" w:fill="auto"/>
            <w:vAlign w:val="bottom"/>
            <w:hideMark/>
          </w:tcPr>
          <w:p w14:paraId="68B11E5A"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Semi-parametric estimate of mean cumulative duration and prevalence of recurrent events</w:t>
            </w:r>
          </w:p>
        </w:tc>
      </w:tr>
      <w:tr w:rsidR="00E37363" w:rsidRPr="00A512E7" w14:paraId="7C1741F9" w14:textId="77777777" w:rsidTr="00B45076">
        <w:trPr>
          <w:trHeight w:val="726"/>
        </w:trPr>
        <w:tc>
          <w:tcPr>
            <w:tcW w:w="1218" w:type="dxa"/>
            <w:vMerge/>
            <w:tcBorders>
              <w:left w:val="single" w:sz="4" w:space="0" w:color="auto"/>
              <w:right w:val="single" w:sz="4" w:space="0" w:color="auto"/>
            </w:tcBorders>
            <w:shd w:val="clear" w:color="auto" w:fill="auto"/>
            <w:noWrap/>
            <w:vAlign w:val="center"/>
            <w:hideMark/>
          </w:tcPr>
          <w:p w14:paraId="3556BDD0"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p>
        </w:tc>
        <w:tc>
          <w:tcPr>
            <w:tcW w:w="1612" w:type="dxa"/>
            <w:tcBorders>
              <w:top w:val="nil"/>
              <w:left w:val="nil"/>
              <w:bottom w:val="single" w:sz="4" w:space="0" w:color="auto"/>
              <w:right w:val="single" w:sz="4" w:space="0" w:color="auto"/>
            </w:tcBorders>
            <w:shd w:val="clear" w:color="auto" w:fill="auto"/>
            <w:noWrap/>
            <w:vAlign w:val="bottom"/>
            <w:hideMark/>
          </w:tcPr>
          <w:p w14:paraId="5BBCA110"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Binary</w:t>
            </w:r>
          </w:p>
        </w:tc>
        <w:tc>
          <w:tcPr>
            <w:tcW w:w="2977" w:type="dxa"/>
            <w:tcBorders>
              <w:top w:val="nil"/>
              <w:left w:val="nil"/>
              <w:bottom w:val="single" w:sz="4" w:space="0" w:color="auto"/>
              <w:right w:val="single" w:sz="4" w:space="0" w:color="auto"/>
            </w:tcBorders>
            <w:shd w:val="clear" w:color="auto" w:fill="auto"/>
            <w:vAlign w:val="bottom"/>
            <w:hideMark/>
          </w:tcPr>
          <w:p w14:paraId="6E7BCE1B"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 xml:space="preserve">Dependence between </w:t>
            </w:r>
            <w:r>
              <w:rPr>
                <w:rFonts w:ascii="Calibri" w:eastAsia="Times New Roman" w:hAnsi="Calibri" w:cs="Calibri"/>
                <w:color w:val="000000"/>
                <w:lang w:eastAsia="en-GB"/>
              </w:rPr>
              <w:t>AEs</w:t>
            </w:r>
            <w:r w:rsidRPr="00A512E7">
              <w:rPr>
                <w:rFonts w:ascii="Calibri" w:eastAsia="Times New Roman" w:hAnsi="Calibri" w:cs="Calibri"/>
                <w:color w:val="000000"/>
                <w:lang w:eastAsia="en-GB"/>
              </w:rPr>
              <w:t xml:space="preserve"> and discontinuation </w:t>
            </w:r>
          </w:p>
        </w:tc>
        <w:tc>
          <w:tcPr>
            <w:tcW w:w="2410" w:type="dxa"/>
            <w:tcBorders>
              <w:top w:val="nil"/>
              <w:left w:val="nil"/>
              <w:bottom w:val="single" w:sz="4" w:space="0" w:color="auto"/>
              <w:right w:val="single" w:sz="4" w:space="0" w:color="auto"/>
            </w:tcBorders>
            <w:shd w:val="clear" w:color="auto" w:fill="auto"/>
            <w:noWrap/>
            <w:vAlign w:val="bottom"/>
            <w:hideMark/>
          </w:tcPr>
          <w:p w14:paraId="1E9EE636"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Rosenkranz</w:t>
            </w:r>
            <w:r>
              <w:rPr>
                <w:rFonts w:ascii="Calibri" w:eastAsia="Times New Roman" w:hAnsi="Calibri" w:cs="Calibri"/>
                <w:color w:val="000000"/>
                <w:lang w:eastAsia="en-GB"/>
              </w:rPr>
              <w:fldChar w:fldCharType="begin"/>
            </w:r>
            <w:r>
              <w:rPr>
                <w:rFonts w:ascii="Calibri" w:eastAsia="Times New Roman" w:hAnsi="Calibri" w:cs="Calibri"/>
                <w:color w:val="000000"/>
                <w:lang w:eastAsia="en-GB"/>
              </w:rPr>
              <w:instrText xml:space="preserve"> ADDIN EN.CITE &lt;EndNote&gt;&lt;Cite&gt;&lt;Author&gt;Rosenkranz&lt;/Author&gt;&lt;Year&gt;2006&lt;/Year&gt;&lt;RecNum&gt;7572&lt;/RecNum&gt;&lt;DisplayText&gt;&lt;style face="superscript"&gt;32&lt;/style&gt;&lt;/DisplayText&gt;&lt;record&gt;&lt;rec-number&gt;7572&lt;/rec-number&gt;&lt;foreign-keys&gt;&lt;key app="EN" db-id="z2f5a5pt0222p8esesuv59tow0trtzfpdxaw" timestamp="1521046972"&gt;7572&lt;/key&gt;&lt;/foreign-keys&gt;&lt;ref-type name="Journal Article"&gt;17&lt;/ref-type&gt;&lt;contributors&gt;&lt;authors&gt;&lt;author&gt;Rosenkranz, G.&lt;/author&gt;&lt;/authors&gt;&lt;/contributors&gt;&lt;titles&gt;&lt;title&gt;Analysis of adverse events in the presence of discontinuations&lt;/title&gt;&lt;secondary-title&gt;Drug Information Journal&lt;/secondary-title&gt;&lt;/titles&gt;&lt;periodical&gt;&lt;full-title&gt;Drug Information Journal&lt;/full-title&gt;&lt;/periodical&gt;&lt;pages&gt;79-87&lt;/pages&gt;&lt;volume&gt;40&lt;/volume&gt;&lt;number&gt;1&lt;/number&gt;&lt;dates&gt;&lt;year&gt;2006&lt;/year&gt;&lt;/dates&gt;&lt;isbn&gt;0092-8615&lt;/isbn&gt;&lt;accession-num&gt;WOS:000235496000010&lt;/accession-num&gt;&lt;urls&gt;&lt;related-urls&gt;&lt;url&gt;&amp;lt;Go to ISI&amp;gt;://WOS:000235496000010&lt;/url&gt;&lt;/related-urls&gt;&lt;/urls&gt;&lt;electronic-resource-num&gt;10.1177/009286150604000110&lt;/electronic-resource-num&gt;&lt;/record&gt;&lt;/Cite&gt;&lt;/EndNote&gt;</w:instrText>
            </w:r>
            <w:r>
              <w:rPr>
                <w:rFonts w:ascii="Calibri" w:eastAsia="Times New Roman" w:hAnsi="Calibri" w:cs="Calibri"/>
                <w:color w:val="000000"/>
                <w:lang w:eastAsia="en-GB"/>
              </w:rPr>
              <w:fldChar w:fldCharType="separate"/>
            </w:r>
            <w:r w:rsidRPr="005550A8">
              <w:rPr>
                <w:rFonts w:ascii="Calibri" w:eastAsia="Times New Roman" w:hAnsi="Calibri" w:cs="Calibri"/>
                <w:noProof/>
                <w:color w:val="000000"/>
                <w:vertAlign w:val="superscript"/>
                <w:lang w:eastAsia="en-GB"/>
              </w:rPr>
              <w:t>32</w:t>
            </w:r>
            <w:r>
              <w:rPr>
                <w:rFonts w:ascii="Calibri" w:eastAsia="Times New Roman" w:hAnsi="Calibri" w:cs="Calibri"/>
                <w:color w:val="000000"/>
                <w:lang w:eastAsia="en-GB"/>
              </w:rPr>
              <w:fldChar w:fldCharType="end"/>
            </w:r>
          </w:p>
        </w:tc>
        <w:tc>
          <w:tcPr>
            <w:tcW w:w="6379" w:type="dxa"/>
            <w:tcBorders>
              <w:top w:val="nil"/>
              <w:left w:val="nil"/>
              <w:bottom w:val="single" w:sz="4" w:space="0" w:color="auto"/>
              <w:right w:val="single" w:sz="4" w:space="0" w:color="auto"/>
            </w:tcBorders>
            <w:shd w:val="clear" w:color="auto" w:fill="auto"/>
            <w:vAlign w:val="bottom"/>
            <w:hideMark/>
          </w:tcPr>
          <w:p w14:paraId="50F25798" w14:textId="77777777" w:rsidR="00E37363" w:rsidRPr="00A512E7"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Three methods to estimate the level of </w:t>
            </w:r>
            <w:r w:rsidRPr="00A512E7">
              <w:rPr>
                <w:rFonts w:ascii="Calibri" w:eastAsia="Times New Roman" w:hAnsi="Calibri" w:cs="Calibri"/>
                <w:color w:val="000000"/>
                <w:lang w:eastAsia="en-GB"/>
              </w:rPr>
              <w:t xml:space="preserve">dependence between </w:t>
            </w:r>
            <w:r>
              <w:rPr>
                <w:rFonts w:ascii="Calibri" w:eastAsia="Times New Roman" w:hAnsi="Calibri" w:cs="Calibri"/>
                <w:color w:val="000000"/>
                <w:lang w:eastAsia="en-GB"/>
              </w:rPr>
              <w:t xml:space="preserve">AE </w:t>
            </w:r>
            <w:r w:rsidRPr="00A512E7">
              <w:rPr>
                <w:rFonts w:ascii="Calibri" w:eastAsia="Times New Roman" w:hAnsi="Calibri" w:cs="Calibri"/>
                <w:color w:val="000000"/>
                <w:lang w:eastAsia="en-GB"/>
              </w:rPr>
              <w:t>and discontinuation by treatment</w:t>
            </w:r>
            <w:r>
              <w:rPr>
                <w:rFonts w:ascii="Calibri" w:eastAsia="Times New Roman" w:hAnsi="Calibri" w:cs="Calibri"/>
                <w:color w:val="000000"/>
                <w:lang w:eastAsia="en-GB"/>
              </w:rPr>
              <w:t xml:space="preserve"> group that c</w:t>
            </w:r>
            <w:r w:rsidRPr="00A512E7">
              <w:rPr>
                <w:rFonts w:ascii="Calibri" w:eastAsia="Times New Roman" w:hAnsi="Calibri" w:cs="Calibri"/>
                <w:color w:val="000000"/>
                <w:lang w:eastAsia="en-GB"/>
              </w:rPr>
              <w:t>orrect</w:t>
            </w:r>
            <w:r>
              <w:rPr>
                <w:rFonts w:ascii="Calibri" w:eastAsia="Times New Roman" w:hAnsi="Calibri" w:cs="Calibri"/>
                <w:color w:val="000000"/>
                <w:lang w:eastAsia="en-GB"/>
              </w:rPr>
              <w:t>s</w:t>
            </w:r>
            <w:r w:rsidRPr="00A512E7">
              <w:rPr>
                <w:rFonts w:ascii="Calibri" w:eastAsia="Times New Roman" w:hAnsi="Calibri" w:cs="Calibri"/>
                <w:color w:val="000000"/>
                <w:lang w:eastAsia="en-GB"/>
              </w:rPr>
              <w:t xml:space="preserve"> for any dependence in the treatment effect </w:t>
            </w:r>
            <w:r>
              <w:rPr>
                <w:rFonts w:ascii="Calibri" w:eastAsia="Times New Roman" w:hAnsi="Calibri" w:cs="Calibri"/>
                <w:color w:val="000000"/>
                <w:lang w:eastAsia="en-GB"/>
              </w:rPr>
              <w:t>estimate</w:t>
            </w:r>
          </w:p>
        </w:tc>
      </w:tr>
      <w:tr w:rsidR="00E37363" w:rsidRPr="00A512E7" w14:paraId="54B73948" w14:textId="77777777" w:rsidTr="00B45076">
        <w:trPr>
          <w:trHeight w:val="64"/>
        </w:trPr>
        <w:tc>
          <w:tcPr>
            <w:tcW w:w="1218" w:type="dxa"/>
            <w:vMerge/>
            <w:tcBorders>
              <w:left w:val="single" w:sz="4" w:space="0" w:color="auto"/>
              <w:right w:val="single" w:sz="4" w:space="0" w:color="auto"/>
            </w:tcBorders>
            <w:shd w:val="clear" w:color="auto" w:fill="auto"/>
            <w:noWrap/>
            <w:vAlign w:val="center"/>
            <w:hideMark/>
          </w:tcPr>
          <w:p w14:paraId="234AF2E8"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p>
        </w:tc>
        <w:tc>
          <w:tcPr>
            <w:tcW w:w="1612" w:type="dxa"/>
            <w:tcBorders>
              <w:top w:val="nil"/>
              <w:left w:val="nil"/>
              <w:bottom w:val="single" w:sz="4" w:space="0" w:color="auto"/>
              <w:right w:val="single" w:sz="4" w:space="0" w:color="auto"/>
            </w:tcBorders>
            <w:shd w:val="clear" w:color="auto" w:fill="auto"/>
            <w:noWrap/>
            <w:vAlign w:val="bottom"/>
            <w:hideMark/>
          </w:tcPr>
          <w:p w14:paraId="0D557518"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Time-to-event</w:t>
            </w:r>
          </w:p>
        </w:tc>
        <w:tc>
          <w:tcPr>
            <w:tcW w:w="2977" w:type="dxa"/>
            <w:tcBorders>
              <w:top w:val="nil"/>
              <w:left w:val="nil"/>
              <w:bottom w:val="single" w:sz="4" w:space="0" w:color="auto"/>
              <w:right w:val="single" w:sz="4" w:space="0" w:color="auto"/>
            </w:tcBorders>
            <w:shd w:val="clear" w:color="auto" w:fill="auto"/>
            <w:noWrap/>
            <w:vAlign w:val="bottom"/>
            <w:hideMark/>
          </w:tcPr>
          <w:p w14:paraId="2279BFC9"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Hazard ratio</w:t>
            </w:r>
          </w:p>
        </w:tc>
        <w:tc>
          <w:tcPr>
            <w:tcW w:w="2410" w:type="dxa"/>
            <w:tcBorders>
              <w:top w:val="nil"/>
              <w:left w:val="nil"/>
              <w:bottom w:val="single" w:sz="4" w:space="0" w:color="auto"/>
              <w:right w:val="single" w:sz="4" w:space="0" w:color="auto"/>
            </w:tcBorders>
            <w:shd w:val="clear" w:color="auto" w:fill="auto"/>
            <w:noWrap/>
            <w:vAlign w:val="bottom"/>
            <w:hideMark/>
          </w:tcPr>
          <w:p w14:paraId="33BF3FFC" w14:textId="77777777" w:rsidR="00E37363" w:rsidRPr="00027D47" w:rsidRDefault="00E37363" w:rsidP="00B45076">
            <w:pPr>
              <w:spacing w:after="0" w:line="240" w:lineRule="auto"/>
            </w:pPr>
            <w:proofErr w:type="spellStart"/>
            <w:r w:rsidRPr="00A512E7">
              <w:rPr>
                <w:rFonts w:ascii="Calibri" w:eastAsia="Times New Roman" w:hAnsi="Calibri" w:cs="Calibri"/>
                <w:color w:val="000000"/>
                <w:lang w:eastAsia="en-GB"/>
              </w:rPr>
              <w:t>Henglebrock</w:t>
            </w:r>
            <w:proofErr w:type="spellEnd"/>
            <w:r w:rsidRPr="00027D47">
              <w:rPr>
                <w:rFonts w:ascii="Calibri" w:eastAsia="Times New Roman" w:hAnsi="Calibri" w:cs="Calibri"/>
                <w:color w:val="000000"/>
                <w:lang w:eastAsia="en-GB"/>
              </w:rPr>
              <w:t>,</w:t>
            </w:r>
            <w:r w:rsidRPr="00027D47">
              <w:rPr>
                <w:rFonts w:cstheme="minorHAnsi"/>
              </w:rPr>
              <w:t xml:space="preserve"> </w:t>
            </w:r>
            <w:proofErr w:type="spellStart"/>
            <w:r w:rsidRPr="00027D47">
              <w:rPr>
                <w:rFonts w:cstheme="minorHAnsi"/>
              </w:rPr>
              <w:t>Gillhaus</w:t>
            </w:r>
            <w:proofErr w:type="spellEnd"/>
            <w:r w:rsidRPr="00027D47">
              <w:rPr>
                <w:rFonts w:cstheme="minorHAnsi"/>
              </w:rPr>
              <w:t>, Kloss &amp; Leverkus</w:t>
            </w:r>
            <w:r>
              <w:rPr>
                <w:rFonts w:cstheme="minorHAnsi"/>
              </w:rPr>
              <w:fldChar w:fldCharType="begin"/>
            </w:r>
            <w:r>
              <w:rPr>
                <w:rFonts w:cstheme="minorHAnsi"/>
              </w:rPr>
              <w:instrText xml:space="preserve"> ADDIN EN.CITE &lt;EndNote&gt;&lt;Cite&gt;&lt;Author&gt;Hengelbrock&lt;/Author&gt;&lt;Year&gt;2016&lt;/Year&gt;&lt;RecNum&gt;7460&lt;/RecNum&gt;&lt;DisplayText&gt;&lt;style face="superscript"&gt;33&lt;/style&gt;&lt;/DisplayText&gt;&lt;record&gt;&lt;rec-number&gt;7460&lt;/rec-number&gt;&lt;foreign-keys&gt;&lt;key app="EN" db-id="z2f5a5pt0222p8esesuv59tow0trtzfpdxaw" timestamp="1521046971"&gt;7460&lt;/key&gt;&lt;/foreign-keys&gt;&lt;ref-type name="Journal Article"&gt;17&lt;/ref-type&gt;&lt;contributors&gt;&lt;authors&gt;&lt;author&gt;Hengelbrock, J.&lt;/author&gt;&lt;author&gt;Gillhaus, J.&lt;/author&gt;&lt;author&gt;Kloss, S.&lt;/author&gt;&lt;author&gt;Leverkus, F.&lt;/author&gt;&lt;/authors&gt;&lt;/contributors&gt;&lt;titles&gt;&lt;title&gt;Safety data from randomized controlled trials: applying models for recurrent events&lt;/title&gt;&lt;secondary-title&gt;Pharmaceutical Statistics&lt;/secondary-title&gt;&lt;/titles&gt;&lt;periodical&gt;&lt;full-title&gt;Pharmaceutical Statistics&lt;/full-title&gt;&lt;/periodical&gt;&lt;pages&gt;315-323&lt;/pages&gt;&lt;volume&gt;15&lt;/volume&gt;&lt;number&gt;4&lt;/number&gt;&lt;dates&gt;&lt;year&gt;2016&lt;/year&gt;&lt;pub-dates&gt;&lt;date&gt;Jul-Aug&lt;/date&gt;&lt;/pub-dates&gt;&lt;/dates&gt;&lt;isbn&gt;1539-1604&lt;/isbn&gt;&lt;accession-num&gt;WOS:000379925800005&lt;/accession-num&gt;&lt;urls&gt;&lt;related-urls&gt;&lt;url&gt;&amp;lt;Go to ISI&amp;gt;://WOS:000379925800005&lt;/url&gt;&lt;/related-urls&gt;&lt;/urls&gt;&lt;electronic-resource-num&gt;10.1002/pst.1757&lt;/electronic-resource-num&gt;&lt;/record&gt;&lt;/Cite&gt;&lt;/EndNote&gt;</w:instrText>
            </w:r>
            <w:r>
              <w:rPr>
                <w:rFonts w:cstheme="minorHAnsi"/>
              </w:rPr>
              <w:fldChar w:fldCharType="separate"/>
            </w:r>
            <w:r w:rsidRPr="005550A8">
              <w:rPr>
                <w:rFonts w:cstheme="minorHAnsi"/>
                <w:noProof/>
                <w:vertAlign w:val="superscript"/>
              </w:rPr>
              <w:t>33</w:t>
            </w:r>
            <w:r>
              <w:rPr>
                <w:rFonts w:cstheme="minorHAnsi"/>
              </w:rPr>
              <w:fldChar w:fldCharType="end"/>
            </w:r>
          </w:p>
        </w:tc>
        <w:tc>
          <w:tcPr>
            <w:tcW w:w="6379" w:type="dxa"/>
            <w:tcBorders>
              <w:top w:val="nil"/>
              <w:left w:val="nil"/>
              <w:bottom w:val="single" w:sz="4" w:space="0" w:color="auto"/>
              <w:right w:val="single" w:sz="4" w:space="0" w:color="auto"/>
            </w:tcBorders>
            <w:shd w:val="clear" w:color="auto" w:fill="auto"/>
            <w:vAlign w:val="bottom"/>
            <w:hideMark/>
          </w:tcPr>
          <w:p w14:paraId="4B0688B4" w14:textId="77777777" w:rsidR="00E37363" w:rsidRPr="00A512E7"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Two methods to e</w:t>
            </w:r>
            <w:r w:rsidRPr="00A512E7">
              <w:rPr>
                <w:rFonts w:ascii="Calibri" w:eastAsia="Times New Roman" w:hAnsi="Calibri" w:cs="Calibri"/>
                <w:color w:val="000000"/>
                <w:lang w:eastAsia="en-GB"/>
              </w:rPr>
              <w:t>stimate hazard ratio for recurrent events</w:t>
            </w:r>
          </w:p>
        </w:tc>
      </w:tr>
      <w:tr w:rsidR="00E37363" w:rsidRPr="00A512E7" w14:paraId="1B633CFE" w14:textId="77777777" w:rsidTr="00B45076">
        <w:trPr>
          <w:trHeight w:val="243"/>
        </w:trPr>
        <w:tc>
          <w:tcPr>
            <w:tcW w:w="1218" w:type="dxa"/>
            <w:vMerge/>
            <w:tcBorders>
              <w:left w:val="single" w:sz="4" w:space="0" w:color="auto"/>
              <w:right w:val="single" w:sz="4" w:space="0" w:color="auto"/>
            </w:tcBorders>
            <w:shd w:val="clear" w:color="auto" w:fill="auto"/>
            <w:noWrap/>
            <w:vAlign w:val="center"/>
            <w:hideMark/>
          </w:tcPr>
          <w:p w14:paraId="141D5B79"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p>
        </w:tc>
        <w:tc>
          <w:tcPr>
            <w:tcW w:w="1612" w:type="dxa"/>
            <w:tcBorders>
              <w:top w:val="nil"/>
              <w:left w:val="nil"/>
              <w:bottom w:val="single" w:sz="4" w:space="0" w:color="auto"/>
              <w:right w:val="single" w:sz="4" w:space="0" w:color="auto"/>
            </w:tcBorders>
            <w:shd w:val="clear" w:color="auto" w:fill="auto"/>
            <w:noWrap/>
            <w:vAlign w:val="bottom"/>
            <w:hideMark/>
          </w:tcPr>
          <w:p w14:paraId="454ADC0A"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Time-to-event</w:t>
            </w:r>
          </w:p>
        </w:tc>
        <w:tc>
          <w:tcPr>
            <w:tcW w:w="2977" w:type="dxa"/>
            <w:tcBorders>
              <w:top w:val="nil"/>
              <w:left w:val="nil"/>
              <w:bottom w:val="single" w:sz="4" w:space="0" w:color="auto"/>
              <w:right w:val="single" w:sz="4" w:space="0" w:color="auto"/>
            </w:tcBorders>
            <w:shd w:val="clear" w:color="auto" w:fill="auto"/>
            <w:noWrap/>
            <w:vAlign w:val="bottom"/>
            <w:hideMark/>
          </w:tcPr>
          <w:p w14:paraId="63E8567B"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Cumulative incidence function</w:t>
            </w:r>
          </w:p>
        </w:tc>
        <w:tc>
          <w:tcPr>
            <w:tcW w:w="2410" w:type="dxa"/>
            <w:tcBorders>
              <w:top w:val="nil"/>
              <w:left w:val="nil"/>
              <w:bottom w:val="single" w:sz="4" w:space="0" w:color="auto"/>
              <w:right w:val="single" w:sz="4" w:space="0" w:color="auto"/>
            </w:tcBorders>
            <w:shd w:val="clear" w:color="auto" w:fill="auto"/>
            <w:noWrap/>
            <w:vAlign w:val="bottom"/>
            <w:hideMark/>
          </w:tcPr>
          <w:p w14:paraId="634A8745" w14:textId="77777777" w:rsidR="00E37363" w:rsidRPr="00A512E7" w:rsidRDefault="00E37363" w:rsidP="00B45076">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Allignol</w:t>
            </w:r>
            <w:proofErr w:type="spellEnd"/>
            <w:r w:rsidRPr="00027D47">
              <w:rPr>
                <w:rFonts w:ascii="Calibri" w:eastAsia="Times New Roman" w:hAnsi="Calibri" w:cs="Calibri"/>
                <w:color w:val="000000"/>
                <w:lang w:eastAsia="en-GB"/>
              </w:rPr>
              <w:t xml:space="preserve">, </w:t>
            </w:r>
            <w:proofErr w:type="spellStart"/>
            <w:r w:rsidRPr="00027D47">
              <w:rPr>
                <w:rFonts w:cstheme="minorHAnsi"/>
              </w:rPr>
              <w:t>Beyersmann</w:t>
            </w:r>
            <w:proofErr w:type="spellEnd"/>
            <w:r w:rsidRPr="00027D47">
              <w:rPr>
                <w:rFonts w:cstheme="minorHAnsi"/>
              </w:rPr>
              <w:t xml:space="preserve"> &amp; Schmoor</w:t>
            </w:r>
            <w:r>
              <w:rPr>
                <w:rFonts w:cstheme="minorHAnsi"/>
              </w:rPr>
              <w:fldChar w:fldCharType="begin"/>
            </w:r>
            <w:r>
              <w:rPr>
                <w:rFonts w:cstheme="minorHAnsi"/>
              </w:rPr>
              <w:instrText xml:space="preserve"> ADDIN EN.CITE &lt;EndNote&gt;&lt;Cite&gt;&lt;Author&gt;Allignol&lt;/Author&gt;&lt;Year&gt;2016&lt;/Year&gt;&lt;RecNum&gt;14652&lt;/RecNum&gt;&lt;DisplayText&gt;&lt;style face="superscript"&gt;34&lt;/style&gt;&lt;/DisplayText&gt;&lt;record&gt;&lt;rec-number&gt;14652&lt;/rec-number&gt;&lt;foreign-keys&gt;&lt;key app="EN" db-id="z2f5a5pt0222p8esesuv59tow0trtzfpdxaw" timestamp="1521049734"&gt;14652&lt;/key&gt;&lt;/foreign-keys&gt;&lt;ref-type name="Journal Article"&gt;17&lt;/ref-type&gt;&lt;contributors&gt;&lt;authors&gt;&lt;author&gt;Allignol, A.&lt;/author&gt;&lt;author&gt;Beyersmann, J.&lt;/author&gt;&lt;author&gt;Schmoor, C.&lt;/author&gt;&lt;/authors&gt;&lt;/contributors&gt;&lt;auth-address&gt;(Allignol, Beyersmann) Institute of Statistics, Ulm University, Ulm, Germany (Schmoor) Clinical Trials Unit, University Medical Center Freiburg, Freiburg, Germany&lt;/auth-address&gt;&lt;titles&gt;&lt;title&gt;Statistical issues in the analysis of adverse events in time-to-event data&lt;/title&gt;&lt;secondary-title&gt;Pharmaceutical Statistics&lt;/secondary-title&gt;&lt;/titles&gt;&lt;periodical&gt;&lt;full-title&gt;Pharmaceutical Statistics&lt;/full-title&gt;&lt;/periodical&gt;&lt;pages&gt;297-305&lt;/pages&gt;&lt;volume&gt;15&lt;/volume&gt;&lt;number&gt;4&lt;/number&gt;&lt;dates&gt;&lt;year&gt;2016&lt;/year&gt;&lt;pub-dates&gt;&lt;date&gt;01 Jul&lt;/date&gt;&lt;/pub-dates&gt;&lt;/dates&gt;&lt;accession-num&gt;611253857&lt;/accession-num&gt;&lt;urls&gt;&lt;related-urls&gt;&lt;url&gt;http://ovidsp.ovid.com/ovidweb.cgi?T=JS&amp;amp;CSC=Y&amp;amp;NEWS=N&amp;amp;PAGE=fulltext&amp;amp;D=emed18&amp;amp;AN=611253857&lt;/url&gt;&lt;/related-urls&gt;&lt;/urls&gt;&lt;remote-database-name&gt;Embase&lt;/remote-database-name&gt;&lt;remote-database-provider&gt;Ovid Technologies&lt;/remote-database-provider&gt;&lt;/record&gt;&lt;/Cite&gt;&lt;/EndNote&gt;</w:instrText>
            </w:r>
            <w:r>
              <w:rPr>
                <w:rFonts w:cstheme="minorHAnsi"/>
              </w:rPr>
              <w:fldChar w:fldCharType="separate"/>
            </w:r>
            <w:r w:rsidRPr="005550A8">
              <w:rPr>
                <w:rFonts w:cstheme="minorHAnsi"/>
                <w:noProof/>
                <w:vertAlign w:val="superscript"/>
              </w:rPr>
              <w:t>34</w:t>
            </w:r>
            <w:r>
              <w:rPr>
                <w:rFonts w:cstheme="minorHAnsi"/>
              </w:rPr>
              <w:fldChar w:fldCharType="end"/>
            </w:r>
          </w:p>
        </w:tc>
        <w:tc>
          <w:tcPr>
            <w:tcW w:w="6379" w:type="dxa"/>
            <w:tcBorders>
              <w:top w:val="nil"/>
              <w:left w:val="nil"/>
              <w:bottom w:val="single" w:sz="4" w:space="0" w:color="auto"/>
              <w:right w:val="single" w:sz="4" w:space="0" w:color="auto"/>
            </w:tcBorders>
            <w:shd w:val="clear" w:color="auto" w:fill="auto"/>
            <w:vAlign w:val="bottom"/>
            <w:hideMark/>
          </w:tcPr>
          <w:p w14:paraId="3D34530F" w14:textId="77777777" w:rsidR="00E37363" w:rsidRPr="00A512E7"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Two methods to estimate the p</w:t>
            </w:r>
            <w:r w:rsidRPr="00A512E7">
              <w:rPr>
                <w:rFonts w:ascii="Calibri" w:eastAsia="Times New Roman" w:hAnsi="Calibri" w:cs="Calibri"/>
                <w:color w:val="000000"/>
                <w:lang w:eastAsia="en-GB"/>
              </w:rPr>
              <w:t>robability of an event in presence of competing risks</w:t>
            </w:r>
          </w:p>
        </w:tc>
      </w:tr>
      <w:tr w:rsidR="00E37363" w:rsidRPr="00A512E7" w14:paraId="33A168AD" w14:textId="77777777" w:rsidTr="00B45076">
        <w:trPr>
          <w:trHeight w:val="64"/>
        </w:trPr>
        <w:tc>
          <w:tcPr>
            <w:tcW w:w="1218" w:type="dxa"/>
            <w:vMerge/>
            <w:tcBorders>
              <w:left w:val="single" w:sz="4" w:space="0" w:color="auto"/>
              <w:bottom w:val="single" w:sz="4" w:space="0" w:color="auto"/>
              <w:right w:val="single" w:sz="4" w:space="0" w:color="auto"/>
            </w:tcBorders>
            <w:shd w:val="clear" w:color="auto" w:fill="auto"/>
            <w:noWrap/>
            <w:vAlign w:val="center"/>
            <w:hideMark/>
          </w:tcPr>
          <w:p w14:paraId="4927AE3F"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p>
        </w:tc>
        <w:tc>
          <w:tcPr>
            <w:tcW w:w="1612" w:type="dxa"/>
            <w:tcBorders>
              <w:top w:val="nil"/>
              <w:left w:val="nil"/>
              <w:bottom w:val="single" w:sz="4" w:space="0" w:color="auto"/>
              <w:right w:val="single" w:sz="4" w:space="0" w:color="auto"/>
            </w:tcBorders>
            <w:shd w:val="clear" w:color="auto" w:fill="auto"/>
            <w:noWrap/>
            <w:vAlign w:val="bottom"/>
            <w:hideMark/>
          </w:tcPr>
          <w:p w14:paraId="125475CA"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Time-to-event</w:t>
            </w:r>
          </w:p>
        </w:tc>
        <w:tc>
          <w:tcPr>
            <w:tcW w:w="2977" w:type="dxa"/>
            <w:tcBorders>
              <w:top w:val="nil"/>
              <w:left w:val="nil"/>
              <w:bottom w:val="single" w:sz="4" w:space="0" w:color="auto"/>
              <w:right w:val="single" w:sz="4" w:space="0" w:color="auto"/>
            </w:tcBorders>
            <w:shd w:val="clear" w:color="auto" w:fill="auto"/>
            <w:vAlign w:val="bottom"/>
            <w:hideMark/>
          </w:tcPr>
          <w:p w14:paraId="4D378420"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Conditional cumulative incidence function</w:t>
            </w:r>
          </w:p>
        </w:tc>
        <w:tc>
          <w:tcPr>
            <w:tcW w:w="2410" w:type="dxa"/>
            <w:tcBorders>
              <w:top w:val="nil"/>
              <w:left w:val="nil"/>
              <w:bottom w:val="single" w:sz="4" w:space="0" w:color="auto"/>
              <w:right w:val="single" w:sz="4" w:space="0" w:color="auto"/>
            </w:tcBorders>
            <w:shd w:val="clear" w:color="auto" w:fill="auto"/>
            <w:noWrap/>
            <w:vAlign w:val="bottom"/>
            <w:hideMark/>
          </w:tcPr>
          <w:p w14:paraId="65D48CE0" w14:textId="77777777" w:rsidR="00E37363" w:rsidRPr="00A512E7"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Nishikawa</w:t>
            </w:r>
            <w:r w:rsidRPr="00027D47">
              <w:rPr>
                <w:rFonts w:cstheme="minorHAnsi"/>
              </w:rPr>
              <w:t>, Tango &amp; Ogawa</w:t>
            </w:r>
            <w:r>
              <w:rPr>
                <w:rFonts w:cstheme="minorHAnsi"/>
              </w:rPr>
              <w:fldChar w:fldCharType="begin"/>
            </w:r>
            <w:r>
              <w:rPr>
                <w:rFonts w:cstheme="minorHAnsi"/>
              </w:rPr>
              <w:instrText xml:space="preserve"> ADDIN EN.CITE &lt;EndNote&gt;&lt;Cite&gt;&lt;Author&gt;Nishikawa&lt;/Author&gt;&lt;Year&gt;2006&lt;/Year&gt;&lt;RecNum&gt;18576&lt;/RecNum&gt;&lt;DisplayText&gt;&lt;style face="superscript"&gt;35&lt;/style&gt;&lt;/DisplayText&gt;&lt;record&gt;&lt;rec-number&gt;18576&lt;/rec-number&gt;&lt;foreign-keys&gt;&lt;key app="EN" db-id="z2f5a5pt0222p8esesuv59tow0trtzfpdxaw" timestamp="1521050154"&gt;18576&lt;/key&gt;&lt;/foreign-keys&gt;&lt;ref-type name="Journal Article"&gt;17&lt;/ref-type&gt;&lt;contributors&gt;&lt;authors&gt;&lt;author&gt;Nishikawa, M.&lt;/author&gt;&lt;author&gt;Tango, T.&lt;/author&gt;&lt;author&gt;Ogawa, M.&lt;/author&gt;&lt;/authors&gt;&lt;/contributors&gt;&lt;auth-address&gt;(Nishikawa, Tango) Department of Technology Assessment and Biostatistics, National Institute of Public Health, 3-6 Minami 2 chome, Wako, Saitama-ken 351-0197, Japan (Ogawa) Biostatistics and Data Management Department, Sanofi-Aventis K.K., 20-2 Nishi-Shinjuku 3-chome, Shinjuku-ku, Tokyo 163-1488, Japan&lt;/auth-address&gt;&lt;titles&gt;&lt;title&gt;Non-parametric inference of adverse events under informative censoring&lt;/title&gt;&lt;secondary-title&gt;Statistics in Medicine&lt;/secondary-title&gt;&lt;/titles&gt;&lt;periodical&gt;&lt;full-title&gt;Statistics in Medicine&lt;/full-title&gt;&lt;/periodical&gt;&lt;pages&gt;3981-4003&lt;/pages&gt;&lt;volume&gt;25&lt;/volume&gt;&lt;number&gt;23&lt;/number&gt;&lt;dates&gt;&lt;year&gt;2006&lt;/year&gt;&lt;pub-dates&gt;&lt;date&gt;15 Dec&lt;/date&gt;&lt;/pub-dates&gt;&lt;/dates&gt;&lt;accession-num&gt;44823870&lt;/accession-num&gt;&lt;urls&gt;&lt;related-urls&gt;&lt;url&gt;http://ovidsp.ovid.com/ovidweb.cgi?T=JS&amp;amp;CSC=Y&amp;amp;NEWS=N&amp;amp;PAGE=fulltext&amp;amp;D=emed10&amp;amp;AN=44823870&lt;/url&gt;&lt;/related-urls&gt;&lt;/urls&gt;&lt;remote-database-name&gt;Embase&lt;/remote-database-name&gt;&lt;remote-database-provider&gt;Ovid Technologies&lt;/remote-database-provider&gt;&lt;/record&gt;&lt;/Cite&gt;&lt;/EndNote&gt;</w:instrText>
            </w:r>
            <w:r>
              <w:rPr>
                <w:rFonts w:cstheme="minorHAnsi"/>
              </w:rPr>
              <w:fldChar w:fldCharType="separate"/>
            </w:r>
            <w:r w:rsidRPr="005550A8">
              <w:rPr>
                <w:rFonts w:cstheme="minorHAnsi"/>
                <w:noProof/>
                <w:vertAlign w:val="superscript"/>
              </w:rPr>
              <w:t>35</w:t>
            </w:r>
            <w:r>
              <w:rPr>
                <w:rFonts w:cstheme="minorHAnsi"/>
              </w:rPr>
              <w:fldChar w:fldCharType="end"/>
            </w:r>
          </w:p>
        </w:tc>
        <w:tc>
          <w:tcPr>
            <w:tcW w:w="6379" w:type="dxa"/>
            <w:tcBorders>
              <w:top w:val="nil"/>
              <w:left w:val="nil"/>
              <w:bottom w:val="single" w:sz="4" w:space="0" w:color="auto"/>
              <w:right w:val="single" w:sz="4" w:space="0" w:color="auto"/>
            </w:tcBorders>
            <w:shd w:val="clear" w:color="auto" w:fill="auto"/>
            <w:vAlign w:val="bottom"/>
            <w:hideMark/>
          </w:tcPr>
          <w:p w14:paraId="262D51A2"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Probability of a recurrent event in presence of competing risks</w:t>
            </w:r>
          </w:p>
        </w:tc>
      </w:tr>
      <w:tr w:rsidR="00E37363" w:rsidRPr="00A512E7" w14:paraId="20A3E23B" w14:textId="77777777" w:rsidTr="00B45076">
        <w:trPr>
          <w:trHeight w:val="298"/>
        </w:trPr>
        <w:tc>
          <w:tcPr>
            <w:tcW w:w="1218" w:type="dxa"/>
            <w:tcBorders>
              <w:top w:val="nil"/>
              <w:left w:val="single" w:sz="4" w:space="0" w:color="auto"/>
              <w:bottom w:val="single" w:sz="4" w:space="0" w:color="auto"/>
              <w:right w:val="single" w:sz="4" w:space="0" w:color="auto"/>
            </w:tcBorders>
            <w:shd w:val="clear" w:color="000000" w:fill="A6A6A6"/>
            <w:noWrap/>
            <w:vAlign w:val="center"/>
            <w:hideMark/>
          </w:tcPr>
          <w:p w14:paraId="523990DC"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r w:rsidRPr="00A512E7">
              <w:rPr>
                <w:rFonts w:ascii="Calibri" w:eastAsia="Times New Roman" w:hAnsi="Calibri" w:cs="Calibri"/>
                <w:b/>
                <w:bCs/>
                <w:color w:val="000000"/>
                <w:lang w:eastAsia="en-GB"/>
              </w:rPr>
              <w:t> </w:t>
            </w:r>
          </w:p>
        </w:tc>
        <w:tc>
          <w:tcPr>
            <w:tcW w:w="1612" w:type="dxa"/>
            <w:tcBorders>
              <w:top w:val="nil"/>
              <w:left w:val="nil"/>
              <w:bottom w:val="single" w:sz="4" w:space="0" w:color="auto"/>
              <w:right w:val="single" w:sz="4" w:space="0" w:color="auto"/>
            </w:tcBorders>
            <w:shd w:val="clear" w:color="000000" w:fill="A6A6A6"/>
            <w:noWrap/>
            <w:vAlign w:val="bottom"/>
            <w:hideMark/>
          </w:tcPr>
          <w:p w14:paraId="057723DD"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 </w:t>
            </w:r>
          </w:p>
        </w:tc>
        <w:tc>
          <w:tcPr>
            <w:tcW w:w="2977" w:type="dxa"/>
            <w:tcBorders>
              <w:top w:val="nil"/>
              <w:left w:val="nil"/>
              <w:bottom w:val="single" w:sz="4" w:space="0" w:color="auto"/>
              <w:right w:val="single" w:sz="4" w:space="0" w:color="auto"/>
            </w:tcBorders>
            <w:shd w:val="clear" w:color="000000" w:fill="A6A6A6"/>
            <w:noWrap/>
            <w:vAlign w:val="bottom"/>
            <w:hideMark/>
          </w:tcPr>
          <w:p w14:paraId="46A783E4"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 </w:t>
            </w:r>
          </w:p>
        </w:tc>
        <w:tc>
          <w:tcPr>
            <w:tcW w:w="2410" w:type="dxa"/>
            <w:tcBorders>
              <w:top w:val="nil"/>
              <w:left w:val="nil"/>
              <w:bottom w:val="single" w:sz="4" w:space="0" w:color="auto"/>
              <w:right w:val="single" w:sz="4" w:space="0" w:color="auto"/>
            </w:tcBorders>
            <w:shd w:val="clear" w:color="000000" w:fill="A6A6A6"/>
            <w:noWrap/>
            <w:vAlign w:val="bottom"/>
            <w:hideMark/>
          </w:tcPr>
          <w:p w14:paraId="237B9AEC"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 </w:t>
            </w:r>
          </w:p>
        </w:tc>
        <w:tc>
          <w:tcPr>
            <w:tcW w:w="6379" w:type="dxa"/>
            <w:tcBorders>
              <w:top w:val="nil"/>
              <w:left w:val="nil"/>
              <w:bottom w:val="single" w:sz="4" w:space="0" w:color="auto"/>
              <w:right w:val="single" w:sz="4" w:space="0" w:color="auto"/>
            </w:tcBorders>
            <w:shd w:val="clear" w:color="000000" w:fill="A6A6A6"/>
            <w:vAlign w:val="bottom"/>
            <w:hideMark/>
          </w:tcPr>
          <w:p w14:paraId="57F30216"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 </w:t>
            </w:r>
          </w:p>
        </w:tc>
      </w:tr>
      <w:tr w:rsidR="00E37363" w:rsidRPr="00A512E7" w14:paraId="69F1F8FD" w14:textId="77777777" w:rsidTr="00B45076">
        <w:trPr>
          <w:trHeight w:val="569"/>
        </w:trPr>
        <w:tc>
          <w:tcPr>
            <w:tcW w:w="1218" w:type="dxa"/>
            <w:tcBorders>
              <w:top w:val="nil"/>
              <w:left w:val="single" w:sz="4" w:space="0" w:color="auto"/>
              <w:bottom w:val="single" w:sz="4" w:space="0" w:color="auto"/>
              <w:right w:val="single" w:sz="4" w:space="0" w:color="auto"/>
            </w:tcBorders>
            <w:shd w:val="clear" w:color="auto" w:fill="auto"/>
            <w:noWrap/>
            <w:vAlign w:val="center"/>
            <w:hideMark/>
          </w:tcPr>
          <w:p w14:paraId="4A2ABBE9" w14:textId="77777777" w:rsidR="00E37363" w:rsidRPr="00A512E7" w:rsidRDefault="00E37363" w:rsidP="00B45076">
            <w:pPr>
              <w:spacing w:after="0" w:line="240" w:lineRule="auto"/>
              <w:jc w:val="center"/>
              <w:rPr>
                <w:rFonts w:ascii="Calibri" w:eastAsia="Times New Roman" w:hAnsi="Calibri" w:cs="Calibri"/>
                <w:b/>
                <w:bCs/>
                <w:color w:val="000000"/>
                <w:lang w:eastAsia="en-GB"/>
              </w:rPr>
            </w:pPr>
            <w:r w:rsidRPr="00A512E7">
              <w:rPr>
                <w:rFonts w:ascii="Calibri" w:eastAsia="Times New Roman" w:hAnsi="Calibri" w:cs="Calibri"/>
                <w:b/>
                <w:bCs/>
                <w:color w:val="000000"/>
                <w:lang w:eastAsia="en-GB"/>
              </w:rPr>
              <w:t>Laboratory &amp; vital signs</w:t>
            </w:r>
          </w:p>
        </w:tc>
        <w:tc>
          <w:tcPr>
            <w:tcW w:w="1612" w:type="dxa"/>
            <w:tcBorders>
              <w:top w:val="nil"/>
              <w:left w:val="nil"/>
              <w:bottom w:val="single" w:sz="4" w:space="0" w:color="auto"/>
              <w:right w:val="single" w:sz="4" w:space="0" w:color="auto"/>
            </w:tcBorders>
            <w:shd w:val="clear" w:color="auto" w:fill="auto"/>
            <w:noWrap/>
            <w:vAlign w:val="bottom"/>
            <w:hideMark/>
          </w:tcPr>
          <w:p w14:paraId="6477C89D"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 xml:space="preserve">Continuous </w:t>
            </w:r>
          </w:p>
        </w:tc>
        <w:tc>
          <w:tcPr>
            <w:tcW w:w="2977" w:type="dxa"/>
            <w:tcBorders>
              <w:top w:val="nil"/>
              <w:left w:val="nil"/>
              <w:bottom w:val="single" w:sz="4" w:space="0" w:color="auto"/>
              <w:right w:val="single" w:sz="4" w:space="0" w:color="auto"/>
            </w:tcBorders>
            <w:shd w:val="clear" w:color="auto" w:fill="auto"/>
            <w:noWrap/>
            <w:vAlign w:val="bottom"/>
            <w:hideMark/>
          </w:tcPr>
          <w:p w14:paraId="6258093F"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GENIE score</w:t>
            </w:r>
          </w:p>
        </w:tc>
        <w:tc>
          <w:tcPr>
            <w:tcW w:w="2410" w:type="dxa"/>
            <w:tcBorders>
              <w:top w:val="nil"/>
              <w:left w:val="nil"/>
              <w:bottom w:val="single" w:sz="4" w:space="0" w:color="auto"/>
              <w:right w:val="single" w:sz="4" w:space="0" w:color="auto"/>
            </w:tcBorders>
            <w:shd w:val="clear" w:color="auto" w:fill="auto"/>
            <w:vAlign w:val="bottom"/>
            <w:hideMark/>
          </w:tcPr>
          <w:p w14:paraId="6667AA66" w14:textId="77777777" w:rsidR="00E37363" w:rsidRPr="00A512E7" w:rsidRDefault="00E37363" w:rsidP="00B45076">
            <w:pPr>
              <w:spacing w:after="0" w:line="240" w:lineRule="auto"/>
              <w:rPr>
                <w:rFonts w:ascii="Calibri" w:eastAsia="Times New Roman" w:hAnsi="Calibri" w:cs="Calibri"/>
                <w:color w:val="000000"/>
                <w:lang w:eastAsia="en-GB"/>
              </w:rPr>
            </w:pPr>
            <w:proofErr w:type="spellStart"/>
            <w:r w:rsidRPr="00A512E7">
              <w:rPr>
                <w:rFonts w:ascii="Calibri" w:eastAsia="Times New Roman" w:hAnsi="Calibri" w:cs="Calibri"/>
                <w:color w:val="000000"/>
                <w:lang w:eastAsia="en-GB"/>
              </w:rPr>
              <w:t>So</w:t>
            </w:r>
            <w:r>
              <w:rPr>
                <w:rFonts w:ascii="Calibri" w:eastAsia="Times New Roman" w:hAnsi="Calibri" w:cs="Calibri"/>
                <w:color w:val="000000"/>
                <w:lang w:eastAsia="en-GB"/>
              </w:rPr>
              <w:t>gliero</w:t>
            </w:r>
            <w:proofErr w:type="spellEnd"/>
            <w:r>
              <w:rPr>
                <w:rFonts w:ascii="Calibri" w:eastAsia="Times New Roman" w:hAnsi="Calibri" w:cs="Calibri"/>
                <w:color w:val="000000"/>
                <w:lang w:eastAsia="en-GB"/>
              </w:rPr>
              <w:t>-Gilbert, Ting, &amp; Zubkoff</w:t>
            </w:r>
            <w:r>
              <w:rPr>
                <w:rFonts w:ascii="Calibri" w:eastAsia="Times New Roman" w:hAnsi="Calibri" w:cs="Calibri"/>
                <w:color w:val="000000"/>
                <w:lang w:eastAsia="en-GB"/>
              </w:rPr>
              <w:fldChar w:fldCharType="begin"/>
            </w:r>
            <w:r>
              <w:rPr>
                <w:rFonts w:ascii="Calibri" w:eastAsia="Times New Roman" w:hAnsi="Calibri" w:cs="Calibri"/>
                <w:color w:val="000000"/>
                <w:lang w:eastAsia="en-GB"/>
              </w:rPr>
              <w:instrText xml:space="preserve"> ADDIN EN.CITE &lt;EndNote&gt;&lt;Cite&gt;&lt;Author&gt;Sogliero-Gilbert&lt;/Author&gt;&lt;Year&gt;1991&lt;/Year&gt;&lt;RecNum&gt;24915&lt;/RecNum&gt;&lt;DisplayText&gt;&lt;style face="superscript"&gt;36&lt;/style&gt;&lt;/DisplayText&gt;&lt;record&gt;&lt;rec-number&gt;24915&lt;/rec-number&gt;&lt;foreign-keys&gt;&lt;key app="EN" db-id="z2f5a5pt0222p8esesuv59tow0trtzfpdxaw" timestamp="1535711773"&gt;24915&lt;/key&gt;&lt;/foreign-keys&gt;&lt;ref-type name="Journal Article"&gt;17&lt;/ref-type&gt;&lt;contributors&gt;&lt;authors&gt;&lt;author&gt;Sogliero-Gilbert, G., Ting, N. and Zubkoff, L. &lt;/author&gt;&lt;/authors&gt;&lt;/contributors&gt;&lt;titles&gt;&lt;title&gt;A statistical comparison of drug safety in controlled clinical trials: The Genie score as an objective measure of lab abnormalities&lt;/title&gt;&lt;secondary-title&gt;Therapeutic Innovation &amp;amp; Regulatory Science&lt;/secondary-title&gt;&lt;/titles&gt;&lt;periodical&gt;&lt;full-title&gt;Therapeutic Innovation &amp;amp; Regulatory Science&lt;/full-title&gt;&lt;/periodical&gt;&lt;volume&gt;25&lt;/volume&gt;&lt;number&gt;1&lt;/number&gt;&lt;dates&gt;&lt;year&gt;1991&lt;/year&gt;&lt;pub-dates&gt;&lt;date&gt;January 1, 1991&lt;/date&gt;&lt;/pub-dates&gt;&lt;/dates&gt;&lt;urls&gt;&lt;/urls&gt;&lt;electronic-resource-num&gt;https://doi.org/10.1177/009286159102500109&lt;/electronic-resource-num&gt;&lt;/record&gt;&lt;/Cite&gt;&lt;/EndNote&gt;</w:instrText>
            </w:r>
            <w:r>
              <w:rPr>
                <w:rFonts w:ascii="Calibri" w:eastAsia="Times New Roman" w:hAnsi="Calibri" w:cs="Calibri"/>
                <w:color w:val="000000"/>
                <w:lang w:eastAsia="en-GB"/>
              </w:rPr>
              <w:fldChar w:fldCharType="separate"/>
            </w:r>
            <w:r w:rsidRPr="005550A8">
              <w:rPr>
                <w:rFonts w:ascii="Calibri" w:eastAsia="Times New Roman" w:hAnsi="Calibri" w:cs="Calibri"/>
                <w:noProof/>
                <w:color w:val="000000"/>
                <w:vertAlign w:val="superscript"/>
                <w:lang w:eastAsia="en-GB"/>
              </w:rPr>
              <w:t>36</w:t>
            </w:r>
            <w:r>
              <w:rPr>
                <w:rFonts w:ascii="Calibri" w:eastAsia="Times New Roman" w:hAnsi="Calibri" w:cs="Calibri"/>
                <w:color w:val="000000"/>
                <w:lang w:eastAsia="en-GB"/>
              </w:rPr>
              <w:fldChar w:fldCharType="end"/>
            </w:r>
          </w:p>
        </w:tc>
        <w:tc>
          <w:tcPr>
            <w:tcW w:w="6379" w:type="dxa"/>
            <w:tcBorders>
              <w:top w:val="nil"/>
              <w:left w:val="nil"/>
              <w:bottom w:val="single" w:sz="4" w:space="0" w:color="auto"/>
              <w:right w:val="single" w:sz="4" w:space="0" w:color="auto"/>
            </w:tcBorders>
            <w:shd w:val="clear" w:color="auto" w:fill="auto"/>
            <w:vAlign w:val="bottom"/>
            <w:hideMark/>
          </w:tcPr>
          <w:p w14:paraId="3200F634" w14:textId="77777777" w:rsidR="00E37363" w:rsidRPr="00A512E7" w:rsidRDefault="00E37363" w:rsidP="00B45076">
            <w:pPr>
              <w:spacing w:after="0" w:line="240" w:lineRule="auto"/>
              <w:rPr>
                <w:rFonts w:ascii="Calibri" w:eastAsia="Times New Roman" w:hAnsi="Calibri" w:cs="Calibri"/>
                <w:color w:val="000000"/>
                <w:lang w:eastAsia="en-GB"/>
              </w:rPr>
            </w:pPr>
            <w:r w:rsidRPr="00A512E7">
              <w:rPr>
                <w:rFonts w:ascii="Calibri" w:eastAsia="Times New Roman" w:hAnsi="Calibri" w:cs="Calibri"/>
                <w:color w:val="000000"/>
                <w:lang w:eastAsia="en-GB"/>
              </w:rPr>
              <w:t>Weighted linear combination of absolute normalised deviations from the reference range to indicate abnormalities</w:t>
            </w:r>
          </w:p>
        </w:tc>
      </w:tr>
    </w:tbl>
    <w:p w14:paraId="02E9E26C" w14:textId="77777777" w:rsidR="00E37363" w:rsidRDefault="00E37363" w:rsidP="00E37363"/>
    <w:p w14:paraId="619FFAE9" w14:textId="77777777" w:rsidR="00E37363" w:rsidRDefault="00E37363" w:rsidP="00E37363">
      <w:r>
        <w:br w:type="page"/>
      </w:r>
    </w:p>
    <w:p w14:paraId="5169A6E5" w14:textId="77777777" w:rsidR="00E37363" w:rsidRDefault="00E37363" w:rsidP="00E37363">
      <w:pPr>
        <w:sectPr w:rsidR="00E37363" w:rsidSect="00E37363">
          <w:pgSz w:w="16838" w:h="11906" w:orient="landscape" w:code="9"/>
          <w:pgMar w:top="1440" w:right="1440" w:bottom="1440" w:left="1440" w:header="709" w:footer="709" w:gutter="0"/>
          <w:cols w:space="708"/>
          <w:docGrid w:linePitch="360"/>
        </w:sectPr>
      </w:pPr>
    </w:p>
    <w:tbl>
      <w:tblPr>
        <w:tblW w:w="12299" w:type="dxa"/>
        <w:tblInd w:w="-5" w:type="dxa"/>
        <w:tblLook w:val="04A0" w:firstRow="1" w:lastRow="0" w:firstColumn="1" w:lastColumn="0" w:noHBand="0" w:noVBand="1"/>
      </w:tblPr>
      <w:tblGrid>
        <w:gridCol w:w="1414"/>
        <w:gridCol w:w="1130"/>
        <w:gridCol w:w="1696"/>
        <w:gridCol w:w="2261"/>
        <w:gridCol w:w="2261"/>
        <w:gridCol w:w="3537"/>
      </w:tblGrid>
      <w:tr w:rsidR="00E37363" w:rsidRPr="000F2BAF" w14:paraId="42084E96" w14:textId="77777777" w:rsidTr="00B45076">
        <w:trPr>
          <w:trHeight w:val="132"/>
        </w:trPr>
        <w:tc>
          <w:tcPr>
            <w:tcW w:w="12299" w:type="dxa"/>
            <w:gridSpan w:val="6"/>
            <w:tcBorders>
              <w:bottom w:val="single" w:sz="4" w:space="0" w:color="auto"/>
            </w:tcBorders>
          </w:tcPr>
          <w:p w14:paraId="5D347F66" w14:textId="77777777" w:rsidR="00E37363" w:rsidRPr="00C15C68" w:rsidRDefault="00E37363" w:rsidP="00B45076">
            <w:pPr>
              <w:spacing w:after="0" w:line="240" w:lineRule="auto"/>
              <w:rPr>
                <w:rFonts w:ascii="Calibri" w:eastAsia="Times New Roman" w:hAnsi="Calibri" w:cs="Calibri"/>
                <w:b/>
                <w:bCs/>
                <w:color w:val="000000"/>
                <w:lang w:eastAsia="en-GB"/>
              </w:rPr>
            </w:pPr>
            <w:r w:rsidRPr="00C15C68">
              <w:rPr>
                <w:rFonts w:ascii="Calibri" w:eastAsia="Times New Roman" w:hAnsi="Calibri" w:cs="Calibri"/>
                <w:b/>
                <w:bCs/>
                <w:color w:val="000000"/>
                <w:lang w:eastAsia="en-GB"/>
              </w:rPr>
              <w:lastRenderedPageBreak/>
              <w:t xml:space="preserve">Table 7: Summary of decision making probability methods to analyse prespecified harm outcomes </w:t>
            </w:r>
            <w:r w:rsidRPr="00C15C68">
              <w:rPr>
                <w:rFonts w:cstheme="minorHAnsi"/>
                <w:b/>
              </w:rPr>
              <w:t>in phase II/III RCTs</w:t>
            </w:r>
          </w:p>
        </w:tc>
      </w:tr>
      <w:tr w:rsidR="00E37363" w:rsidRPr="000F2BAF" w14:paraId="63105929" w14:textId="77777777" w:rsidTr="00B45076">
        <w:trPr>
          <w:trHeight w:val="132"/>
        </w:trPr>
        <w:tc>
          <w:tcPr>
            <w:tcW w:w="14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BBA4DC" w14:textId="77777777" w:rsidR="00E37363" w:rsidRPr="000F2BAF" w:rsidRDefault="00E37363" w:rsidP="00B45076">
            <w:pPr>
              <w:spacing w:after="0" w:line="240" w:lineRule="auto"/>
              <w:jc w:val="center"/>
              <w:rPr>
                <w:rFonts w:ascii="Calibri" w:eastAsia="Times New Roman" w:hAnsi="Calibri" w:cs="Calibri"/>
                <w:b/>
                <w:bCs/>
                <w:color w:val="000000"/>
                <w:lang w:eastAsia="en-GB"/>
              </w:rPr>
            </w:pPr>
            <w:r w:rsidRPr="000F2BAF">
              <w:rPr>
                <w:rFonts w:ascii="Calibri" w:eastAsia="Times New Roman" w:hAnsi="Calibri" w:cs="Calibri"/>
                <w:b/>
                <w:bCs/>
                <w:color w:val="000000"/>
                <w:lang w:eastAsia="en-GB"/>
              </w:rPr>
              <w:t>Outcome</w:t>
            </w:r>
          </w:p>
        </w:tc>
        <w:tc>
          <w:tcPr>
            <w:tcW w:w="1130" w:type="dxa"/>
            <w:tcBorders>
              <w:top w:val="single" w:sz="4" w:space="0" w:color="auto"/>
              <w:left w:val="nil"/>
              <w:bottom w:val="single" w:sz="4" w:space="0" w:color="auto"/>
              <w:right w:val="single" w:sz="4" w:space="0" w:color="auto"/>
            </w:tcBorders>
            <w:shd w:val="clear" w:color="auto" w:fill="auto"/>
            <w:noWrap/>
            <w:vAlign w:val="bottom"/>
            <w:hideMark/>
          </w:tcPr>
          <w:p w14:paraId="60B079FD" w14:textId="77777777" w:rsidR="00E37363" w:rsidRPr="000F2BAF" w:rsidRDefault="00E37363" w:rsidP="00B45076">
            <w:pPr>
              <w:spacing w:after="0" w:line="240" w:lineRule="auto"/>
              <w:jc w:val="center"/>
              <w:rPr>
                <w:rFonts w:ascii="Calibri" w:eastAsia="Times New Roman" w:hAnsi="Calibri" w:cs="Calibri"/>
                <w:b/>
                <w:bCs/>
                <w:color w:val="000000"/>
                <w:lang w:eastAsia="en-GB"/>
              </w:rPr>
            </w:pPr>
            <w:r w:rsidRPr="000F2BAF">
              <w:rPr>
                <w:rFonts w:ascii="Calibri" w:eastAsia="Times New Roman" w:hAnsi="Calibri" w:cs="Calibri"/>
                <w:b/>
                <w:bCs/>
                <w:color w:val="000000"/>
                <w:lang w:eastAsia="en-GB"/>
              </w:rPr>
              <w:t>Data type</w:t>
            </w:r>
          </w:p>
        </w:tc>
        <w:tc>
          <w:tcPr>
            <w:tcW w:w="1696" w:type="dxa"/>
            <w:tcBorders>
              <w:top w:val="single" w:sz="4" w:space="0" w:color="auto"/>
              <w:left w:val="nil"/>
              <w:bottom w:val="single" w:sz="4" w:space="0" w:color="auto"/>
              <w:right w:val="single" w:sz="4" w:space="0" w:color="auto"/>
            </w:tcBorders>
            <w:shd w:val="clear" w:color="auto" w:fill="auto"/>
            <w:noWrap/>
            <w:vAlign w:val="bottom"/>
            <w:hideMark/>
          </w:tcPr>
          <w:p w14:paraId="6D44D897" w14:textId="77777777" w:rsidR="00E37363" w:rsidRPr="000F2BAF" w:rsidRDefault="00E37363" w:rsidP="00B45076">
            <w:pPr>
              <w:spacing w:after="0" w:line="240" w:lineRule="auto"/>
              <w:rPr>
                <w:rFonts w:ascii="Calibri" w:eastAsia="Times New Roman" w:hAnsi="Calibri" w:cs="Calibri"/>
                <w:b/>
                <w:bCs/>
                <w:color w:val="000000"/>
                <w:lang w:eastAsia="en-GB"/>
              </w:rPr>
            </w:pPr>
            <w:r w:rsidRPr="000F2BAF">
              <w:rPr>
                <w:rFonts w:ascii="Calibri" w:eastAsia="Times New Roman" w:hAnsi="Calibri" w:cs="Calibri"/>
                <w:b/>
                <w:bCs/>
                <w:color w:val="000000"/>
                <w:lang w:eastAsia="en-GB"/>
              </w:rPr>
              <w:t>Model</w:t>
            </w:r>
          </w:p>
        </w:tc>
        <w:tc>
          <w:tcPr>
            <w:tcW w:w="2261" w:type="dxa"/>
            <w:tcBorders>
              <w:top w:val="single" w:sz="4" w:space="0" w:color="auto"/>
              <w:left w:val="nil"/>
              <w:bottom w:val="single" w:sz="4" w:space="0" w:color="auto"/>
              <w:right w:val="single" w:sz="4" w:space="0" w:color="auto"/>
            </w:tcBorders>
          </w:tcPr>
          <w:p w14:paraId="05361876" w14:textId="77777777" w:rsidR="00E37363" w:rsidRPr="000F2BAF" w:rsidRDefault="00E37363" w:rsidP="00B45076">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Prior</w:t>
            </w:r>
          </w:p>
        </w:tc>
        <w:tc>
          <w:tcPr>
            <w:tcW w:w="22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55273C" w14:textId="77777777" w:rsidR="00E37363" w:rsidRPr="000F2BAF" w:rsidRDefault="00E37363" w:rsidP="00B45076">
            <w:pPr>
              <w:spacing w:after="0" w:line="240" w:lineRule="auto"/>
              <w:jc w:val="center"/>
              <w:rPr>
                <w:rFonts w:ascii="Calibri" w:eastAsia="Times New Roman" w:hAnsi="Calibri" w:cs="Calibri"/>
                <w:b/>
                <w:bCs/>
                <w:color w:val="000000"/>
                <w:lang w:eastAsia="en-GB"/>
              </w:rPr>
            </w:pPr>
            <w:r w:rsidRPr="000F2BAF">
              <w:rPr>
                <w:rFonts w:ascii="Calibri" w:eastAsia="Times New Roman" w:hAnsi="Calibri" w:cs="Calibri"/>
                <w:b/>
                <w:bCs/>
                <w:color w:val="000000"/>
                <w:lang w:eastAsia="en-GB"/>
              </w:rPr>
              <w:t>Reference</w:t>
            </w:r>
          </w:p>
        </w:tc>
        <w:tc>
          <w:tcPr>
            <w:tcW w:w="3537" w:type="dxa"/>
            <w:tcBorders>
              <w:top w:val="single" w:sz="4" w:space="0" w:color="auto"/>
              <w:left w:val="nil"/>
              <w:bottom w:val="single" w:sz="4" w:space="0" w:color="auto"/>
              <w:right w:val="single" w:sz="4" w:space="0" w:color="auto"/>
            </w:tcBorders>
            <w:shd w:val="clear" w:color="auto" w:fill="auto"/>
            <w:vAlign w:val="bottom"/>
            <w:hideMark/>
          </w:tcPr>
          <w:p w14:paraId="68CEDD65" w14:textId="77777777" w:rsidR="00E37363" w:rsidRPr="000F2BAF" w:rsidRDefault="00E37363" w:rsidP="00B45076">
            <w:pPr>
              <w:spacing w:after="0" w:line="240" w:lineRule="auto"/>
              <w:rPr>
                <w:rFonts w:ascii="Calibri" w:eastAsia="Times New Roman" w:hAnsi="Calibri" w:cs="Calibri"/>
                <w:b/>
                <w:bCs/>
                <w:color w:val="000000"/>
                <w:lang w:eastAsia="en-GB"/>
              </w:rPr>
            </w:pPr>
            <w:r w:rsidRPr="000F2BAF">
              <w:rPr>
                <w:rFonts w:ascii="Calibri" w:eastAsia="Times New Roman" w:hAnsi="Calibri" w:cs="Calibri"/>
                <w:b/>
                <w:bCs/>
                <w:color w:val="000000"/>
                <w:lang w:eastAsia="en-GB"/>
              </w:rPr>
              <w:t>Brief Description</w:t>
            </w:r>
          </w:p>
        </w:tc>
      </w:tr>
      <w:tr w:rsidR="00E37363" w:rsidRPr="000F2BAF" w14:paraId="5DC5D36A" w14:textId="77777777" w:rsidTr="00B45076">
        <w:trPr>
          <w:trHeight w:val="132"/>
        </w:trPr>
        <w:tc>
          <w:tcPr>
            <w:tcW w:w="1414" w:type="dxa"/>
            <w:tcBorders>
              <w:top w:val="nil"/>
              <w:left w:val="single" w:sz="4" w:space="0" w:color="auto"/>
              <w:bottom w:val="single" w:sz="4" w:space="0" w:color="auto"/>
              <w:right w:val="single" w:sz="4" w:space="0" w:color="auto"/>
            </w:tcBorders>
            <w:shd w:val="clear" w:color="auto" w:fill="auto"/>
            <w:noWrap/>
            <w:vAlign w:val="bottom"/>
            <w:hideMark/>
          </w:tcPr>
          <w:p w14:paraId="05396233"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 </w:t>
            </w:r>
          </w:p>
        </w:tc>
        <w:tc>
          <w:tcPr>
            <w:tcW w:w="1130" w:type="dxa"/>
            <w:tcBorders>
              <w:top w:val="nil"/>
              <w:left w:val="nil"/>
              <w:bottom w:val="single" w:sz="4" w:space="0" w:color="auto"/>
              <w:right w:val="single" w:sz="4" w:space="0" w:color="auto"/>
            </w:tcBorders>
            <w:shd w:val="clear" w:color="auto" w:fill="auto"/>
            <w:noWrap/>
            <w:vAlign w:val="bottom"/>
            <w:hideMark/>
          </w:tcPr>
          <w:p w14:paraId="0578EC03"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 </w:t>
            </w:r>
          </w:p>
        </w:tc>
        <w:tc>
          <w:tcPr>
            <w:tcW w:w="1696" w:type="dxa"/>
            <w:tcBorders>
              <w:top w:val="nil"/>
              <w:left w:val="nil"/>
              <w:bottom w:val="single" w:sz="4" w:space="0" w:color="auto"/>
              <w:right w:val="single" w:sz="4" w:space="0" w:color="auto"/>
            </w:tcBorders>
            <w:shd w:val="clear" w:color="auto" w:fill="auto"/>
            <w:noWrap/>
            <w:vAlign w:val="bottom"/>
            <w:hideMark/>
          </w:tcPr>
          <w:p w14:paraId="0B02EC62"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 </w:t>
            </w:r>
          </w:p>
        </w:tc>
        <w:tc>
          <w:tcPr>
            <w:tcW w:w="2261" w:type="dxa"/>
            <w:tcBorders>
              <w:top w:val="nil"/>
              <w:left w:val="nil"/>
              <w:bottom w:val="single" w:sz="4" w:space="0" w:color="auto"/>
              <w:right w:val="single" w:sz="4" w:space="0" w:color="auto"/>
            </w:tcBorders>
          </w:tcPr>
          <w:p w14:paraId="0A333569" w14:textId="77777777" w:rsidR="00E37363" w:rsidRPr="000F2BAF" w:rsidRDefault="00E37363" w:rsidP="00B45076">
            <w:pPr>
              <w:spacing w:after="0" w:line="240" w:lineRule="auto"/>
              <w:jc w:val="center"/>
              <w:rPr>
                <w:rFonts w:ascii="Calibri" w:eastAsia="Times New Roman" w:hAnsi="Calibri" w:cs="Calibri"/>
                <w:color w:val="000000"/>
                <w:lang w:eastAsia="en-GB"/>
              </w:rPr>
            </w:pPr>
          </w:p>
        </w:tc>
        <w:tc>
          <w:tcPr>
            <w:tcW w:w="22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94AD65" w14:textId="77777777" w:rsidR="00E37363" w:rsidRPr="000F2BAF" w:rsidRDefault="00E37363" w:rsidP="00B45076">
            <w:pPr>
              <w:spacing w:after="0" w:line="240" w:lineRule="auto"/>
              <w:jc w:val="center"/>
              <w:rPr>
                <w:rFonts w:ascii="Calibri" w:eastAsia="Times New Roman" w:hAnsi="Calibri" w:cs="Calibri"/>
                <w:color w:val="000000"/>
                <w:lang w:eastAsia="en-GB"/>
              </w:rPr>
            </w:pPr>
            <w:r w:rsidRPr="000F2BAF">
              <w:rPr>
                <w:rFonts w:ascii="Calibri" w:eastAsia="Times New Roman" w:hAnsi="Calibri" w:cs="Calibri"/>
                <w:color w:val="000000"/>
                <w:lang w:eastAsia="en-GB"/>
              </w:rPr>
              <w:t> </w:t>
            </w:r>
          </w:p>
        </w:tc>
        <w:tc>
          <w:tcPr>
            <w:tcW w:w="3537" w:type="dxa"/>
            <w:tcBorders>
              <w:top w:val="nil"/>
              <w:left w:val="nil"/>
              <w:bottom w:val="single" w:sz="4" w:space="0" w:color="auto"/>
              <w:right w:val="single" w:sz="4" w:space="0" w:color="auto"/>
            </w:tcBorders>
            <w:shd w:val="clear" w:color="auto" w:fill="auto"/>
            <w:noWrap/>
            <w:vAlign w:val="bottom"/>
            <w:hideMark/>
          </w:tcPr>
          <w:p w14:paraId="07CCFB00"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 </w:t>
            </w:r>
          </w:p>
        </w:tc>
      </w:tr>
      <w:tr w:rsidR="00E37363" w:rsidRPr="000F2BAF" w14:paraId="73C0A1DE" w14:textId="77777777" w:rsidTr="00B45076">
        <w:trPr>
          <w:trHeight w:val="132"/>
        </w:trPr>
        <w:tc>
          <w:tcPr>
            <w:tcW w:w="1414" w:type="dxa"/>
            <w:vMerge w:val="restart"/>
            <w:tcBorders>
              <w:top w:val="nil"/>
              <w:left w:val="single" w:sz="4" w:space="0" w:color="auto"/>
              <w:bottom w:val="single" w:sz="4" w:space="0" w:color="auto"/>
              <w:right w:val="single" w:sz="4" w:space="0" w:color="auto"/>
            </w:tcBorders>
            <w:shd w:val="clear" w:color="auto" w:fill="auto"/>
            <w:vAlign w:val="center"/>
            <w:hideMark/>
          </w:tcPr>
          <w:p w14:paraId="094C6DFE" w14:textId="77777777" w:rsidR="00E37363" w:rsidRPr="000F2BAF" w:rsidRDefault="00E37363" w:rsidP="00B45076">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 xml:space="preserve">Predefined safety outcome </w:t>
            </w:r>
          </w:p>
        </w:tc>
        <w:tc>
          <w:tcPr>
            <w:tcW w:w="1130" w:type="dxa"/>
            <w:tcBorders>
              <w:top w:val="nil"/>
              <w:left w:val="nil"/>
              <w:bottom w:val="single" w:sz="4" w:space="0" w:color="auto"/>
              <w:right w:val="single" w:sz="4" w:space="0" w:color="auto"/>
            </w:tcBorders>
            <w:shd w:val="clear" w:color="auto" w:fill="auto"/>
            <w:noWrap/>
            <w:vAlign w:val="bottom"/>
            <w:hideMark/>
          </w:tcPr>
          <w:p w14:paraId="54244CA4"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Binary</w:t>
            </w:r>
          </w:p>
        </w:tc>
        <w:tc>
          <w:tcPr>
            <w:tcW w:w="1696" w:type="dxa"/>
            <w:tcBorders>
              <w:top w:val="nil"/>
              <w:left w:val="nil"/>
              <w:bottom w:val="single" w:sz="4" w:space="0" w:color="auto"/>
              <w:right w:val="single" w:sz="4" w:space="0" w:color="auto"/>
            </w:tcBorders>
            <w:shd w:val="clear" w:color="auto" w:fill="auto"/>
            <w:noWrap/>
            <w:vAlign w:val="bottom"/>
            <w:hideMark/>
          </w:tcPr>
          <w:p w14:paraId="0F9CFF3B"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Beta-Binomial</w:t>
            </w:r>
          </w:p>
        </w:tc>
        <w:tc>
          <w:tcPr>
            <w:tcW w:w="2261" w:type="dxa"/>
            <w:tcBorders>
              <w:top w:val="nil"/>
              <w:left w:val="single" w:sz="4" w:space="0" w:color="auto"/>
              <w:bottom w:val="single" w:sz="4" w:space="0" w:color="auto"/>
              <w:right w:val="single" w:sz="4" w:space="0" w:color="auto"/>
            </w:tcBorders>
          </w:tcPr>
          <w:p w14:paraId="14F83122" w14:textId="77777777" w:rsidR="00E37363" w:rsidRPr="000F2BAF"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Beta</w:t>
            </w:r>
          </w:p>
        </w:tc>
        <w:tc>
          <w:tcPr>
            <w:tcW w:w="2261" w:type="dxa"/>
            <w:vMerge w:val="restart"/>
            <w:tcBorders>
              <w:top w:val="nil"/>
              <w:left w:val="single" w:sz="4" w:space="0" w:color="auto"/>
              <w:bottom w:val="single" w:sz="4" w:space="0" w:color="auto"/>
              <w:right w:val="single" w:sz="4" w:space="0" w:color="auto"/>
            </w:tcBorders>
            <w:shd w:val="clear" w:color="auto" w:fill="auto"/>
            <w:vAlign w:val="center"/>
            <w:hideMark/>
          </w:tcPr>
          <w:p w14:paraId="1081AFC2" w14:textId="77777777" w:rsidR="00E37363" w:rsidRPr="000F2BAF"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Berry</w:t>
            </w:r>
            <w:r>
              <w:rPr>
                <w:rFonts w:ascii="Calibri" w:eastAsia="Times New Roman" w:hAnsi="Calibri" w:cs="Calibri"/>
                <w:color w:val="000000"/>
                <w:lang w:eastAsia="en-GB"/>
              </w:rPr>
              <w:fldChar w:fldCharType="begin"/>
            </w:r>
            <w:r>
              <w:rPr>
                <w:rFonts w:ascii="Calibri" w:eastAsia="Times New Roman" w:hAnsi="Calibri" w:cs="Calibri"/>
                <w:color w:val="000000"/>
                <w:lang w:eastAsia="en-GB"/>
              </w:rPr>
              <w:instrText xml:space="preserve"> ADDIN EN.CITE &lt;EndNote&gt;&lt;Cite&gt;&lt;Author&gt;Berry&lt;/Author&gt;&lt;Year&gt;1989&lt;/Year&gt;&lt;RecNum&gt;9364&lt;/RecNum&gt;&lt;DisplayText&gt;&lt;style face="superscript"&gt;37&lt;/style&gt;&lt;/DisplayText&gt;&lt;record&gt;&lt;rec-number&gt;9364&lt;/rec-number&gt;&lt;foreign-keys&gt;&lt;key app="EN" db-id="z2f5a5pt0222p8esesuv59tow0trtzfpdxaw" timestamp="1521047398"&gt;9364&lt;/key&gt;&lt;/foreign-keys&gt;&lt;ref-type name="Journal Article"&gt;17&lt;/ref-type&gt;&lt;contributors&gt;&lt;authors&gt;&lt;author&gt;Berry, D. A.&lt;/author&gt;&lt;/authors&gt;&lt;/contributors&gt;&lt;auth-address&gt;School of Statistics, University of Minnesota, Minneapolis, MN 55455, United States&lt;/auth-address&gt;&lt;titles&gt;&lt;title&gt;Monitoring accumulating data in a clinical trial&lt;/title&gt;&lt;secondary-title&gt;Biometrics&lt;/secondary-title&gt;&lt;alt-title&gt;BIOMETRICS&lt;/alt-title&gt;&lt;/titles&gt;&lt;periodical&gt;&lt;full-title&gt;Biometrics&lt;/full-title&gt;&lt;/periodical&gt;&lt;alt-periodical&gt;&lt;full-title&gt;Biometrics&lt;/full-title&gt;&lt;/alt-periodical&gt;&lt;pages&gt;1197-1211&lt;/pages&gt;&lt;volume&gt;45&lt;/volume&gt;&lt;number&gt;4&lt;/number&gt;&lt;keywords&gt;&lt;keyword&gt;article&lt;/keyword&gt;&lt;keyword&gt;bayes theorem&lt;/keyword&gt;&lt;keyword&gt;clinical trial&lt;/keyword&gt;&lt;keyword&gt;computer analysis&lt;/keyword&gt;&lt;keyword&gt;data analysis&lt;/keyword&gt;&lt;keyword&gt;fatality&lt;/keyword&gt;&lt;keyword&gt;human&lt;/keyword&gt;&lt;keyword&gt;methodology&lt;/keyword&gt;&lt;keyword&gt;monitoring&lt;/keyword&gt;&lt;keyword&gt;mortality&lt;/keyword&gt;&lt;keyword&gt;safety&lt;/keyword&gt;&lt;keyword&gt;theoretical study&lt;/keyword&gt;&lt;keyword&gt;Biometry&lt;/keyword&gt;&lt;keyword&gt;Clinical Trials&lt;/keyword&gt;&lt;keyword&gt;Data Interpretation, Statistical&lt;/keyword&gt;&lt;keyword&gt;Probability&lt;/keyword&gt;&lt;keyword&gt;Prognosis&lt;/keyword&gt;&lt;keyword&gt;Support, U.S. Gov&amp;apos;t, Non-P.H.S.&lt;/keyword&gt;&lt;/keywords&gt;&lt;dates&gt;&lt;year&gt;1989&lt;/year&gt;&lt;/dates&gt;&lt;isbn&gt;0006341X (ISSN)&lt;/isbn&gt;&lt;work-type&gt;Article&lt;/work-type&gt;&lt;urls&gt;&lt;related-urls&gt;&lt;url&gt;https://www.scopus.com/inward/record.uri?eid=2-s2.0-0024893302&amp;amp;partnerID=40&amp;amp;md5=da8f6b051c07005049c5c65da152edcc&lt;/url&gt;&lt;/related-urls&gt;&lt;/urls&gt;&lt;remote-database-name&gt;Scopus&lt;/remote-database-name&gt;&lt;language&gt;English&lt;/language&gt;&lt;/record&gt;&lt;/Cite&gt;&lt;/EndNote&gt;</w:instrText>
            </w:r>
            <w:r>
              <w:rPr>
                <w:rFonts w:ascii="Calibri" w:eastAsia="Times New Roman" w:hAnsi="Calibri" w:cs="Calibri"/>
                <w:color w:val="000000"/>
                <w:lang w:eastAsia="en-GB"/>
              </w:rPr>
              <w:fldChar w:fldCharType="separate"/>
            </w:r>
            <w:r w:rsidRPr="005550A8">
              <w:rPr>
                <w:rFonts w:ascii="Calibri" w:eastAsia="Times New Roman" w:hAnsi="Calibri" w:cs="Calibri"/>
                <w:noProof/>
                <w:color w:val="000000"/>
                <w:vertAlign w:val="superscript"/>
                <w:lang w:eastAsia="en-GB"/>
              </w:rPr>
              <w:t>37</w:t>
            </w:r>
            <w:r>
              <w:rPr>
                <w:rFonts w:ascii="Calibri" w:eastAsia="Times New Roman" w:hAnsi="Calibri" w:cs="Calibri"/>
                <w:color w:val="000000"/>
                <w:lang w:eastAsia="en-GB"/>
              </w:rPr>
              <w:fldChar w:fldCharType="end"/>
            </w:r>
          </w:p>
        </w:tc>
        <w:tc>
          <w:tcPr>
            <w:tcW w:w="3537" w:type="dxa"/>
            <w:vMerge w:val="restart"/>
            <w:tcBorders>
              <w:top w:val="nil"/>
              <w:left w:val="single" w:sz="4" w:space="0" w:color="auto"/>
              <w:bottom w:val="single" w:sz="4" w:space="0" w:color="auto"/>
              <w:right w:val="single" w:sz="4" w:space="0" w:color="auto"/>
            </w:tcBorders>
            <w:shd w:val="clear" w:color="auto" w:fill="auto"/>
            <w:vAlign w:val="bottom"/>
            <w:hideMark/>
          </w:tcPr>
          <w:p w14:paraId="5A40671D"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Posterior probability that event rate or incidence rate (incorporating exposure time) is greater in the treatment group compared to control group</w:t>
            </w:r>
          </w:p>
        </w:tc>
      </w:tr>
      <w:tr w:rsidR="00E37363" w:rsidRPr="000F2BAF" w14:paraId="01C6C37C" w14:textId="77777777" w:rsidTr="00B45076">
        <w:trPr>
          <w:trHeight w:val="132"/>
        </w:trPr>
        <w:tc>
          <w:tcPr>
            <w:tcW w:w="1414" w:type="dxa"/>
            <w:vMerge/>
            <w:tcBorders>
              <w:top w:val="nil"/>
              <w:left w:val="single" w:sz="4" w:space="0" w:color="auto"/>
              <w:bottom w:val="single" w:sz="4" w:space="0" w:color="auto"/>
              <w:right w:val="single" w:sz="4" w:space="0" w:color="auto"/>
            </w:tcBorders>
            <w:vAlign w:val="center"/>
            <w:hideMark/>
          </w:tcPr>
          <w:p w14:paraId="400EB5CA" w14:textId="77777777" w:rsidR="00E37363" w:rsidRPr="000F2BAF" w:rsidRDefault="00E37363" w:rsidP="00B45076">
            <w:pPr>
              <w:spacing w:after="0" w:line="240" w:lineRule="auto"/>
              <w:rPr>
                <w:rFonts w:ascii="Calibri" w:eastAsia="Times New Roman" w:hAnsi="Calibri" w:cs="Calibri"/>
                <w:b/>
                <w:bCs/>
                <w:color w:val="000000"/>
                <w:lang w:eastAsia="en-GB"/>
              </w:rPr>
            </w:pPr>
          </w:p>
        </w:tc>
        <w:tc>
          <w:tcPr>
            <w:tcW w:w="1130" w:type="dxa"/>
            <w:tcBorders>
              <w:top w:val="nil"/>
              <w:left w:val="nil"/>
              <w:bottom w:val="single" w:sz="4" w:space="0" w:color="auto"/>
              <w:right w:val="single" w:sz="4" w:space="0" w:color="auto"/>
            </w:tcBorders>
            <w:shd w:val="clear" w:color="auto" w:fill="auto"/>
            <w:noWrap/>
            <w:vAlign w:val="bottom"/>
            <w:hideMark/>
          </w:tcPr>
          <w:p w14:paraId="0F60CED7"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Time-to-event</w:t>
            </w:r>
          </w:p>
        </w:tc>
        <w:tc>
          <w:tcPr>
            <w:tcW w:w="1696" w:type="dxa"/>
            <w:tcBorders>
              <w:top w:val="nil"/>
              <w:left w:val="nil"/>
              <w:bottom w:val="single" w:sz="4" w:space="0" w:color="auto"/>
              <w:right w:val="single" w:sz="4" w:space="0" w:color="auto"/>
            </w:tcBorders>
            <w:shd w:val="clear" w:color="auto" w:fill="auto"/>
            <w:noWrap/>
            <w:vAlign w:val="bottom"/>
            <w:hideMark/>
          </w:tcPr>
          <w:p w14:paraId="0FEBDA63"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 xml:space="preserve">Exponential  </w:t>
            </w:r>
          </w:p>
        </w:tc>
        <w:tc>
          <w:tcPr>
            <w:tcW w:w="2261" w:type="dxa"/>
            <w:tcBorders>
              <w:top w:val="nil"/>
              <w:left w:val="single" w:sz="4" w:space="0" w:color="auto"/>
              <w:bottom w:val="single" w:sz="4" w:space="0" w:color="auto"/>
              <w:right w:val="single" w:sz="4" w:space="0" w:color="auto"/>
            </w:tcBorders>
          </w:tcPr>
          <w:p w14:paraId="6625B7FE" w14:textId="77777777" w:rsidR="00E37363" w:rsidRPr="000F2BAF"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Not specified</w:t>
            </w:r>
          </w:p>
        </w:tc>
        <w:tc>
          <w:tcPr>
            <w:tcW w:w="2261" w:type="dxa"/>
            <w:vMerge/>
            <w:tcBorders>
              <w:top w:val="nil"/>
              <w:left w:val="single" w:sz="4" w:space="0" w:color="auto"/>
              <w:bottom w:val="single" w:sz="4" w:space="0" w:color="auto"/>
              <w:right w:val="single" w:sz="4" w:space="0" w:color="auto"/>
            </w:tcBorders>
            <w:vAlign w:val="center"/>
            <w:hideMark/>
          </w:tcPr>
          <w:p w14:paraId="501075AC" w14:textId="77777777" w:rsidR="00E37363" w:rsidRPr="000F2BAF" w:rsidRDefault="00E37363" w:rsidP="00B45076">
            <w:pPr>
              <w:spacing w:after="0" w:line="240" w:lineRule="auto"/>
              <w:rPr>
                <w:rFonts w:ascii="Calibri" w:eastAsia="Times New Roman" w:hAnsi="Calibri" w:cs="Calibri"/>
                <w:color w:val="000000"/>
                <w:lang w:eastAsia="en-GB"/>
              </w:rPr>
            </w:pPr>
          </w:p>
        </w:tc>
        <w:tc>
          <w:tcPr>
            <w:tcW w:w="3537" w:type="dxa"/>
            <w:vMerge/>
            <w:tcBorders>
              <w:top w:val="nil"/>
              <w:left w:val="single" w:sz="4" w:space="0" w:color="auto"/>
              <w:bottom w:val="single" w:sz="4" w:space="0" w:color="auto"/>
              <w:right w:val="single" w:sz="4" w:space="0" w:color="auto"/>
            </w:tcBorders>
            <w:vAlign w:val="center"/>
            <w:hideMark/>
          </w:tcPr>
          <w:p w14:paraId="227F1EA1" w14:textId="77777777" w:rsidR="00E37363" w:rsidRPr="000F2BAF" w:rsidRDefault="00E37363" w:rsidP="00B45076">
            <w:pPr>
              <w:spacing w:after="0" w:line="240" w:lineRule="auto"/>
              <w:rPr>
                <w:rFonts w:ascii="Calibri" w:eastAsia="Times New Roman" w:hAnsi="Calibri" w:cs="Calibri"/>
                <w:color w:val="000000"/>
                <w:lang w:eastAsia="en-GB"/>
              </w:rPr>
            </w:pPr>
          </w:p>
        </w:tc>
      </w:tr>
      <w:tr w:rsidR="00E37363" w:rsidRPr="000F2BAF" w14:paraId="0CC9B730" w14:textId="77777777" w:rsidTr="00B45076">
        <w:trPr>
          <w:trHeight w:val="398"/>
        </w:trPr>
        <w:tc>
          <w:tcPr>
            <w:tcW w:w="1414" w:type="dxa"/>
            <w:vMerge/>
            <w:tcBorders>
              <w:top w:val="nil"/>
              <w:left w:val="single" w:sz="4" w:space="0" w:color="auto"/>
              <w:bottom w:val="single" w:sz="4" w:space="0" w:color="auto"/>
              <w:right w:val="single" w:sz="4" w:space="0" w:color="auto"/>
            </w:tcBorders>
            <w:vAlign w:val="center"/>
            <w:hideMark/>
          </w:tcPr>
          <w:p w14:paraId="414619FA" w14:textId="77777777" w:rsidR="00E37363" w:rsidRPr="000F2BAF" w:rsidRDefault="00E37363" w:rsidP="00B45076">
            <w:pPr>
              <w:spacing w:after="0" w:line="240" w:lineRule="auto"/>
              <w:rPr>
                <w:rFonts w:ascii="Calibri" w:eastAsia="Times New Roman" w:hAnsi="Calibri" w:cs="Calibri"/>
                <w:b/>
                <w:bCs/>
                <w:color w:val="000000"/>
                <w:lang w:eastAsia="en-GB"/>
              </w:rPr>
            </w:pPr>
          </w:p>
        </w:tc>
        <w:tc>
          <w:tcPr>
            <w:tcW w:w="1130" w:type="dxa"/>
            <w:tcBorders>
              <w:top w:val="nil"/>
              <w:left w:val="nil"/>
              <w:bottom w:val="single" w:sz="4" w:space="0" w:color="auto"/>
              <w:right w:val="single" w:sz="4" w:space="0" w:color="auto"/>
            </w:tcBorders>
            <w:shd w:val="clear" w:color="auto" w:fill="auto"/>
            <w:noWrap/>
            <w:vAlign w:val="bottom"/>
            <w:hideMark/>
          </w:tcPr>
          <w:p w14:paraId="395F72ED"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Binary</w:t>
            </w:r>
          </w:p>
        </w:tc>
        <w:tc>
          <w:tcPr>
            <w:tcW w:w="1696" w:type="dxa"/>
            <w:tcBorders>
              <w:top w:val="nil"/>
              <w:left w:val="nil"/>
              <w:bottom w:val="single" w:sz="4" w:space="0" w:color="auto"/>
              <w:right w:val="single" w:sz="4" w:space="0" w:color="auto"/>
            </w:tcBorders>
            <w:shd w:val="clear" w:color="auto" w:fill="auto"/>
            <w:noWrap/>
            <w:vAlign w:val="bottom"/>
            <w:hideMark/>
          </w:tcPr>
          <w:p w14:paraId="1DC8B62E"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 xml:space="preserve">Beta-Binomial </w:t>
            </w:r>
          </w:p>
        </w:tc>
        <w:tc>
          <w:tcPr>
            <w:tcW w:w="2261" w:type="dxa"/>
            <w:tcBorders>
              <w:top w:val="nil"/>
              <w:left w:val="nil"/>
              <w:bottom w:val="single" w:sz="4" w:space="0" w:color="auto"/>
              <w:right w:val="single" w:sz="4" w:space="0" w:color="auto"/>
            </w:tcBorders>
          </w:tcPr>
          <w:p w14:paraId="3801D283" w14:textId="77777777" w:rsidR="00E37363" w:rsidRPr="000F2BAF"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Beta</w:t>
            </w:r>
          </w:p>
        </w:tc>
        <w:tc>
          <w:tcPr>
            <w:tcW w:w="226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8F5B03A"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Yao, Zhu, Jiang &amp; Xia</w:t>
            </w:r>
            <w:r>
              <w:rPr>
                <w:rFonts w:ascii="Calibri" w:eastAsia="Times New Roman" w:hAnsi="Calibri" w:cs="Calibri"/>
                <w:color w:val="000000"/>
                <w:lang w:eastAsia="en-GB"/>
              </w:rPr>
              <w:fldChar w:fldCharType="begin"/>
            </w:r>
            <w:r>
              <w:rPr>
                <w:rFonts w:ascii="Calibri" w:eastAsia="Times New Roman" w:hAnsi="Calibri" w:cs="Calibri"/>
                <w:color w:val="000000"/>
                <w:lang w:eastAsia="en-GB"/>
              </w:rPr>
              <w:instrText xml:space="preserve"> ADDIN EN.CITE &lt;EndNote&gt;&lt;Cite&gt;&lt;Author&gt;Yao&lt;/Author&gt;&lt;Year&gt;2013&lt;/Year&gt;&lt;RecNum&gt;21642&lt;/RecNum&gt;&lt;DisplayText&gt;&lt;style face="superscript"&gt;38&lt;/style&gt;&lt;/DisplayText&gt;&lt;record&gt;&lt;rec-number&gt;21642&lt;/rec-number&gt;&lt;foreign-keys&gt;&lt;key app="EN" db-id="z2f5a5pt0222p8esesuv59tow0trtzfpdxaw" timestamp="1521051142"&gt;21642&lt;/key&gt;&lt;/foreign-keys&gt;&lt;ref-type name="Journal Article"&gt;17&lt;/ref-type&gt;&lt;contributors&gt;&lt;authors&gt;&lt;author&gt;Yao, B.&lt;/author&gt;&lt;author&gt;Zhu, L.&lt;/author&gt;&lt;author&gt;Jiang, Q.&lt;/author&gt;&lt;author&gt;Xia, H. A.&lt;/author&gt;&lt;/authors&gt;&lt;/contributors&gt;&lt;auth-address&gt;Yao, Bin. Amgen Inc., One Amgen Center Drive, Thousand Oaks, CA 91320, USA. byao@amgen.com.&lt;/auth-address&gt;&lt;titles&gt;&lt;title&gt;Safety monitoring in clinical trials&lt;/title&gt;&lt;secondary-title&gt;Pharmaceutics&lt;/secondary-title&gt;&lt;/titles&gt;&lt;periodical&gt;&lt;full-title&gt;Pharmaceutics&lt;/full-title&gt;&lt;/periodical&gt;&lt;pages&gt;94-106&lt;/pages&gt;&lt;volume&gt;5&lt;/volume&gt;&lt;number&gt;1&lt;/number&gt;&lt;dates&gt;&lt;year&gt;2013&lt;/year&gt;&lt;/dates&gt;&lt;accession-num&gt;24300399&lt;/accession-num&gt;&lt;urls&gt;&lt;related-urls&gt;&lt;url&gt;http://ovidsp.ovid.com/ovidweb.cgi?T=JS&amp;amp;CSC=Y&amp;amp;NEWS=N&amp;amp;PAGE=fulltext&amp;amp;D=prem&amp;amp;AN=24300399&lt;/url&gt;&lt;/related-urls&gt;&lt;/urls&gt;&lt;remote-database-name&gt;MEDLINE&lt;/remote-database-name&gt;&lt;remote-database-provider&gt;Ovid Technologies&lt;/remote-database-provider&gt;&lt;/record&gt;&lt;/Cite&gt;&lt;/EndNote&gt;</w:instrText>
            </w:r>
            <w:r>
              <w:rPr>
                <w:rFonts w:ascii="Calibri" w:eastAsia="Times New Roman" w:hAnsi="Calibri" w:cs="Calibri"/>
                <w:color w:val="000000"/>
                <w:lang w:eastAsia="en-GB"/>
              </w:rPr>
              <w:fldChar w:fldCharType="separate"/>
            </w:r>
            <w:r w:rsidRPr="005550A8">
              <w:rPr>
                <w:rFonts w:ascii="Calibri" w:eastAsia="Times New Roman" w:hAnsi="Calibri" w:cs="Calibri"/>
                <w:noProof/>
                <w:color w:val="000000"/>
                <w:vertAlign w:val="superscript"/>
                <w:lang w:eastAsia="en-GB"/>
              </w:rPr>
              <w:t>38</w:t>
            </w:r>
            <w:r>
              <w:rPr>
                <w:rFonts w:ascii="Calibri" w:eastAsia="Times New Roman" w:hAnsi="Calibri" w:cs="Calibri"/>
                <w:color w:val="000000"/>
                <w:lang w:eastAsia="en-GB"/>
              </w:rPr>
              <w:fldChar w:fldCharType="end"/>
            </w:r>
          </w:p>
        </w:tc>
        <w:tc>
          <w:tcPr>
            <w:tcW w:w="3537" w:type="dxa"/>
            <w:tcBorders>
              <w:top w:val="nil"/>
              <w:left w:val="nil"/>
              <w:bottom w:val="single" w:sz="4" w:space="0" w:color="auto"/>
              <w:right w:val="single" w:sz="4" w:space="0" w:color="auto"/>
            </w:tcBorders>
            <w:shd w:val="clear" w:color="auto" w:fill="auto"/>
            <w:vAlign w:val="bottom"/>
            <w:hideMark/>
          </w:tcPr>
          <w:p w14:paraId="4476633B"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 xml:space="preserve">Beta-binomial model to give posterior probability that predefined risk difference threshold is exceeded </w:t>
            </w:r>
          </w:p>
        </w:tc>
      </w:tr>
      <w:tr w:rsidR="00E37363" w:rsidRPr="000F2BAF" w14:paraId="539800D8" w14:textId="77777777" w:rsidTr="00B45076">
        <w:trPr>
          <w:trHeight w:val="531"/>
        </w:trPr>
        <w:tc>
          <w:tcPr>
            <w:tcW w:w="1414" w:type="dxa"/>
            <w:vMerge/>
            <w:tcBorders>
              <w:top w:val="nil"/>
              <w:left w:val="single" w:sz="4" w:space="0" w:color="auto"/>
              <w:bottom w:val="single" w:sz="4" w:space="0" w:color="auto"/>
              <w:right w:val="single" w:sz="4" w:space="0" w:color="auto"/>
            </w:tcBorders>
            <w:vAlign w:val="center"/>
            <w:hideMark/>
          </w:tcPr>
          <w:p w14:paraId="31855D5E" w14:textId="77777777" w:rsidR="00E37363" w:rsidRPr="000F2BAF" w:rsidRDefault="00E37363" w:rsidP="00B45076">
            <w:pPr>
              <w:spacing w:after="0" w:line="240" w:lineRule="auto"/>
              <w:rPr>
                <w:rFonts w:ascii="Calibri" w:eastAsia="Times New Roman" w:hAnsi="Calibri" w:cs="Calibri"/>
                <w:b/>
                <w:bCs/>
                <w:color w:val="000000"/>
                <w:lang w:eastAsia="en-GB"/>
              </w:rPr>
            </w:pPr>
          </w:p>
        </w:tc>
        <w:tc>
          <w:tcPr>
            <w:tcW w:w="1130" w:type="dxa"/>
            <w:tcBorders>
              <w:top w:val="nil"/>
              <w:left w:val="nil"/>
              <w:bottom w:val="single" w:sz="4" w:space="0" w:color="auto"/>
              <w:right w:val="single" w:sz="4" w:space="0" w:color="auto"/>
            </w:tcBorders>
            <w:shd w:val="clear" w:color="auto" w:fill="auto"/>
            <w:noWrap/>
            <w:vAlign w:val="bottom"/>
            <w:hideMark/>
          </w:tcPr>
          <w:p w14:paraId="645BAA13" w14:textId="77777777" w:rsidR="00E37363" w:rsidRPr="000F2BAF"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Count</w:t>
            </w:r>
          </w:p>
        </w:tc>
        <w:tc>
          <w:tcPr>
            <w:tcW w:w="1696" w:type="dxa"/>
            <w:tcBorders>
              <w:top w:val="nil"/>
              <w:left w:val="nil"/>
              <w:bottom w:val="single" w:sz="4" w:space="0" w:color="auto"/>
              <w:right w:val="single" w:sz="4" w:space="0" w:color="auto"/>
            </w:tcBorders>
            <w:shd w:val="clear" w:color="auto" w:fill="auto"/>
            <w:noWrap/>
            <w:vAlign w:val="bottom"/>
            <w:hideMark/>
          </w:tcPr>
          <w:p w14:paraId="2B988D52"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Gamma-Poisson</w:t>
            </w:r>
          </w:p>
        </w:tc>
        <w:tc>
          <w:tcPr>
            <w:tcW w:w="2261" w:type="dxa"/>
            <w:tcBorders>
              <w:top w:val="nil"/>
              <w:left w:val="nil"/>
              <w:bottom w:val="single" w:sz="4" w:space="0" w:color="auto"/>
              <w:right w:val="single" w:sz="4" w:space="0" w:color="auto"/>
            </w:tcBorders>
          </w:tcPr>
          <w:p w14:paraId="16724447" w14:textId="77777777" w:rsidR="00E37363" w:rsidRPr="000F2BAF"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Gamma</w:t>
            </w:r>
          </w:p>
        </w:tc>
        <w:tc>
          <w:tcPr>
            <w:tcW w:w="226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8B22831"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Zhu, Yao, Xia &amp; Jiang</w:t>
            </w:r>
            <w:r>
              <w:rPr>
                <w:rFonts w:ascii="Calibri" w:eastAsia="Times New Roman" w:hAnsi="Calibri" w:cs="Calibri"/>
                <w:color w:val="000000"/>
                <w:lang w:eastAsia="en-GB"/>
              </w:rPr>
              <w:fldChar w:fldCharType="begin"/>
            </w:r>
            <w:r>
              <w:rPr>
                <w:rFonts w:ascii="Calibri" w:eastAsia="Times New Roman" w:hAnsi="Calibri" w:cs="Calibri"/>
                <w:color w:val="000000"/>
                <w:lang w:eastAsia="en-GB"/>
              </w:rPr>
              <w:instrText xml:space="preserve"> ADDIN EN.CITE &lt;EndNote&gt;&lt;Cite&gt;&lt;Author&gt;Zhu&lt;/Author&gt;&lt;Year&gt;2016&lt;/Year&gt;&lt;RecNum&gt;7468&lt;/RecNum&gt;&lt;DisplayText&gt;&lt;style face="superscript"&gt;39&lt;/style&gt;&lt;/DisplayText&gt;&lt;record&gt;&lt;rec-number&gt;7468&lt;/rec-number&gt;&lt;foreign-keys&gt;&lt;key app="EN" db-id="z2f5a5pt0222p8esesuv59tow0trtzfpdxaw" timestamp="1521046971"&gt;7468&lt;/key&gt;&lt;/foreign-keys&gt;&lt;ref-type name="Journal Article"&gt;17&lt;/ref-type&gt;&lt;contributors&gt;&lt;authors&gt;&lt;author&gt;Zhu, L.&lt;/author&gt;&lt;author&gt;Yao, B.&lt;/author&gt;&lt;author&gt;Xia, H. A.&lt;/author&gt;&lt;author&gt;Jiang, Q.&lt;/author&gt;&lt;/authors&gt;&lt;/contributors&gt;&lt;titles&gt;&lt;title&gt;Statistical Monitoring of Safety in Clinical Trials&lt;/title&gt;&lt;secondary-title&gt;Statistics in Biopharmaceutical Research&lt;/secondary-title&gt;&lt;/titles&gt;&lt;periodical&gt;&lt;full-title&gt;Statistics in Biopharmaceutical Research&lt;/full-title&gt;&lt;/periodical&gt;&lt;pages&gt;88-105&lt;/pages&gt;&lt;volume&gt;8&lt;/volume&gt;&lt;number&gt;1&lt;/number&gt;&lt;dates&gt;&lt;year&gt;2016&lt;/year&gt;&lt;pub-dates&gt;&lt;date&gt;Jan&lt;/date&gt;&lt;/pub-dates&gt;&lt;/dates&gt;&lt;isbn&gt;1946-6315&lt;/isbn&gt;&lt;accession-num&gt;WOS:000372848100009&lt;/accession-num&gt;&lt;urls&gt;&lt;related-urls&gt;&lt;url&gt;&amp;lt;Go to ISI&amp;gt;://WOS:000372848100009&lt;/url&gt;&lt;/related-urls&gt;&lt;/urls&gt;&lt;electronic-resource-num&gt;10.1080/19466315.2015.1117017&lt;/electronic-resource-num&gt;&lt;/record&gt;&lt;/Cite&gt;&lt;/EndNote&gt;</w:instrText>
            </w:r>
            <w:r>
              <w:rPr>
                <w:rFonts w:ascii="Calibri" w:eastAsia="Times New Roman" w:hAnsi="Calibri" w:cs="Calibri"/>
                <w:color w:val="000000"/>
                <w:lang w:eastAsia="en-GB"/>
              </w:rPr>
              <w:fldChar w:fldCharType="separate"/>
            </w:r>
            <w:r w:rsidRPr="005550A8">
              <w:rPr>
                <w:rFonts w:ascii="Calibri" w:eastAsia="Times New Roman" w:hAnsi="Calibri" w:cs="Calibri"/>
                <w:noProof/>
                <w:color w:val="000000"/>
                <w:vertAlign w:val="superscript"/>
                <w:lang w:eastAsia="en-GB"/>
              </w:rPr>
              <w:t>39</w:t>
            </w:r>
            <w:r>
              <w:rPr>
                <w:rFonts w:ascii="Calibri" w:eastAsia="Times New Roman" w:hAnsi="Calibri" w:cs="Calibri"/>
                <w:color w:val="000000"/>
                <w:lang w:eastAsia="en-GB"/>
              </w:rPr>
              <w:fldChar w:fldCharType="end"/>
            </w:r>
          </w:p>
        </w:tc>
        <w:tc>
          <w:tcPr>
            <w:tcW w:w="3537" w:type="dxa"/>
            <w:tcBorders>
              <w:top w:val="nil"/>
              <w:left w:val="nil"/>
              <w:bottom w:val="single" w:sz="4" w:space="0" w:color="auto"/>
              <w:right w:val="single" w:sz="4" w:space="0" w:color="auto"/>
            </w:tcBorders>
            <w:shd w:val="clear" w:color="auto" w:fill="auto"/>
            <w:vAlign w:val="center"/>
            <w:hideMark/>
          </w:tcPr>
          <w:p w14:paraId="25BCB5D2"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theme="minorHAnsi"/>
                <w:color w:val="000000"/>
                <w:lang w:eastAsia="en-GB"/>
              </w:rPr>
              <w:t>Gamma-Poisson model to give posterior probability that predefined risk difference (incorporating exposure time) threshold is exceeded</w:t>
            </w:r>
          </w:p>
        </w:tc>
      </w:tr>
      <w:tr w:rsidR="00E37363" w:rsidRPr="000F2BAF" w14:paraId="602686C4" w14:textId="77777777" w:rsidTr="00B45076">
        <w:trPr>
          <w:trHeight w:val="531"/>
        </w:trPr>
        <w:tc>
          <w:tcPr>
            <w:tcW w:w="1414" w:type="dxa"/>
            <w:vMerge/>
            <w:tcBorders>
              <w:top w:val="nil"/>
              <w:left w:val="single" w:sz="4" w:space="0" w:color="auto"/>
              <w:bottom w:val="single" w:sz="4" w:space="0" w:color="auto"/>
              <w:right w:val="single" w:sz="4" w:space="0" w:color="auto"/>
            </w:tcBorders>
            <w:vAlign w:val="center"/>
            <w:hideMark/>
          </w:tcPr>
          <w:p w14:paraId="09654A38" w14:textId="77777777" w:rsidR="00E37363" w:rsidRPr="000F2BAF" w:rsidRDefault="00E37363" w:rsidP="00B45076">
            <w:pPr>
              <w:spacing w:after="0" w:line="240" w:lineRule="auto"/>
              <w:rPr>
                <w:rFonts w:ascii="Calibri" w:eastAsia="Times New Roman" w:hAnsi="Calibri" w:cs="Calibri"/>
                <w:b/>
                <w:bCs/>
                <w:color w:val="000000"/>
                <w:lang w:eastAsia="en-GB"/>
              </w:rPr>
            </w:pPr>
          </w:p>
        </w:tc>
        <w:tc>
          <w:tcPr>
            <w:tcW w:w="1130" w:type="dxa"/>
            <w:tcBorders>
              <w:top w:val="nil"/>
              <w:left w:val="nil"/>
              <w:bottom w:val="single" w:sz="4" w:space="0" w:color="auto"/>
              <w:right w:val="single" w:sz="4" w:space="0" w:color="auto"/>
            </w:tcBorders>
            <w:shd w:val="clear" w:color="auto" w:fill="auto"/>
            <w:noWrap/>
            <w:vAlign w:val="bottom"/>
            <w:hideMark/>
          </w:tcPr>
          <w:p w14:paraId="0DDD0177"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Binary</w:t>
            </w:r>
          </w:p>
        </w:tc>
        <w:tc>
          <w:tcPr>
            <w:tcW w:w="1696" w:type="dxa"/>
            <w:tcBorders>
              <w:top w:val="nil"/>
              <w:left w:val="nil"/>
              <w:bottom w:val="single" w:sz="4" w:space="0" w:color="auto"/>
              <w:right w:val="single" w:sz="4" w:space="0" w:color="auto"/>
            </w:tcBorders>
            <w:shd w:val="clear" w:color="auto" w:fill="auto"/>
            <w:noWrap/>
            <w:vAlign w:val="bottom"/>
            <w:hideMark/>
          </w:tcPr>
          <w:p w14:paraId="728DF1C4"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Logit model</w:t>
            </w:r>
          </w:p>
        </w:tc>
        <w:tc>
          <w:tcPr>
            <w:tcW w:w="2261" w:type="dxa"/>
            <w:tcBorders>
              <w:top w:val="nil"/>
              <w:left w:val="single" w:sz="4" w:space="0" w:color="auto"/>
              <w:bottom w:val="single" w:sz="4" w:space="0" w:color="auto"/>
              <w:right w:val="single" w:sz="4" w:space="0" w:color="auto"/>
            </w:tcBorders>
          </w:tcPr>
          <w:p w14:paraId="4A80ED9B" w14:textId="77777777" w:rsidR="00E37363" w:rsidRPr="000F2BAF"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Normal </w:t>
            </w:r>
          </w:p>
        </w:tc>
        <w:tc>
          <w:tcPr>
            <w:tcW w:w="2261" w:type="dxa"/>
            <w:vMerge w:val="restart"/>
            <w:tcBorders>
              <w:top w:val="nil"/>
              <w:left w:val="single" w:sz="4" w:space="0" w:color="auto"/>
              <w:bottom w:val="single" w:sz="4" w:space="0" w:color="auto"/>
              <w:right w:val="single" w:sz="4" w:space="0" w:color="auto"/>
            </w:tcBorders>
            <w:shd w:val="clear" w:color="auto" w:fill="auto"/>
            <w:vAlign w:val="bottom"/>
            <w:hideMark/>
          </w:tcPr>
          <w:p w14:paraId="4F282175"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French, Thomas and Wang</w:t>
            </w:r>
            <w:r>
              <w:rPr>
                <w:rFonts w:ascii="Calibri" w:eastAsia="Times New Roman" w:hAnsi="Calibri" w:cs="Calibri"/>
                <w:color w:val="000000"/>
                <w:lang w:eastAsia="en-GB"/>
              </w:rPr>
              <w:fldChar w:fldCharType="begin">
                <w:fldData xml:space="preserve">PEVuZE5vdGU+PENpdGU+PEF1dGhvcj5GcmVuY2g8L0F1dGhvcj48WWVhcj4yMDEyPC9ZZWFyPjxS
ZWNOdW0+ODYyMzwvUmVjTnVtPjxEaXNwbGF5VGV4dD48c3R5bGUgZmFjZT0ic3VwZXJzY3JpcHQi
PjQwPC9zdHlsZT48L0Rpc3BsYXlUZXh0PjxyZWNvcmQ+PHJlYy1udW1iZXI+ODYyMzwvcmVjLW51
bWJlcj48Zm9yZWlnbi1rZXlzPjxrZXkgYXBwPSJFTiIgZGItaWQ9InoyZjVhNXB0MDIyMnA4ZXNl
c3V2NTl0b3cwdHJ0emZwZHhhdyIgdGltZXN0YW1wPSIxNTIxMDQ3MzkwIj44NjIzPC9rZXk+PC9m
b3JlaWduLWtleXM+PHJlZi10eXBlIG5hbWU9IkpvdXJuYWwgQXJ0aWNsZSI+MTc8L3JlZi10eXBl
Pjxjb250cmlidXRvcnM+PGF1dGhvcnM+PGF1dGhvcj5GcmVuY2gsIEouIEwuPC9hdXRob3I+PGF1
dGhvcj5UaG9tYXMsIE4uPC9hdXRob3I+PGF1dGhvcj5XYW5nLCBDLjwvYXV0aG9yPjwvYXV0aG9y
cz48L2NvbnRyaWJ1dG9ycz48YXV0aC1hZGRyZXNzPk1ldHJ1bSwgSW5jLiwgVGFyaWZmdmlsbGUs
IENUIDA2MDgxLCBVbml0ZWQgU3RhdGVzJiN4RDtQZml6ZXIsIEluYy4sIEdyb3RvbiwgQ1QgMDYz
NDAsIFVuaXRlZCBTdGF0ZXM8L2F1dGgtYWRkcmVzcz48dGl0bGVzPjx0aXRsZT5Vc2luZyBoaXN0
b3JpY2FsIGRhdGEgd2l0aCBCYXllc2lhbiBtZXRob2RzIGluIGVhcmx5IGNsaW5pY2FsIHRyaWFs
IG1vbml0b3Jpbmc8L3RpdGxlPjxzZWNvbmRhcnktdGl0bGU+U3RhdGlzdGljcyBpbiBCaW9waGFy
bWFjZXV0aWNhbCBSZXNlYXJjaDwvc2Vjb25kYXJ5LXRpdGxlPjxhbHQtdGl0bGU+U3RhdC4gQmlv
cGhhcm0uIFJlcy48L2FsdC10aXRsZT48L3RpdGxlcz48cGVyaW9kaWNhbD48ZnVsbC10aXRsZT5T
dGF0aXN0aWNzIGluIEJpb3BoYXJtYWNldXRpY2FsIFJlc2VhcmNoPC9mdWxsLXRpdGxlPjwvcGVy
aW9kaWNhbD48cGFnZXM+Mzg0LTM5NDwvcGFnZXM+PHZvbHVtZT40PC92b2x1bWU+PG51bWJlcj40
PC9udW1iZXI+PGtleXdvcmRzPjxrZXl3b3JkPkRhdGEtYmFzZWQgcHJpb3I8L2tleXdvcmQ+PGtl
eXdvcmQ+SW50ZXJpbSBzYWZldHkgbW9uaXRvcmluZzwva2V5d29yZD48a2V5d29yZD5hY3V0ZSBn
cmFmdCByZWplY3Rpb248L2tleXdvcmQ+PGtleXdvcmQ+YXJ0aWNsZTwva2V5d29yZD48a2V5d29y
ZD5hdXRvaW1tdW5lIGRpc2Vhc2U8L2tleXdvcmQ+PGtleXdvcmQ+QmF5ZXMgdGhlb3JlbTwva2V5
d29yZD48a2V5d29yZD5jbGluaWNhbCB0cmlhbCAodG9waWMpPC9rZXl3b3JkPjxrZXl3b3JkPmRy
dWcgbW9uaXRvcmluZzwva2V5d29yZD48a2V5d29yZD5GaXNoZXIgZXhhY3QgdGVzdDwva2V5d29y
ZD48a2V5d29yZD5odW1hbjwva2V5d29yZD48a2V5d29yZD5LYXBsYW4gTWVpZXIgbWV0aG9kPC9r
ZXl3b3JkPjxrZXl3b3JkPmtpZG5leSBmdW5jdGlvbjwva2V5d29yZD48a2V5d29yZD5wYXRpZW50
IHNhZmV0eTwva2V5d29yZD48a2V5d29yZD5yZWNlaXZlciBvcGVyYXRpbmcgY2hhcmFjdGVyaXN0
aWM8L2tleXdvcmQ+PGtleXdvcmQ+c2ltdWxhdGlvbjwva2V5d29yZD48a2V5d29yZD50cmVhdG1l
bnQgb3V0Y29tZTwva2V5d29yZD48L2tleXdvcmRzPjxkYXRlcz48eWVhcj4yMDEyPC95ZWFyPjwv
ZGF0ZXM+PGlzYm4+MTk0NjYzMTUgKElTU04pPC9pc2JuPjx3b3JrLXR5cGU+QXJ0aWNsZTwvd29y
ay10eXBlPjx1cmxzPjxyZWxhdGVkLXVybHM+PHVybD5odHRwczovL3d3dy5zY29wdXMuY29tL2lu
d2FyZC9yZWNvcmQudXJpP2VpZD0yLXMyLjAtODQ4NjczNjM4NDgmYW1wO2RvaT0xMC4xMDgwJTJm
MTk0NjYzMTUuMjAxMi43MDcwODgmYW1wO3BhcnRuZXJJRD00MCZhbXA7bWQ1PTk2Zjg1MTM4ZTNm
MDE5NzJhY2ZjYjc1N2YwMWUwNjQ1PC91cmw+PC9yZWxhdGVkLXVybHM+PC91cmxzPjxlbGVjdHJv
bmljLXJlc291cmNlLW51bT4xMC4xMDgwLzE5NDY2MzE1LjIwMTIuNzA3MDg4PC9lbGVjdHJvbmlj
LXJlc291cmNlLW51bT48cmVtb3RlLWRhdGFiYXNlLW5hbWU+U2NvcHVzPC9yZW1vdGUtZGF0YWJh
c2UtbmFtZT48bGFuZ3VhZ2U+RW5nbGlzaDwvbGFuZ3VhZ2U+PC9yZWNvcmQ+PC9DaXRlPjwvRW5k
Tm90ZT4A
</w:fldData>
              </w:fldChar>
            </w:r>
            <w:r>
              <w:rPr>
                <w:rFonts w:ascii="Calibri" w:eastAsia="Times New Roman" w:hAnsi="Calibri" w:cs="Calibri"/>
                <w:color w:val="000000"/>
                <w:lang w:eastAsia="en-GB"/>
              </w:rPr>
              <w:instrText xml:space="preserve"> ADDIN EN.CITE </w:instrText>
            </w:r>
            <w:r>
              <w:rPr>
                <w:rFonts w:ascii="Calibri" w:eastAsia="Times New Roman" w:hAnsi="Calibri" w:cs="Calibri"/>
                <w:color w:val="000000"/>
                <w:lang w:eastAsia="en-GB"/>
              </w:rPr>
              <w:fldChar w:fldCharType="begin">
                <w:fldData xml:space="preserve">PEVuZE5vdGU+PENpdGU+PEF1dGhvcj5GcmVuY2g8L0F1dGhvcj48WWVhcj4yMDEyPC9ZZWFyPjxS
ZWNOdW0+ODYyMzwvUmVjTnVtPjxEaXNwbGF5VGV4dD48c3R5bGUgZmFjZT0ic3VwZXJzY3JpcHQi
PjQwPC9zdHlsZT48L0Rpc3BsYXlUZXh0PjxyZWNvcmQ+PHJlYy1udW1iZXI+ODYyMzwvcmVjLW51
bWJlcj48Zm9yZWlnbi1rZXlzPjxrZXkgYXBwPSJFTiIgZGItaWQ9InoyZjVhNXB0MDIyMnA4ZXNl
c3V2NTl0b3cwdHJ0emZwZHhhdyIgdGltZXN0YW1wPSIxNTIxMDQ3MzkwIj44NjIzPC9rZXk+PC9m
b3JlaWduLWtleXM+PHJlZi10eXBlIG5hbWU9IkpvdXJuYWwgQXJ0aWNsZSI+MTc8L3JlZi10eXBl
Pjxjb250cmlidXRvcnM+PGF1dGhvcnM+PGF1dGhvcj5GcmVuY2gsIEouIEwuPC9hdXRob3I+PGF1
dGhvcj5UaG9tYXMsIE4uPC9hdXRob3I+PGF1dGhvcj5XYW5nLCBDLjwvYXV0aG9yPjwvYXV0aG9y
cz48L2NvbnRyaWJ1dG9ycz48YXV0aC1hZGRyZXNzPk1ldHJ1bSwgSW5jLiwgVGFyaWZmdmlsbGUs
IENUIDA2MDgxLCBVbml0ZWQgU3RhdGVzJiN4RDtQZml6ZXIsIEluYy4sIEdyb3RvbiwgQ1QgMDYz
NDAsIFVuaXRlZCBTdGF0ZXM8L2F1dGgtYWRkcmVzcz48dGl0bGVzPjx0aXRsZT5Vc2luZyBoaXN0
b3JpY2FsIGRhdGEgd2l0aCBCYXllc2lhbiBtZXRob2RzIGluIGVhcmx5IGNsaW5pY2FsIHRyaWFs
IG1vbml0b3Jpbmc8L3RpdGxlPjxzZWNvbmRhcnktdGl0bGU+U3RhdGlzdGljcyBpbiBCaW9waGFy
bWFjZXV0aWNhbCBSZXNlYXJjaDwvc2Vjb25kYXJ5LXRpdGxlPjxhbHQtdGl0bGU+U3RhdC4gQmlv
cGhhcm0uIFJlcy48L2FsdC10aXRsZT48L3RpdGxlcz48cGVyaW9kaWNhbD48ZnVsbC10aXRsZT5T
dGF0aXN0aWNzIGluIEJpb3BoYXJtYWNldXRpY2FsIFJlc2VhcmNoPC9mdWxsLXRpdGxlPjwvcGVy
aW9kaWNhbD48cGFnZXM+Mzg0LTM5NDwvcGFnZXM+PHZvbHVtZT40PC92b2x1bWU+PG51bWJlcj40
PC9udW1iZXI+PGtleXdvcmRzPjxrZXl3b3JkPkRhdGEtYmFzZWQgcHJpb3I8L2tleXdvcmQ+PGtl
eXdvcmQ+SW50ZXJpbSBzYWZldHkgbW9uaXRvcmluZzwva2V5d29yZD48a2V5d29yZD5hY3V0ZSBn
cmFmdCByZWplY3Rpb248L2tleXdvcmQ+PGtleXdvcmQ+YXJ0aWNsZTwva2V5d29yZD48a2V5d29y
ZD5hdXRvaW1tdW5lIGRpc2Vhc2U8L2tleXdvcmQ+PGtleXdvcmQ+QmF5ZXMgdGhlb3JlbTwva2V5
d29yZD48a2V5d29yZD5jbGluaWNhbCB0cmlhbCAodG9waWMpPC9rZXl3b3JkPjxrZXl3b3JkPmRy
dWcgbW9uaXRvcmluZzwva2V5d29yZD48a2V5d29yZD5GaXNoZXIgZXhhY3QgdGVzdDwva2V5d29y
ZD48a2V5d29yZD5odW1hbjwva2V5d29yZD48a2V5d29yZD5LYXBsYW4gTWVpZXIgbWV0aG9kPC9r
ZXl3b3JkPjxrZXl3b3JkPmtpZG5leSBmdW5jdGlvbjwva2V5d29yZD48a2V5d29yZD5wYXRpZW50
IHNhZmV0eTwva2V5d29yZD48a2V5d29yZD5yZWNlaXZlciBvcGVyYXRpbmcgY2hhcmFjdGVyaXN0
aWM8L2tleXdvcmQ+PGtleXdvcmQ+c2ltdWxhdGlvbjwva2V5d29yZD48a2V5d29yZD50cmVhdG1l
bnQgb3V0Y29tZTwva2V5d29yZD48L2tleXdvcmRzPjxkYXRlcz48eWVhcj4yMDEyPC95ZWFyPjwv
ZGF0ZXM+PGlzYm4+MTk0NjYzMTUgKElTU04pPC9pc2JuPjx3b3JrLXR5cGU+QXJ0aWNsZTwvd29y
ay10eXBlPjx1cmxzPjxyZWxhdGVkLXVybHM+PHVybD5odHRwczovL3d3dy5zY29wdXMuY29tL2lu
d2FyZC9yZWNvcmQudXJpP2VpZD0yLXMyLjAtODQ4NjczNjM4NDgmYW1wO2RvaT0xMC4xMDgwJTJm
MTk0NjYzMTUuMjAxMi43MDcwODgmYW1wO3BhcnRuZXJJRD00MCZhbXA7bWQ1PTk2Zjg1MTM4ZTNm
MDE5NzJhY2ZjYjc1N2YwMWUwNjQ1PC91cmw+PC9yZWxhdGVkLXVybHM+PC91cmxzPjxlbGVjdHJv
bmljLXJlc291cmNlLW51bT4xMC4xMDgwLzE5NDY2MzE1LjIwMTIuNzA3MDg4PC9lbGVjdHJvbmlj
LXJlc291cmNlLW51bT48cmVtb3RlLWRhdGFiYXNlLW5hbWU+U2NvcHVzPC9yZW1vdGUtZGF0YWJh
c2UtbmFtZT48bGFuZ3VhZ2U+RW5nbGlzaDwvbGFuZ3VhZ2U+PC9yZWNvcmQ+PC9DaXRlPjwvRW5k
Tm90ZT4A
</w:fldData>
              </w:fldChar>
            </w:r>
            <w:r>
              <w:rPr>
                <w:rFonts w:ascii="Calibri" w:eastAsia="Times New Roman" w:hAnsi="Calibri" w:cs="Calibri"/>
                <w:color w:val="000000"/>
                <w:lang w:eastAsia="en-GB"/>
              </w:rPr>
              <w:instrText xml:space="preserve"> ADDIN EN.CITE.DATA </w:instrText>
            </w:r>
            <w:r>
              <w:rPr>
                <w:rFonts w:ascii="Calibri" w:eastAsia="Times New Roman" w:hAnsi="Calibri" w:cs="Calibri"/>
                <w:color w:val="000000"/>
                <w:lang w:eastAsia="en-GB"/>
              </w:rPr>
            </w:r>
            <w:r>
              <w:rPr>
                <w:rFonts w:ascii="Calibri" w:eastAsia="Times New Roman" w:hAnsi="Calibri" w:cs="Calibri"/>
                <w:color w:val="000000"/>
                <w:lang w:eastAsia="en-GB"/>
              </w:rPr>
              <w:fldChar w:fldCharType="end"/>
            </w:r>
            <w:r>
              <w:rPr>
                <w:rFonts w:ascii="Calibri" w:eastAsia="Times New Roman" w:hAnsi="Calibri" w:cs="Calibri"/>
                <w:color w:val="000000"/>
                <w:lang w:eastAsia="en-GB"/>
              </w:rPr>
            </w:r>
            <w:r>
              <w:rPr>
                <w:rFonts w:ascii="Calibri" w:eastAsia="Times New Roman" w:hAnsi="Calibri" w:cs="Calibri"/>
                <w:color w:val="000000"/>
                <w:lang w:eastAsia="en-GB"/>
              </w:rPr>
              <w:fldChar w:fldCharType="separate"/>
            </w:r>
            <w:r w:rsidRPr="005550A8">
              <w:rPr>
                <w:rFonts w:ascii="Calibri" w:eastAsia="Times New Roman" w:hAnsi="Calibri" w:cs="Calibri"/>
                <w:noProof/>
                <w:color w:val="000000"/>
                <w:vertAlign w:val="superscript"/>
                <w:lang w:eastAsia="en-GB"/>
              </w:rPr>
              <w:t>40</w:t>
            </w:r>
            <w:r>
              <w:rPr>
                <w:rFonts w:ascii="Calibri" w:eastAsia="Times New Roman" w:hAnsi="Calibri" w:cs="Calibri"/>
                <w:color w:val="000000"/>
                <w:lang w:eastAsia="en-GB"/>
              </w:rPr>
              <w:fldChar w:fldCharType="end"/>
            </w:r>
          </w:p>
        </w:tc>
        <w:tc>
          <w:tcPr>
            <w:tcW w:w="3537" w:type="dxa"/>
            <w:vMerge w:val="restart"/>
            <w:tcBorders>
              <w:top w:val="nil"/>
              <w:left w:val="single" w:sz="4" w:space="0" w:color="auto"/>
              <w:bottom w:val="single" w:sz="4" w:space="0" w:color="auto"/>
              <w:right w:val="single" w:sz="4" w:space="0" w:color="auto"/>
            </w:tcBorders>
            <w:shd w:val="clear" w:color="auto" w:fill="auto"/>
            <w:vAlign w:val="bottom"/>
            <w:hideMark/>
          </w:tcPr>
          <w:p w14:paraId="519870A7"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Logit model and a piecewise exponential model to give posterior probabilities that predefined risk difference threshold is exceeded</w:t>
            </w:r>
          </w:p>
        </w:tc>
      </w:tr>
      <w:tr w:rsidR="00E37363" w:rsidRPr="000F2BAF" w14:paraId="18BC5612" w14:textId="77777777" w:rsidTr="00B45076">
        <w:trPr>
          <w:trHeight w:val="132"/>
        </w:trPr>
        <w:tc>
          <w:tcPr>
            <w:tcW w:w="1414" w:type="dxa"/>
            <w:vMerge/>
            <w:tcBorders>
              <w:top w:val="nil"/>
              <w:left w:val="single" w:sz="4" w:space="0" w:color="auto"/>
              <w:bottom w:val="single" w:sz="4" w:space="0" w:color="auto"/>
              <w:right w:val="single" w:sz="4" w:space="0" w:color="auto"/>
            </w:tcBorders>
            <w:vAlign w:val="center"/>
            <w:hideMark/>
          </w:tcPr>
          <w:p w14:paraId="410CEDB6" w14:textId="77777777" w:rsidR="00E37363" w:rsidRPr="000F2BAF" w:rsidRDefault="00E37363" w:rsidP="00B45076">
            <w:pPr>
              <w:spacing w:after="0" w:line="240" w:lineRule="auto"/>
              <w:rPr>
                <w:rFonts w:ascii="Calibri" w:eastAsia="Times New Roman" w:hAnsi="Calibri" w:cs="Calibri"/>
                <w:b/>
                <w:bCs/>
                <w:color w:val="000000"/>
                <w:lang w:eastAsia="en-GB"/>
              </w:rPr>
            </w:pPr>
          </w:p>
        </w:tc>
        <w:tc>
          <w:tcPr>
            <w:tcW w:w="1130" w:type="dxa"/>
            <w:tcBorders>
              <w:top w:val="nil"/>
              <w:left w:val="nil"/>
              <w:bottom w:val="single" w:sz="4" w:space="0" w:color="auto"/>
              <w:right w:val="single" w:sz="4" w:space="0" w:color="auto"/>
            </w:tcBorders>
            <w:shd w:val="clear" w:color="auto" w:fill="auto"/>
            <w:noWrap/>
            <w:vAlign w:val="bottom"/>
            <w:hideMark/>
          </w:tcPr>
          <w:p w14:paraId="28083729"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Time-to-event</w:t>
            </w:r>
          </w:p>
        </w:tc>
        <w:tc>
          <w:tcPr>
            <w:tcW w:w="1696" w:type="dxa"/>
            <w:tcBorders>
              <w:top w:val="nil"/>
              <w:left w:val="nil"/>
              <w:bottom w:val="single" w:sz="4" w:space="0" w:color="auto"/>
              <w:right w:val="single" w:sz="4" w:space="0" w:color="auto"/>
            </w:tcBorders>
            <w:shd w:val="clear" w:color="auto" w:fill="auto"/>
            <w:noWrap/>
            <w:vAlign w:val="bottom"/>
            <w:hideMark/>
          </w:tcPr>
          <w:p w14:paraId="5E38E3C7" w14:textId="77777777" w:rsidR="00E37363" w:rsidRPr="000F2BAF" w:rsidRDefault="00E37363" w:rsidP="00B45076">
            <w:pPr>
              <w:spacing w:after="0" w:line="240" w:lineRule="auto"/>
              <w:rPr>
                <w:rFonts w:ascii="Calibri" w:eastAsia="Times New Roman" w:hAnsi="Calibri" w:cs="Calibri"/>
                <w:color w:val="000000"/>
                <w:lang w:eastAsia="en-GB"/>
              </w:rPr>
            </w:pPr>
            <w:r w:rsidRPr="000F2BAF">
              <w:rPr>
                <w:rFonts w:ascii="Calibri" w:eastAsia="Times New Roman" w:hAnsi="Calibri" w:cs="Calibri"/>
                <w:color w:val="000000"/>
                <w:lang w:eastAsia="en-GB"/>
              </w:rPr>
              <w:t xml:space="preserve">Piecewise exponential </w:t>
            </w:r>
          </w:p>
        </w:tc>
        <w:tc>
          <w:tcPr>
            <w:tcW w:w="2261" w:type="dxa"/>
            <w:tcBorders>
              <w:top w:val="nil"/>
              <w:left w:val="single" w:sz="4" w:space="0" w:color="auto"/>
              <w:bottom w:val="single" w:sz="4" w:space="0" w:color="auto"/>
              <w:right w:val="single" w:sz="4" w:space="0" w:color="auto"/>
            </w:tcBorders>
          </w:tcPr>
          <w:p w14:paraId="478738DC" w14:textId="77777777" w:rsidR="00E37363" w:rsidRPr="000F2BAF"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Normal &amp; Gamma</w:t>
            </w:r>
          </w:p>
        </w:tc>
        <w:tc>
          <w:tcPr>
            <w:tcW w:w="2261" w:type="dxa"/>
            <w:vMerge/>
            <w:tcBorders>
              <w:top w:val="nil"/>
              <w:left w:val="single" w:sz="4" w:space="0" w:color="auto"/>
              <w:bottom w:val="single" w:sz="4" w:space="0" w:color="auto"/>
              <w:right w:val="single" w:sz="4" w:space="0" w:color="auto"/>
            </w:tcBorders>
            <w:vAlign w:val="center"/>
            <w:hideMark/>
          </w:tcPr>
          <w:p w14:paraId="299D3B85" w14:textId="77777777" w:rsidR="00E37363" w:rsidRPr="000F2BAF" w:rsidRDefault="00E37363" w:rsidP="00B45076">
            <w:pPr>
              <w:spacing w:after="0" w:line="240" w:lineRule="auto"/>
              <w:rPr>
                <w:rFonts w:ascii="Calibri" w:eastAsia="Times New Roman" w:hAnsi="Calibri" w:cs="Calibri"/>
                <w:color w:val="000000"/>
                <w:lang w:eastAsia="en-GB"/>
              </w:rPr>
            </w:pPr>
          </w:p>
        </w:tc>
        <w:tc>
          <w:tcPr>
            <w:tcW w:w="3537" w:type="dxa"/>
            <w:vMerge/>
            <w:tcBorders>
              <w:top w:val="nil"/>
              <w:left w:val="single" w:sz="4" w:space="0" w:color="auto"/>
              <w:bottom w:val="single" w:sz="4" w:space="0" w:color="auto"/>
              <w:right w:val="single" w:sz="4" w:space="0" w:color="auto"/>
            </w:tcBorders>
            <w:vAlign w:val="center"/>
            <w:hideMark/>
          </w:tcPr>
          <w:p w14:paraId="100130DD" w14:textId="77777777" w:rsidR="00E37363" w:rsidRPr="000F2BAF" w:rsidRDefault="00E37363" w:rsidP="00B45076">
            <w:pPr>
              <w:spacing w:after="0" w:line="240" w:lineRule="auto"/>
              <w:rPr>
                <w:rFonts w:ascii="Calibri" w:eastAsia="Times New Roman" w:hAnsi="Calibri" w:cs="Calibri"/>
                <w:color w:val="000000"/>
                <w:lang w:eastAsia="en-GB"/>
              </w:rPr>
            </w:pPr>
          </w:p>
        </w:tc>
      </w:tr>
    </w:tbl>
    <w:p w14:paraId="0C3EA478" w14:textId="77777777" w:rsidR="00E37363" w:rsidRDefault="00E37363" w:rsidP="00E37363"/>
    <w:p w14:paraId="5A383E59" w14:textId="77777777" w:rsidR="00E37363" w:rsidRDefault="00E37363" w:rsidP="00E37363">
      <w:pPr>
        <w:sectPr w:rsidR="00E37363" w:rsidSect="00E37363">
          <w:pgSz w:w="16838" w:h="11906" w:orient="landscape" w:code="9"/>
          <w:pgMar w:top="1440" w:right="1440" w:bottom="1440" w:left="1440" w:header="709" w:footer="709" w:gutter="0"/>
          <w:cols w:space="708"/>
          <w:docGrid w:linePitch="360"/>
        </w:sectPr>
      </w:pPr>
    </w:p>
    <w:tbl>
      <w:tblPr>
        <w:tblW w:w="13531" w:type="dxa"/>
        <w:tblInd w:w="-5" w:type="dxa"/>
        <w:tblLook w:val="04A0" w:firstRow="1" w:lastRow="0" w:firstColumn="1" w:lastColumn="0" w:noHBand="0" w:noVBand="1"/>
      </w:tblPr>
      <w:tblGrid>
        <w:gridCol w:w="1692"/>
        <w:gridCol w:w="1998"/>
        <w:gridCol w:w="1845"/>
        <w:gridCol w:w="1230"/>
        <w:gridCol w:w="1692"/>
        <w:gridCol w:w="5074"/>
      </w:tblGrid>
      <w:tr w:rsidR="00E37363" w:rsidRPr="00422705" w14:paraId="769F70E4" w14:textId="77777777" w:rsidTr="00B45076">
        <w:trPr>
          <w:trHeight w:val="220"/>
        </w:trPr>
        <w:tc>
          <w:tcPr>
            <w:tcW w:w="13531" w:type="dxa"/>
            <w:gridSpan w:val="6"/>
            <w:tcBorders>
              <w:bottom w:val="single" w:sz="4" w:space="0" w:color="auto"/>
            </w:tcBorders>
            <w:shd w:val="clear" w:color="auto" w:fill="auto"/>
            <w:noWrap/>
            <w:vAlign w:val="bottom"/>
          </w:tcPr>
          <w:p w14:paraId="3ABCC35C" w14:textId="77777777" w:rsidR="00E37363" w:rsidRPr="00422705" w:rsidRDefault="00E37363" w:rsidP="00B45076">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lastRenderedPageBreak/>
              <w:t xml:space="preserve">Table 8: Summary of decision making probability methods to analyse </w:t>
            </w:r>
            <w:r w:rsidRPr="00C15C68">
              <w:rPr>
                <w:rFonts w:ascii="Calibri" w:eastAsia="Times New Roman" w:hAnsi="Calibri" w:cs="Calibri"/>
                <w:b/>
                <w:bCs/>
                <w:color w:val="000000"/>
                <w:lang w:eastAsia="en-GB"/>
              </w:rPr>
              <w:t xml:space="preserve">emerging AE data in </w:t>
            </w:r>
            <w:r w:rsidRPr="00C15C68">
              <w:rPr>
                <w:rFonts w:cstheme="minorHAnsi"/>
                <w:b/>
              </w:rPr>
              <w:t>phase II/III RCTs</w:t>
            </w:r>
          </w:p>
        </w:tc>
      </w:tr>
      <w:tr w:rsidR="00E37363" w:rsidRPr="00422705" w14:paraId="49FEB56C" w14:textId="77777777" w:rsidTr="00B45076">
        <w:trPr>
          <w:trHeight w:val="220"/>
        </w:trPr>
        <w:tc>
          <w:tcPr>
            <w:tcW w:w="16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BADE2D" w14:textId="77777777" w:rsidR="00E37363" w:rsidRPr="00422705" w:rsidRDefault="00E37363" w:rsidP="00B45076">
            <w:pPr>
              <w:spacing w:after="0" w:line="240" w:lineRule="auto"/>
              <w:jc w:val="center"/>
              <w:rPr>
                <w:rFonts w:ascii="Calibri" w:eastAsia="Times New Roman" w:hAnsi="Calibri" w:cs="Calibri"/>
                <w:b/>
                <w:bCs/>
                <w:color w:val="000000"/>
                <w:lang w:eastAsia="en-GB"/>
              </w:rPr>
            </w:pPr>
            <w:r w:rsidRPr="00422705">
              <w:rPr>
                <w:rFonts w:ascii="Calibri" w:eastAsia="Times New Roman" w:hAnsi="Calibri" w:cs="Calibri"/>
                <w:b/>
                <w:bCs/>
                <w:color w:val="000000"/>
                <w:lang w:eastAsia="en-GB"/>
              </w:rPr>
              <w:t>Outcome</w:t>
            </w:r>
          </w:p>
        </w:tc>
        <w:tc>
          <w:tcPr>
            <w:tcW w:w="1998" w:type="dxa"/>
            <w:tcBorders>
              <w:top w:val="single" w:sz="4" w:space="0" w:color="auto"/>
              <w:left w:val="nil"/>
              <w:bottom w:val="single" w:sz="4" w:space="0" w:color="auto"/>
              <w:right w:val="single" w:sz="4" w:space="0" w:color="auto"/>
            </w:tcBorders>
            <w:shd w:val="clear" w:color="auto" w:fill="auto"/>
            <w:noWrap/>
            <w:vAlign w:val="bottom"/>
            <w:hideMark/>
          </w:tcPr>
          <w:p w14:paraId="64EA4E38" w14:textId="77777777" w:rsidR="00E37363" w:rsidRPr="00422705" w:rsidRDefault="00E37363" w:rsidP="00B45076">
            <w:pPr>
              <w:spacing w:after="0" w:line="240" w:lineRule="auto"/>
              <w:jc w:val="center"/>
              <w:rPr>
                <w:rFonts w:ascii="Calibri" w:eastAsia="Times New Roman" w:hAnsi="Calibri" w:cs="Calibri"/>
                <w:b/>
                <w:bCs/>
                <w:color w:val="000000"/>
                <w:lang w:eastAsia="en-GB"/>
              </w:rPr>
            </w:pPr>
            <w:r w:rsidRPr="00422705">
              <w:rPr>
                <w:rFonts w:ascii="Calibri" w:eastAsia="Times New Roman" w:hAnsi="Calibri" w:cs="Calibri"/>
                <w:b/>
                <w:bCs/>
                <w:color w:val="000000"/>
                <w:lang w:eastAsia="en-GB"/>
              </w:rPr>
              <w:t>Data type</w:t>
            </w:r>
          </w:p>
        </w:tc>
        <w:tc>
          <w:tcPr>
            <w:tcW w:w="1845" w:type="dxa"/>
            <w:tcBorders>
              <w:top w:val="single" w:sz="4" w:space="0" w:color="auto"/>
              <w:left w:val="nil"/>
              <w:bottom w:val="single" w:sz="4" w:space="0" w:color="auto"/>
              <w:right w:val="single" w:sz="4" w:space="0" w:color="auto"/>
            </w:tcBorders>
            <w:shd w:val="clear" w:color="auto" w:fill="auto"/>
            <w:noWrap/>
            <w:vAlign w:val="bottom"/>
            <w:hideMark/>
          </w:tcPr>
          <w:p w14:paraId="0BC7AD70" w14:textId="77777777" w:rsidR="00E37363" w:rsidRPr="00422705" w:rsidRDefault="00E37363" w:rsidP="00B45076">
            <w:pPr>
              <w:spacing w:after="0" w:line="240" w:lineRule="auto"/>
              <w:rPr>
                <w:rFonts w:ascii="Calibri" w:eastAsia="Times New Roman" w:hAnsi="Calibri" w:cs="Calibri"/>
                <w:b/>
                <w:bCs/>
                <w:color w:val="000000"/>
                <w:lang w:eastAsia="en-GB"/>
              </w:rPr>
            </w:pPr>
            <w:r w:rsidRPr="00422705">
              <w:rPr>
                <w:rFonts w:ascii="Calibri" w:eastAsia="Times New Roman" w:hAnsi="Calibri" w:cs="Calibri"/>
                <w:b/>
                <w:bCs/>
                <w:color w:val="000000"/>
                <w:lang w:eastAsia="en-GB"/>
              </w:rPr>
              <w:t>Model</w:t>
            </w:r>
          </w:p>
        </w:tc>
        <w:tc>
          <w:tcPr>
            <w:tcW w:w="1230" w:type="dxa"/>
            <w:tcBorders>
              <w:top w:val="single" w:sz="4" w:space="0" w:color="auto"/>
              <w:left w:val="nil"/>
              <w:bottom w:val="single" w:sz="4" w:space="0" w:color="auto"/>
              <w:right w:val="single" w:sz="4" w:space="0" w:color="auto"/>
            </w:tcBorders>
            <w:shd w:val="clear" w:color="auto" w:fill="auto"/>
            <w:noWrap/>
            <w:vAlign w:val="bottom"/>
            <w:hideMark/>
          </w:tcPr>
          <w:p w14:paraId="0655552B" w14:textId="77777777" w:rsidR="00E37363" w:rsidRPr="00422705" w:rsidRDefault="00E37363" w:rsidP="00B45076">
            <w:pPr>
              <w:spacing w:after="0" w:line="240" w:lineRule="auto"/>
              <w:rPr>
                <w:rFonts w:ascii="Calibri" w:eastAsia="Times New Roman" w:hAnsi="Calibri" w:cs="Calibri"/>
                <w:b/>
                <w:bCs/>
                <w:color w:val="000000"/>
                <w:lang w:eastAsia="en-GB"/>
              </w:rPr>
            </w:pPr>
            <w:r w:rsidRPr="00422705">
              <w:rPr>
                <w:rFonts w:ascii="Calibri" w:eastAsia="Times New Roman" w:hAnsi="Calibri" w:cs="Calibri"/>
                <w:b/>
                <w:bCs/>
                <w:color w:val="000000"/>
                <w:lang w:eastAsia="en-GB"/>
              </w:rPr>
              <w:t>Prior</w:t>
            </w:r>
          </w:p>
        </w:tc>
        <w:tc>
          <w:tcPr>
            <w:tcW w:w="1692" w:type="dxa"/>
            <w:tcBorders>
              <w:top w:val="single" w:sz="4" w:space="0" w:color="auto"/>
              <w:left w:val="nil"/>
              <w:bottom w:val="single" w:sz="4" w:space="0" w:color="auto"/>
              <w:right w:val="single" w:sz="4" w:space="0" w:color="auto"/>
            </w:tcBorders>
            <w:shd w:val="clear" w:color="auto" w:fill="auto"/>
            <w:noWrap/>
            <w:vAlign w:val="bottom"/>
            <w:hideMark/>
          </w:tcPr>
          <w:p w14:paraId="12B0FDEF" w14:textId="77777777" w:rsidR="00E37363" w:rsidRPr="00422705" w:rsidRDefault="00E37363" w:rsidP="00B45076">
            <w:pPr>
              <w:spacing w:after="0" w:line="240" w:lineRule="auto"/>
              <w:rPr>
                <w:rFonts w:ascii="Calibri" w:eastAsia="Times New Roman" w:hAnsi="Calibri" w:cs="Calibri"/>
                <w:b/>
                <w:bCs/>
                <w:color w:val="000000"/>
                <w:lang w:eastAsia="en-GB"/>
              </w:rPr>
            </w:pPr>
            <w:r w:rsidRPr="00422705">
              <w:rPr>
                <w:rFonts w:ascii="Calibri" w:eastAsia="Times New Roman" w:hAnsi="Calibri" w:cs="Calibri"/>
                <w:b/>
                <w:bCs/>
                <w:color w:val="000000"/>
                <w:lang w:eastAsia="en-GB"/>
              </w:rPr>
              <w:t>Reference</w:t>
            </w:r>
          </w:p>
        </w:tc>
        <w:tc>
          <w:tcPr>
            <w:tcW w:w="5074" w:type="dxa"/>
            <w:tcBorders>
              <w:top w:val="single" w:sz="4" w:space="0" w:color="auto"/>
              <w:left w:val="nil"/>
              <w:bottom w:val="single" w:sz="4" w:space="0" w:color="auto"/>
              <w:right w:val="single" w:sz="4" w:space="0" w:color="auto"/>
            </w:tcBorders>
            <w:shd w:val="clear" w:color="auto" w:fill="auto"/>
            <w:vAlign w:val="bottom"/>
            <w:hideMark/>
          </w:tcPr>
          <w:p w14:paraId="2B0A6CDA" w14:textId="77777777" w:rsidR="00E37363" w:rsidRPr="00422705" w:rsidRDefault="00E37363" w:rsidP="00B45076">
            <w:pPr>
              <w:spacing w:after="0" w:line="240" w:lineRule="auto"/>
              <w:rPr>
                <w:rFonts w:ascii="Calibri" w:eastAsia="Times New Roman" w:hAnsi="Calibri" w:cs="Calibri"/>
                <w:b/>
                <w:bCs/>
                <w:color w:val="000000"/>
                <w:lang w:eastAsia="en-GB"/>
              </w:rPr>
            </w:pPr>
            <w:r w:rsidRPr="00422705">
              <w:rPr>
                <w:rFonts w:ascii="Calibri" w:eastAsia="Times New Roman" w:hAnsi="Calibri" w:cs="Calibri"/>
                <w:b/>
                <w:bCs/>
                <w:color w:val="000000"/>
                <w:lang w:eastAsia="en-GB"/>
              </w:rPr>
              <w:t>Brief Description</w:t>
            </w:r>
          </w:p>
        </w:tc>
      </w:tr>
      <w:tr w:rsidR="00E37363" w:rsidRPr="00422705" w14:paraId="0FB67E46" w14:textId="77777777" w:rsidTr="00B45076">
        <w:trPr>
          <w:trHeight w:val="462"/>
        </w:trPr>
        <w:tc>
          <w:tcPr>
            <w:tcW w:w="1692" w:type="dxa"/>
            <w:vMerge w:val="restart"/>
            <w:tcBorders>
              <w:top w:val="nil"/>
              <w:left w:val="single" w:sz="4" w:space="0" w:color="auto"/>
              <w:bottom w:val="single" w:sz="4" w:space="0" w:color="auto"/>
              <w:right w:val="single" w:sz="4" w:space="0" w:color="auto"/>
            </w:tcBorders>
            <w:shd w:val="clear" w:color="auto" w:fill="auto"/>
            <w:vAlign w:val="center"/>
            <w:hideMark/>
          </w:tcPr>
          <w:p w14:paraId="4B82BBFD" w14:textId="77777777" w:rsidR="00E37363" w:rsidRPr="00422705" w:rsidRDefault="00E37363" w:rsidP="00B45076">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Emerging A</w:t>
            </w:r>
            <w:r w:rsidRPr="00422705">
              <w:rPr>
                <w:rFonts w:ascii="Calibri" w:eastAsia="Times New Roman" w:hAnsi="Calibri" w:cs="Calibri"/>
                <w:b/>
                <w:bCs/>
                <w:color w:val="000000"/>
                <w:lang w:eastAsia="en-GB"/>
              </w:rPr>
              <w:t>dverse events</w:t>
            </w:r>
            <w:r>
              <w:rPr>
                <w:rFonts w:ascii="Calibri" w:eastAsia="Times New Roman" w:hAnsi="Calibri" w:cs="Calibri"/>
                <w:b/>
                <w:bCs/>
                <w:color w:val="000000"/>
                <w:lang w:eastAsia="en-GB"/>
              </w:rPr>
              <w:t xml:space="preserve"> (multiple)</w:t>
            </w:r>
          </w:p>
        </w:tc>
        <w:tc>
          <w:tcPr>
            <w:tcW w:w="1998" w:type="dxa"/>
            <w:tcBorders>
              <w:top w:val="nil"/>
              <w:left w:val="nil"/>
              <w:bottom w:val="single" w:sz="4" w:space="0" w:color="auto"/>
              <w:right w:val="single" w:sz="4" w:space="0" w:color="auto"/>
            </w:tcBorders>
            <w:shd w:val="clear" w:color="auto" w:fill="auto"/>
            <w:noWrap/>
            <w:vAlign w:val="bottom"/>
            <w:hideMark/>
          </w:tcPr>
          <w:p w14:paraId="7172A4E2"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Binary</w:t>
            </w:r>
          </w:p>
        </w:tc>
        <w:tc>
          <w:tcPr>
            <w:tcW w:w="1845" w:type="dxa"/>
            <w:tcBorders>
              <w:top w:val="nil"/>
              <w:left w:val="nil"/>
              <w:bottom w:val="single" w:sz="4" w:space="0" w:color="auto"/>
              <w:right w:val="single" w:sz="4" w:space="0" w:color="auto"/>
            </w:tcBorders>
            <w:shd w:val="clear" w:color="auto" w:fill="auto"/>
            <w:noWrap/>
            <w:vAlign w:val="bottom"/>
            <w:hideMark/>
          </w:tcPr>
          <w:p w14:paraId="562C7959"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 xml:space="preserve">Logit </w:t>
            </w:r>
          </w:p>
        </w:tc>
        <w:tc>
          <w:tcPr>
            <w:tcW w:w="1230" w:type="dxa"/>
            <w:tcBorders>
              <w:top w:val="nil"/>
              <w:left w:val="nil"/>
              <w:bottom w:val="single" w:sz="4" w:space="0" w:color="auto"/>
              <w:right w:val="single" w:sz="4" w:space="0" w:color="auto"/>
            </w:tcBorders>
            <w:shd w:val="clear" w:color="auto" w:fill="auto"/>
            <w:noWrap/>
            <w:vAlign w:val="bottom"/>
            <w:hideMark/>
          </w:tcPr>
          <w:p w14:paraId="03381FEE"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Mixed</w:t>
            </w:r>
          </w:p>
        </w:tc>
        <w:tc>
          <w:tcPr>
            <w:tcW w:w="1692" w:type="dxa"/>
            <w:tcBorders>
              <w:top w:val="nil"/>
              <w:left w:val="nil"/>
              <w:bottom w:val="single" w:sz="4" w:space="0" w:color="auto"/>
              <w:right w:val="single" w:sz="4" w:space="0" w:color="auto"/>
            </w:tcBorders>
            <w:shd w:val="clear" w:color="auto" w:fill="auto"/>
            <w:noWrap/>
            <w:vAlign w:val="bottom"/>
            <w:hideMark/>
          </w:tcPr>
          <w:p w14:paraId="1B2DA3B6"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Berry &amp; Berry</w:t>
            </w:r>
            <w:r>
              <w:rPr>
                <w:rFonts w:ascii="Calibri" w:eastAsia="Times New Roman" w:hAnsi="Calibri" w:cs="Calibri"/>
                <w:color w:val="000000"/>
                <w:lang w:eastAsia="en-GB"/>
              </w:rPr>
              <w:fldChar w:fldCharType="begin">
                <w:fldData xml:space="preserve">PEVuZE5vdGU+PENpdGU+PEF1dGhvcj5CZXJyeTwvQXV0aG9yPjxZZWFyPjIwMDQ8L1llYXI+PFJl
Y051bT45MTU1PC9SZWNOdW0+PERpc3BsYXlUZXh0PjxzdHlsZSBmYWNlPSJzdXBlcnNjcmlwdCI+
NDE8L3N0eWxlPjwvRGlzcGxheVRleHQ+PHJlY29yZD48cmVjLW51bWJlcj45MTU1PC9yZWMtbnVt
YmVyPjxmb3JlaWduLWtleXM+PGtleSBhcHA9IkVOIiBkYi1pZD0iejJmNWE1cHQwMjIycDhlc2Vz
dXY1OXRvdzB0cnR6ZnBkeGF3IiB0aW1lc3RhbXA9IjE1MjEwNDczOTYiPjkxNTU8L2tleT48L2Zv
cmVpZ24ta2V5cz48cmVmLXR5cGUgbmFtZT0iSm91cm5hbCBBcnRpY2xlIj4xNzwvcmVmLXR5cGU+
PGNvbnRyaWJ1dG9ycz48YXV0aG9ycz48YXV0aG9yPkJlcnJ5LCBTLiBNLjwvYXV0aG9yPjxhdXRo
b3I+QmVycnksIEQuIEEuPC9hdXRob3I+PC9hdXRob3JzPjwvY29udHJpYnV0b3JzPjxhdXRoLWFk
ZHJlc3M+QmVycnkgQ29uc3VsdGFudHMsIDUxMjQgQmVsbGVyaXZlIEJlbmQsIENvbGxlZ2UgU3Rh
dGlvbiwgVFggNzc4NDUsIFVuaXRlZCBTdGF0ZXMmI3hEO0RlcGFydG1lbnQgb2YgQmlvc3RhdGlz
dGljcywgTUQgQW5kZXJzb24gQ2FuY2VyIENlbnRlciwgSG91c3RvbiwgVFggNzcwMzAsIFVuaXRl
ZCBTdGF0ZXM8L2F1dGgtYWRkcmVzcz48dGl0bGVzPjx0aXRsZT5BY2NvdW50aW5nIGZvciBtdWx0
aXBsaWNpdGllcyBpbiBhc3Nlc3NpbmcgZHJ1ZyBzYWZldHk6IEEgdGhyZWUtbGV2ZWwgaGllcmFy
Y2hpY2FsIG1peHR1cmUgbW9kZWw8L3RpdGxlPjxzZWNvbmRhcnktdGl0bGU+QmlvbWV0cmljczwv
c2Vjb25kYXJ5LXRpdGxlPjxhbHQtdGl0bGU+QmlvbWV0cmljczwvYWx0LXRpdGxlPjwvdGl0bGVz
PjxwZXJpb2RpY2FsPjxmdWxsLXRpdGxlPkJpb21ldHJpY3M8L2Z1bGwtdGl0bGU+PC9wZXJpb2Rp
Y2FsPjxhbHQtcGVyaW9kaWNhbD48ZnVsbC10aXRsZT5CaW9tZXRyaWNzPC9mdWxsLXRpdGxlPjwv
YWx0LXBlcmlvZGljYWw+PHBhZ2VzPjQxOC00MjY8L3BhZ2VzPjx2b2x1bWU+NjA8L3ZvbHVtZT48
bnVtYmVyPjI8L251bWJlcj48a2V5d29yZHM+PGtleXdvcmQ+RHJ1ZyBzYWZldHkgYW5hbHlzaXM8
L2tleXdvcmQ+PGtleXdvcmQ+TWl4dHVyZSBtb2RlbDwva2V5d29yZD48a2V5d29yZD5NdWx0aXBs
ZSBjb21wYXJpc29uczwva2V5d29yZD48a2V5d29yZD5UaHJlZS1sZXZlbCBoaWVyYXJjaGljYWwg
bW9kZWw8L2tleXdvcmQ+PGtleXdvcmQ+SGFlbW9waGlsdXMgaW5mbHVlbnphZSB0eXBlIGIgdmFj
Y2luZTwva2V5d29yZD48a2V5d29yZD5tZWFzbGVzIG11bXBzIHJ1YmVsbGEgdmFjY2luZTwva2V5
d29yZD48a2V5d29yZD5kcnVnIGRldmVsb3BtZW50PC9rZXl3b3JkPjxrZXl3b3JkPmFjY291bnRp
bmc8L2tleXdvcmQ+PGtleXdvcmQ+YW5hbHl0aWMgbWV0aG9kPC9rZXl3b3JkPjxrZXl3b3JkPmFu
b3JleGlhPC9rZXl3b3JkPjxrZXl3b3JkPmFydGljbGU8L2tleXdvcmQ+PGtleXdvcmQ+YXN0aGVu
aWE8L2tleXdvcmQ+PGtleXdvcmQ+YnJvbmNoaXRpczwva2V5d29yZD48a2V5d29yZD5jaGlja2Vu
cG94PC9rZXl3b3JkPjxrZXl3b3JkPmNoaWxkPC9rZXl3b3JkPjxrZXl3b3JkPmNsaW5pY2FsIHRy
aWFsPC9rZXl3b3JkPjxrZXl3b3JkPmNvbXBhcmF0aXZlIHN0dWR5PC9rZXl3b3JkPjxrZXl3b3Jk
PmNvbmp1bmN0aXZpdGlzPC9rZXl3b3JkPjxrZXl3b3JkPmNvbnN0aXBhdGlvbjwva2V5d29yZD48
a2V5d29yZD5jb250cm9sbGVkIGNsaW5pY2FsIHRyaWFsPC9rZXl3b3JkPjxrZXl3b3JkPmNvbnRy
b2xsZWQgc3R1ZHk8L2tleXdvcmQ+PGtleXdvcmQ+Y291Z2hpbmc8L2tleXdvcmQ+PGtleXdvcmQ+
Y3J5aW5nPC9rZXl3b3JkPjxrZXl3b3JkPmRlaHlkcmF0aW9uPC9rZXl3b3JkPjxrZXl3b3JkPmRp
YXBlciBkZXJtYXRpdGlzPC9rZXl3b3JkPjxrZXl3b3JkPmRpYXJyaGVhPC9rZXl3b3JkPjxrZXl3
b3JkPmRydWcgbWl4dHVyZTwva2V5d29yZD48a2V5d29yZD5kcnVnIHNhZmV0eTwva2V5d29yZD48
a2V5d29yZD5lY3plbWE8L2tleXdvcmQ+PGtleXdvcmQ+ZmF0aWd1ZTwva2V5d29yZD48a2V5d29y
ZD5mZW1hbGU8L2tleXdvcmQ+PGtleXdvcmQ+ZmV2ZXI8L2tleXdvcmQ+PGtleXdvcmQ+Z2FzdHJv
ZW50ZXJpdGlzPC9rZXl3b3JkPjxrZXl3b3JkPkhhZW1vcGhpbHVzIGluZmx1ZW56YWU8L2tleXdv
cmQ+PGtleXdvcmQ+aHVtYW48L2tleXdvcmQ+PGtleXdvcmQ+aW5zZWN0IGJpdGU8L2tleXdvcmQ+
PGtleXdvcmQ+aW5zZWN0IHN0aW5nPC9rZXl3b3JkPjxrZXl3b3JkPmluc29tbmlhPC9rZXl3b3Jk
PjxrZXl3b3JkPmlycml0YWJpbGl0eTwva2V5d29yZD48a2V5d29yZD5sdW5nIGNvbmdlc3Rpb248
L2tleXdvcmQ+PGtleXdvcmQ+bHltcGhhZGVub3BhdGh5PC9rZXl3b3JkPjxrZXl3b3JkPm1ham9y
IGNsaW5pY2FsIHN0dWR5PC9rZXl3b3JkPjxrZXl3b3JkPm1hbGFpc2U8L2tleXdvcmQ+PGtleXdv
cmQ+bWFsZTwva2V5d29yZD48a2V5d29yZD5tb2RlbDwva2V5d29yZD48a2V5d29yZD5tdW1wczwv
a2V5d29yZD48a2V5d29yZD5teWNvc2lzPC9rZXl3b3JkPjxrZXl3b3JkPm5hdXNlYTwva2V5d29y
ZD48a2V5d29yZD5ub3NlIGNvbmdlc3Rpb248L2tleXdvcmQ+PGtleXdvcmQ+b3RpdGlzIG1lZGlh
PC9rZXl3b3JkPjxrZXl3b3JkPm90b3JyaGVhPC9rZXl3b3JkPjxrZXl3b3JkPnBoYXJ5bmdpdGlz
PC9rZXl3b3JkPjxrZXl3b3JkPnBydXJpdHVzPC9rZXl3b3JkPjxrZXl3b3JkPnJhbmRvbWl6ZWQg
Y29udHJvbGxlZCB0cmlhbDwva2V5d29yZD48a2V5d29yZD5yYXNoPC9rZXl3b3JkPjxrZXl3b3Jk
PnJoaW5vcnJoZWE8L2tleXdvcmQ+PGtleXdvcmQ+cmlzayBhc3Nlc3NtZW50PC9rZXl3b3JkPjxr
ZXl3b3JkPnJ1YmVsbGE8L2tleXdvcmQ+PGtleXdvcmQ+c2lkZSBlZmZlY3Q8L2tleXdvcmQ+PGtl
eXdvcmQ+c2ludXNpdGlzPC9rZXl3b3JkPjxrZXl3b3JkPnN0YXRpc3RpY2FsIGFuYWx5c2lzPC9r
ZXl3b3JkPjxrZXl3b3JkPnRocnVzaDwva2V5d29yZD48a2V5d29yZD50b25zaWxsaXRpczwva2V5
d29yZD48a2V5d29yZD51cHBlciByZXNwaXJhdG9yeSB0cmFjdCBpbmZlY3Rpb248L2tleXdvcmQ+
PGtleXdvcmQ+dXJ0aWNhcmlhPC9rZXl3b3JkPjxrZXl3b3JkPnZpcnVzIGluZmVjdGlvbjwva2V5
d29yZD48a2V5d29yZD52b21pdGluZzwva2V5d29yZD48a2V5d29yZD53aGVlemluZzwva2V5d29y
ZD48a2V5d29yZD5CaW9tZXRyeTwva2V5d29yZD48a2V5d29yZD5DaGlja2VucG94IFZhY2NpbmU8
L2tleXdvcmQ+PGtleXdvcmQ+SHVtYW5zPC9rZXl3b3JkPjxrZXl3b3JkPkluZmFudDwva2V5d29y
ZD48a2V5d29yZD5NZWFzbGVzLU11bXBzLVJ1YmVsbGEgVmFjY2luZTwva2V5d29yZD48a2V5d29y
ZD5Nb2RlbHMsIEJpb2xvZ2ljYWw8L2tleXdvcmQ+PGtleXdvcmQ+TW9kZWxzLCBTdGF0aXN0aWNh
bDwva2V5d29yZD48a2V5d29yZD5QaGFybWFjZXV0aWNhbCBQcmVwYXJhdGlvbnM8L2tleXdvcmQ+
PGtleXdvcmQ+UmFuZG9taXplZCBDb250cm9sbGVkIFRyaWFsczwva2V5d29yZD48a2V5d29yZD5T
YWZldHk8L2tleXdvcmQ+PGtleXdvcmQ+VmFjY2luZXMsIENvbWJpbmVkPC9rZXl3b3JkPjxrZXl3
b3JkPlZpcmFsIFZhY2NpbmVzPC9rZXl3b3JkPjxrZXl3b3JkPkhhZW1vcGhpbHVzPC9rZXl3b3Jk
PjxrZXl3b3JkPkhhZW1vcGhpbHVzIGluZmx1ZW56YWUgc2Vyb3R5cGUgQjwva2V5d29yZD48a2V5
d29yZD5JbnNlY3RhPC9rZXl3b3JkPjwva2V5d29yZHM+PGRhdGVzPjx5ZWFyPjIwMDQ8L3llYXI+
PC9kYXRlcz48aXNibj4wMDA2MzQxWCAoSVNTTik8L2lzYm4+PHdvcmstdHlwZT5BcnRpY2xlPC93
b3JrLXR5cGU+PHVybHM+PHJlbGF0ZWQtdXJscz48dXJsPmh0dHBzOi8vd3d3LnNjb3B1cy5jb20v
aW53YXJkL3JlY29yZC51cmk/ZWlkPTItczIuMC0yOTQyNjc3NDcwJmFtcDtkb2k9MTAuMTExMSUy
ZmouMDAwNi0zNDFYLjIwMDQuMDAxODYueCZhbXA7cGFydG5lcklEPTQwJmFtcDttZDU9OWM3MjYy
ZDEwYzgxNjg2NjQzOTRmZTE5NzJkYmZhOGQ8L3VybD48L3JlbGF0ZWQtdXJscz48L3VybHM+PGVs
ZWN0cm9uaWMtcmVzb3VyY2UtbnVtPjEwLjExMTEvai4wMDA2LTM0MVguMjAwNC4wMDE4Ni54PC9l
bGVjdHJvbmljLXJlc291cmNlLW51bT48cmVtb3RlLWRhdGFiYXNlLW5hbWU+U2NvcHVzPC9yZW1v
dGUtZGF0YWJhc2UtbmFtZT48bGFuZ3VhZ2U+RW5nbGlzaDwvbGFuZ3VhZ2U+PC9yZWNvcmQ+PC9D
aXRlPjwvRW5kTm90ZT5=
</w:fldData>
              </w:fldChar>
            </w:r>
            <w:r>
              <w:rPr>
                <w:rFonts w:ascii="Calibri" w:eastAsia="Times New Roman" w:hAnsi="Calibri" w:cs="Calibri"/>
                <w:color w:val="000000"/>
                <w:lang w:eastAsia="en-GB"/>
              </w:rPr>
              <w:instrText xml:space="preserve"> ADDIN EN.CITE </w:instrText>
            </w:r>
            <w:r>
              <w:rPr>
                <w:rFonts w:ascii="Calibri" w:eastAsia="Times New Roman" w:hAnsi="Calibri" w:cs="Calibri"/>
                <w:color w:val="000000"/>
                <w:lang w:eastAsia="en-GB"/>
              </w:rPr>
              <w:fldChar w:fldCharType="begin">
                <w:fldData xml:space="preserve">PEVuZE5vdGU+PENpdGU+PEF1dGhvcj5CZXJyeTwvQXV0aG9yPjxZZWFyPjIwMDQ8L1llYXI+PFJl
Y051bT45MTU1PC9SZWNOdW0+PERpc3BsYXlUZXh0PjxzdHlsZSBmYWNlPSJzdXBlcnNjcmlwdCI+
NDE8L3N0eWxlPjwvRGlzcGxheVRleHQ+PHJlY29yZD48cmVjLW51bWJlcj45MTU1PC9yZWMtbnVt
YmVyPjxmb3JlaWduLWtleXM+PGtleSBhcHA9IkVOIiBkYi1pZD0iejJmNWE1cHQwMjIycDhlc2Vz
dXY1OXRvdzB0cnR6ZnBkeGF3IiB0aW1lc3RhbXA9IjE1MjEwNDczOTYiPjkxNTU8L2tleT48L2Zv
cmVpZ24ta2V5cz48cmVmLXR5cGUgbmFtZT0iSm91cm5hbCBBcnRpY2xlIj4xNzwvcmVmLXR5cGU+
PGNvbnRyaWJ1dG9ycz48YXV0aG9ycz48YXV0aG9yPkJlcnJ5LCBTLiBNLjwvYXV0aG9yPjxhdXRo
b3I+QmVycnksIEQuIEEuPC9hdXRob3I+PC9hdXRob3JzPjwvY29udHJpYnV0b3JzPjxhdXRoLWFk
ZHJlc3M+QmVycnkgQ29uc3VsdGFudHMsIDUxMjQgQmVsbGVyaXZlIEJlbmQsIENvbGxlZ2UgU3Rh
dGlvbiwgVFggNzc4NDUsIFVuaXRlZCBTdGF0ZXMmI3hEO0RlcGFydG1lbnQgb2YgQmlvc3RhdGlz
dGljcywgTUQgQW5kZXJzb24gQ2FuY2VyIENlbnRlciwgSG91c3RvbiwgVFggNzcwMzAsIFVuaXRl
ZCBTdGF0ZXM8L2F1dGgtYWRkcmVzcz48dGl0bGVzPjx0aXRsZT5BY2NvdW50aW5nIGZvciBtdWx0
aXBsaWNpdGllcyBpbiBhc3Nlc3NpbmcgZHJ1ZyBzYWZldHk6IEEgdGhyZWUtbGV2ZWwgaGllcmFy
Y2hpY2FsIG1peHR1cmUgbW9kZWw8L3RpdGxlPjxzZWNvbmRhcnktdGl0bGU+QmlvbWV0cmljczwv
c2Vjb25kYXJ5LXRpdGxlPjxhbHQtdGl0bGU+QmlvbWV0cmljczwvYWx0LXRpdGxlPjwvdGl0bGVz
PjxwZXJpb2RpY2FsPjxmdWxsLXRpdGxlPkJpb21ldHJpY3M8L2Z1bGwtdGl0bGU+PC9wZXJpb2Rp
Y2FsPjxhbHQtcGVyaW9kaWNhbD48ZnVsbC10aXRsZT5CaW9tZXRyaWNzPC9mdWxsLXRpdGxlPjwv
YWx0LXBlcmlvZGljYWw+PHBhZ2VzPjQxOC00MjY8L3BhZ2VzPjx2b2x1bWU+NjA8L3ZvbHVtZT48
bnVtYmVyPjI8L251bWJlcj48a2V5d29yZHM+PGtleXdvcmQ+RHJ1ZyBzYWZldHkgYW5hbHlzaXM8
L2tleXdvcmQ+PGtleXdvcmQ+TWl4dHVyZSBtb2RlbDwva2V5d29yZD48a2V5d29yZD5NdWx0aXBs
ZSBjb21wYXJpc29uczwva2V5d29yZD48a2V5d29yZD5UaHJlZS1sZXZlbCBoaWVyYXJjaGljYWwg
bW9kZWw8L2tleXdvcmQ+PGtleXdvcmQ+SGFlbW9waGlsdXMgaW5mbHVlbnphZSB0eXBlIGIgdmFj
Y2luZTwva2V5d29yZD48a2V5d29yZD5tZWFzbGVzIG11bXBzIHJ1YmVsbGEgdmFjY2luZTwva2V5
d29yZD48a2V5d29yZD5kcnVnIGRldmVsb3BtZW50PC9rZXl3b3JkPjxrZXl3b3JkPmFjY291bnRp
bmc8L2tleXdvcmQ+PGtleXdvcmQ+YW5hbHl0aWMgbWV0aG9kPC9rZXl3b3JkPjxrZXl3b3JkPmFu
b3JleGlhPC9rZXl3b3JkPjxrZXl3b3JkPmFydGljbGU8L2tleXdvcmQ+PGtleXdvcmQ+YXN0aGVu
aWE8L2tleXdvcmQ+PGtleXdvcmQ+YnJvbmNoaXRpczwva2V5d29yZD48a2V5d29yZD5jaGlja2Vu
cG94PC9rZXl3b3JkPjxrZXl3b3JkPmNoaWxkPC9rZXl3b3JkPjxrZXl3b3JkPmNsaW5pY2FsIHRy
aWFsPC9rZXl3b3JkPjxrZXl3b3JkPmNvbXBhcmF0aXZlIHN0dWR5PC9rZXl3b3JkPjxrZXl3b3Jk
PmNvbmp1bmN0aXZpdGlzPC9rZXl3b3JkPjxrZXl3b3JkPmNvbnN0aXBhdGlvbjwva2V5d29yZD48
a2V5d29yZD5jb250cm9sbGVkIGNsaW5pY2FsIHRyaWFsPC9rZXl3b3JkPjxrZXl3b3JkPmNvbnRy
b2xsZWQgc3R1ZHk8L2tleXdvcmQ+PGtleXdvcmQ+Y291Z2hpbmc8L2tleXdvcmQ+PGtleXdvcmQ+
Y3J5aW5nPC9rZXl3b3JkPjxrZXl3b3JkPmRlaHlkcmF0aW9uPC9rZXl3b3JkPjxrZXl3b3JkPmRp
YXBlciBkZXJtYXRpdGlzPC9rZXl3b3JkPjxrZXl3b3JkPmRpYXJyaGVhPC9rZXl3b3JkPjxrZXl3
b3JkPmRydWcgbWl4dHVyZTwva2V5d29yZD48a2V5d29yZD5kcnVnIHNhZmV0eTwva2V5d29yZD48
a2V5d29yZD5lY3plbWE8L2tleXdvcmQ+PGtleXdvcmQ+ZmF0aWd1ZTwva2V5d29yZD48a2V5d29y
ZD5mZW1hbGU8L2tleXdvcmQ+PGtleXdvcmQ+ZmV2ZXI8L2tleXdvcmQ+PGtleXdvcmQ+Z2FzdHJv
ZW50ZXJpdGlzPC9rZXl3b3JkPjxrZXl3b3JkPkhhZW1vcGhpbHVzIGluZmx1ZW56YWU8L2tleXdv
cmQ+PGtleXdvcmQ+aHVtYW48L2tleXdvcmQ+PGtleXdvcmQ+aW5zZWN0IGJpdGU8L2tleXdvcmQ+
PGtleXdvcmQ+aW5zZWN0IHN0aW5nPC9rZXl3b3JkPjxrZXl3b3JkPmluc29tbmlhPC9rZXl3b3Jk
PjxrZXl3b3JkPmlycml0YWJpbGl0eTwva2V5d29yZD48a2V5d29yZD5sdW5nIGNvbmdlc3Rpb248
L2tleXdvcmQ+PGtleXdvcmQ+bHltcGhhZGVub3BhdGh5PC9rZXl3b3JkPjxrZXl3b3JkPm1ham9y
IGNsaW5pY2FsIHN0dWR5PC9rZXl3b3JkPjxrZXl3b3JkPm1hbGFpc2U8L2tleXdvcmQ+PGtleXdv
cmQ+bWFsZTwva2V5d29yZD48a2V5d29yZD5tb2RlbDwva2V5d29yZD48a2V5d29yZD5tdW1wczwv
a2V5d29yZD48a2V5d29yZD5teWNvc2lzPC9rZXl3b3JkPjxrZXl3b3JkPm5hdXNlYTwva2V5d29y
ZD48a2V5d29yZD5ub3NlIGNvbmdlc3Rpb248L2tleXdvcmQ+PGtleXdvcmQ+b3RpdGlzIG1lZGlh
PC9rZXl3b3JkPjxrZXl3b3JkPm90b3JyaGVhPC9rZXl3b3JkPjxrZXl3b3JkPnBoYXJ5bmdpdGlz
PC9rZXl3b3JkPjxrZXl3b3JkPnBydXJpdHVzPC9rZXl3b3JkPjxrZXl3b3JkPnJhbmRvbWl6ZWQg
Y29udHJvbGxlZCB0cmlhbDwva2V5d29yZD48a2V5d29yZD5yYXNoPC9rZXl3b3JkPjxrZXl3b3Jk
PnJoaW5vcnJoZWE8L2tleXdvcmQ+PGtleXdvcmQ+cmlzayBhc3Nlc3NtZW50PC9rZXl3b3JkPjxr
ZXl3b3JkPnJ1YmVsbGE8L2tleXdvcmQ+PGtleXdvcmQ+c2lkZSBlZmZlY3Q8L2tleXdvcmQ+PGtl
eXdvcmQ+c2ludXNpdGlzPC9rZXl3b3JkPjxrZXl3b3JkPnN0YXRpc3RpY2FsIGFuYWx5c2lzPC9r
ZXl3b3JkPjxrZXl3b3JkPnRocnVzaDwva2V5d29yZD48a2V5d29yZD50b25zaWxsaXRpczwva2V5
d29yZD48a2V5d29yZD51cHBlciByZXNwaXJhdG9yeSB0cmFjdCBpbmZlY3Rpb248L2tleXdvcmQ+
PGtleXdvcmQ+dXJ0aWNhcmlhPC9rZXl3b3JkPjxrZXl3b3JkPnZpcnVzIGluZmVjdGlvbjwva2V5
d29yZD48a2V5d29yZD52b21pdGluZzwva2V5d29yZD48a2V5d29yZD53aGVlemluZzwva2V5d29y
ZD48a2V5d29yZD5CaW9tZXRyeTwva2V5d29yZD48a2V5d29yZD5DaGlja2VucG94IFZhY2NpbmU8
L2tleXdvcmQ+PGtleXdvcmQ+SHVtYW5zPC9rZXl3b3JkPjxrZXl3b3JkPkluZmFudDwva2V5d29y
ZD48a2V5d29yZD5NZWFzbGVzLU11bXBzLVJ1YmVsbGEgVmFjY2luZTwva2V5d29yZD48a2V5d29y
ZD5Nb2RlbHMsIEJpb2xvZ2ljYWw8L2tleXdvcmQ+PGtleXdvcmQ+TW9kZWxzLCBTdGF0aXN0aWNh
bDwva2V5d29yZD48a2V5d29yZD5QaGFybWFjZXV0aWNhbCBQcmVwYXJhdGlvbnM8L2tleXdvcmQ+
PGtleXdvcmQ+UmFuZG9taXplZCBDb250cm9sbGVkIFRyaWFsczwva2V5d29yZD48a2V5d29yZD5T
YWZldHk8L2tleXdvcmQ+PGtleXdvcmQ+VmFjY2luZXMsIENvbWJpbmVkPC9rZXl3b3JkPjxrZXl3
b3JkPlZpcmFsIFZhY2NpbmVzPC9rZXl3b3JkPjxrZXl3b3JkPkhhZW1vcGhpbHVzPC9rZXl3b3Jk
PjxrZXl3b3JkPkhhZW1vcGhpbHVzIGluZmx1ZW56YWUgc2Vyb3R5cGUgQjwva2V5d29yZD48a2V5
d29yZD5JbnNlY3RhPC9rZXl3b3JkPjwva2V5d29yZHM+PGRhdGVzPjx5ZWFyPjIwMDQ8L3llYXI+
PC9kYXRlcz48aXNibj4wMDA2MzQxWCAoSVNTTik8L2lzYm4+PHdvcmstdHlwZT5BcnRpY2xlPC93
b3JrLXR5cGU+PHVybHM+PHJlbGF0ZWQtdXJscz48dXJsPmh0dHBzOi8vd3d3LnNjb3B1cy5jb20v
aW53YXJkL3JlY29yZC51cmk/ZWlkPTItczIuMC0yOTQyNjc3NDcwJmFtcDtkb2k9MTAuMTExMSUy
ZmouMDAwNi0zNDFYLjIwMDQuMDAxODYueCZhbXA7cGFydG5lcklEPTQwJmFtcDttZDU9OWM3MjYy
ZDEwYzgxNjg2NjQzOTRmZTE5NzJkYmZhOGQ8L3VybD48L3JlbGF0ZWQtdXJscz48L3VybHM+PGVs
ZWN0cm9uaWMtcmVzb3VyY2UtbnVtPjEwLjExMTEvai4wMDA2LTM0MVguMjAwNC4wMDE4Ni54PC9l
bGVjdHJvbmljLXJlc291cmNlLW51bT48cmVtb3RlLWRhdGFiYXNlLW5hbWU+U2NvcHVzPC9yZW1v
dGUtZGF0YWJhc2UtbmFtZT48bGFuZ3VhZ2U+RW5nbGlzaDwvbGFuZ3VhZ2U+PC9yZWNvcmQ+PC9D
aXRlPjwvRW5kTm90ZT5=
</w:fldData>
              </w:fldChar>
            </w:r>
            <w:r>
              <w:rPr>
                <w:rFonts w:ascii="Calibri" w:eastAsia="Times New Roman" w:hAnsi="Calibri" w:cs="Calibri"/>
                <w:color w:val="000000"/>
                <w:lang w:eastAsia="en-GB"/>
              </w:rPr>
              <w:instrText xml:space="preserve"> ADDIN EN.CITE.DATA </w:instrText>
            </w:r>
            <w:r>
              <w:rPr>
                <w:rFonts w:ascii="Calibri" w:eastAsia="Times New Roman" w:hAnsi="Calibri" w:cs="Calibri"/>
                <w:color w:val="000000"/>
                <w:lang w:eastAsia="en-GB"/>
              </w:rPr>
            </w:r>
            <w:r>
              <w:rPr>
                <w:rFonts w:ascii="Calibri" w:eastAsia="Times New Roman" w:hAnsi="Calibri" w:cs="Calibri"/>
                <w:color w:val="000000"/>
                <w:lang w:eastAsia="en-GB"/>
              </w:rPr>
              <w:fldChar w:fldCharType="end"/>
            </w:r>
            <w:r>
              <w:rPr>
                <w:rFonts w:ascii="Calibri" w:eastAsia="Times New Roman" w:hAnsi="Calibri" w:cs="Calibri"/>
                <w:color w:val="000000"/>
                <w:lang w:eastAsia="en-GB"/>
              </w:rPr>
            </w:r>
            <w:r>
              <w:rPr>
                <w:rFonts w:ascii="Calibri" w:eastAsia="Times New Roman" w:hAnsi="Calibri" w:cs="Calibri"/>
                <w:color w:val="000000"/>
                <w:lang w:eastAsia="en-GB"/>
              </w:rPr>
              <w:fldChar w:fldCharType="separate"/>
            </w:r>
            <w:r w:rsidRPr="005550A8">
              <w:rPr>
                <w:rFonts w:ascii="Calibri" w:eastAsia="Times New Roman" w:hAnsi="Calibri" w:cs="Calibri"/>
                <w:noProof/>
                <w:color w:val="000000"/>
                <w:vertAlign w:val="superscript"/>
                <w:lang w:eastAsia="en-GB"/>
              </w:rPr>
              <w:t>41</w:t>
            </w:r>
            <w:r>
              <w:rPr>
                <w:rFonts w:ascii="Calibri" w:eastAsia="Times New Roman" w:hAnsi="Calibri" w:cs="Calibri"/>
                <w:color w:val="000000"/>
                <w:lang w:eastAsia="en-GB"/>
              </w:rPr>
              <w:fldChar w:fldCharType="end"/>
            </w:r>
          </w:p>
        </w:tc>
        <w:tc>
          <w:tcPr>
            <w:tcW w:w="5074" w:type="dxa"/>
            <w:tcBorders>
              <w:top w:val="nil"/>
              <w:left w:val="nil"/>
              <w:bottom w:val="single" w:sz="4" w:space="0" w:color="auto"/>
              <w:right w:val="single" w:sz="4" w:space="0" w:color="auto"/>
            </w:tcBorders>
            <w:shd w:val="clear" w:color="auto" w:fill="auto"/>
            <w:vAlign w:val="bottom"/>
            <w:hideMark/>
          </w:tcPr>
          <w:p w14:paraId="40EE4414"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Bayesian hierarchical logit model to give posterior probability that event rate greater in treatment compared to control group</w:t>
            </w:r>
          </w:p>
        </w:tc>
      </w:tr>
      <w:tr w:rsidR="00E37363" w:rsidRPr="00422705" w14:paraId="5273B6FE" w14:textId="77777777" w:rsidTr="00B45076">
        <w:trPr>
          <w:trHeight w:val="220"/>
        </w:trPr>
        <w:tc>
          <w:tcPr>
            <w:tcW w:w="1692" w:type="dxa"/>
            <w:vMerge/>
            <w:tcBorders>
              <w:top w:val="nil"/>
              <w:left w:val="single" w:sz="4" w:space="0" w:color="auto"/>
              <w:bottom w:val="single" w:sz="4" w:space="0" w:color="auto"/>
              <w:right w:val="single" w:sz="4" w:space="0" w:color="auto"/>
            </w:tcBorders>
            <w:vAlign w:val="center"/>
            <w:hideMark/>
          </w:tcPr>
          <w:p w14:paraId="6716F016" w14:textId="77777777" w:rsidR="00E37363" w:rsidRPr="00422705" w:rsidRDefault="00E37363" w:rsidP="00B45076">
            <w:pPr>
              <w:spacing w:after="0" w:line="240" w:lineRule="auto"/>
              <w:rPr>
                <w:rFonts w:ascii="Calibri" w:eastAsia="Times New Roman" w:hAnsi="Calibri" w:cs="Calibri"/>
                <w:b/>
                <w:bCs/>
                <w:color w:val="000000"/>
                <w:lang w:eastAsia="en-GB"/>
              </w:rPr>
            </w:pPr>
          </w:p>
        </w:tc>
        <w:tc>
          <w:tcPr>
            <w:tcW w:w="1998" w:type="dxa"/>
            <w:tcBorders>
              <w:top w:val="nil"/>
              <w:left w:val="nil"/>
              <w:bottom w:val="single" w:sz="4" w:space="0" w:color="auto"/>
              <w:right w:val="single" w:sz="4" w:space="0" w:color="auto"/>
            </w:tcBorders>
            <w:shd w:val="clear" w:color="auto" w:fill="auto"/>
            <w:noWrap/>
            <w:vAlign w:val="bottom"/>
            <w:hideMark/>
          </w:tcPr>
          <w:p w14:paraId="76055FB8"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Binary</w:t>
            </w:r>
          </w:p>
        </w:tc>
        <w:tc>
          <w:tcPr>
            <w:tcW w:w="1845" w:type="dxa"/>
            <w:tcBorders>
              <w:top w:val="nil"/>
              <w:left w:val="nil"/>
              <w:bottom w:val="single" w:sz="4" w:space="0" w:color="auto"/>
              <w:right w:val="single" w:sz="4" w:space="0" w:color="auto"/>
            </w:tcBorders>
            <w:shd w:val="clear" w:color="auto" w:fill="auto"/>
            <w:noWrap/>
            <w:vAlign w:val="bottom"/>
            <w:hideMark/>
          </w:tcPr>
          <w:p w14:paraId="47360CFB"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 xml:space="preserve">Logit </w:t>
            </w:r>
          </w:p>
        </w:tc>
        <w:tc>
          <w:tcPr>
            <w:tcW w:w="1230" w:type="dxa"/>
            <w:tcBorders>
              <w:top w:val="nil"/>
              <w:left w:val="nil"/>
              <w:bottom w:val="single" w:sz="4" w:space="0" w:color="auto"/>
              <w:right w:val="single" w:sz="4" w:space="0" w:color="auto"/>
            </w:tcBorders>
            <w:shd w:val="clear" w:color="auto" w:fill="auto"/>
            <w:noWrap/>
            <w:vAlign w:val="bottom"/>
            <w:hideMark/>
          </w:tcPr>
          <w:p w14:paraId="7F9CCBD3"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 xml:space="preserve">Normal </w:t>
            </w:r>
          </w:p>
        </w:tc>
        <w:tc>
          <w:tcPr>
            <w:tcW w:w="1692" w:type="dxa"/>
            <w:vMerge w:val="restart"/>
            <w:tcBorders>
              <w:top w:val="nil"/>
              <w:left w:val="single" w:sz="4" w:space="0" w:color="auto"/>
              <w:bottom w:val="single" w:sz="4" w:space="0" w:color="auto"/>
              <w:right w:val="single" w:sz="4" w:space="0" w:color="auto"/>
            </w:tcBorders>
            <w:shd w:val="clear" w:color="auto" w:fill="auto"/>
            <w:vAlign w:val="center"/>
            <w:hideMark/>
          </w:tcPr>
          <w:p w14:paraId="3D446B44" w14:textId="77777777" w:rsidR="00E37363" w:rsidRPr="00422705"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Xia, Ma &amp;</w:t>
            </w:r>
            <w:r w:rsidRPr="00422705">
              <w:rPr>
                <w:rFonts w:ascii="Calibri" w:eastAsia="Times New Roman" w:hAnsi="Calibri" w:cs="Calibri"/>
                <w:color w:val="000000"/>
                <w:lang w:eastAsia="en-GB"/>
              </w:rPr>
              <w:t>Carlin</w:t>
            </w:r>
            <w:r>
              <w:rPr>
                <w:rFonts w:ascii="Calibri" w:eastAsia="Times New Roman" w:hAnsi="Calibri" w:cs="Calibri"/>
                <w:color w:val="000000"/>
                <w:lang w:eastAsia="en-GB"/>
              </w:rPr>
              <w:fldChar w:fldCharType="begin"/>
            </w:r>
            <w:r>
              <w:rPr>
                <w:rFonts w:ascii="Calibri" w:eastAsia="Times New Roman" w:hAnsi="Calibri" w:cs="Calibri"/>
                <w:color w:val="000000"/>
                <w:lang w:eastAsia="en-GB"/>
              </w:rPr>
              <w:instrText xml:space="preserve"> ADDIN EN.CITE &lt;EndNote&gt;&lt;Cite&gt;&lt;Author&gt;Xia&lt;/Author&gt;&lt;Year&gt;2011&lt;/Year&gt;&lt;RecNum&gt;22012&lt;/RecNum&gt;&lt;DisplayText&gt;&lt;style face="superscript"&gt;42&lt;/style&gt;&lt;/DisplayText&gt;&lt;record&gt;&lt;rec-number&gt;22012&lt;/rec-number&gt;&lt;foreign-keys&gt;&lt;key app="EN" db-id="z2f5a5pt0222p8esesuv59tow0trtzfpdxaw" timestamp="1521051145"&gt;22012&lt;/key&gt;&lt;/foreign-keys&gt;&lt;ref-type name="Journal Article"&gt;17&lt;/ref-type&gt;&lt;contributors&gt;&lt;authors&gt;&lt;author&gt;Xia, H. A.&lt;/author&gt;&lt;author&gt;Ma, H.&lt;/author&gt;&lt;author&gt;Carlin, B. P.&lt;/author&gt;&lt;/authors&gt;&lt;/contributors&gt;&lt;auth-address&gt;Xia, H Amy. Amgen, Inc., Thousand Oaks, California 91320, USA. hxia@amgen.com&lt;/auth-address&gt;&lt;titles&gt;&lt;title&gt;Bayesian hierarchical modeling for detecting safety signals in clinical trials&lt;/title&gt;&lt;secondary-title&gt;Journal of Biopharmaceutical Statistics&lt;/secondary-title&gt;&lt;/titles&gt;&lt;periodical&gt;&lt;full-title&gt;Journal of Biopharmaceutical Statistics&lt;/full-title&gt;&lt;/periodical&gt;&lt;pages&gt;1006-29&lt;/pages&gt;&lt;volume&gt;21&lt;/volume&gt;&lt;number&gt;5&lt;/number&gt;&lt;dates&gt;&lt;year&gt;2011&lt;/year&gt;&lt;/dates&gt;&lt;accession-num&gt;21830928&lt;/accession-num&gt;&lt;urls&gt;&lt;related-urls&gt;&lt;url&gt;http://ovidsp.ovid.com/ovidweb.cgi?T=JS&amp;amp;CSC=Y&amp;amp;NEWS=N&amp;amp;PAGE=fulltext&amp;amp;D=med7&amp;amp;AN=21830928&lt;/url&gt;&lt;/related-urls&gt;&lt;/urls&gt;&lt;remote-database-name&gt;MEDLINE&lt;/remote-database-name&gt;&lt;remote-database-provider&gt;Ovid Technologies&lt;/remote-database-provider&gt;&lt;/record&gt;&lt;/Cite&gt;&lt;/EndNote&gt;</w:instrText>
            </w:r>
            <w:r>
              <w:rPr>
                <w:rFonts w:ascii="Calibri" w:eastAsia="Times New Roman" w:hAnsi="Calibri" w:cs="Calibri"/>
                <w:color w:val="000000"/>
                <w:lang w:eastAsia="en-GB"/>
              </w:rPr>
              <w:fldChar w:fldCharType="separate"/>
            </w:r>
            <w:r w:rsidRPr="005550A8">
              <w:rPr>
                <w:rFonts w:ascii="Calibri" w:eastAsia="Times New Roman" w:hAnsi="Calibri" w:cs="Calibri"/>
                <w:noProof/>
                <w:color w:val="000000"/>
                <w:vertAlign w:val="superscript"/>
                <w:lang w:eastAsia="en-GB"/>
              </w:rPr>
              <w:t>42</w:t>
            </w:r>
            <w:r>
              <w:rPr>
                <w:rFonts w:ascii="Calibri" w:eastAsia="Times New Roman" w:hAnsi="Calibri" w:cs="Calibri"/>
                <w:color w:val="000000"/>
                <w:lang w:eastAsia="en-GB"/>
              </w:rPr>
              <w:fldChar w:fldCharType="end"/>
            </w:r>
          </w:p>
        </w:tc>
        <w:tc>
          <w:tcPr>
            <w:tcW w:w="5074" w:type="dxa"/>
            <w:vMerge w:val="restart"/>
            <w:tcBorders>
              <w:top w:val="nil"/>
              <w:left w:val="single" w:sz="4" w:space="0" w:color="auto"/>
              <w:bottom w:val="single" w:sz="4" w:space="0" w:color="auto"/>
              <w:right w:val="single" w:sz="4" w:space="0" w:color="auto"/>
            </w:tcBorders>
            <w:shd w:val="clear" w:color="auto" w:fill="auto"/>
            <w:vAlign w:val="bottom"/>
            <w:hideMark/>
          </w:tcPr>
          <w:p w14:paraId="04D3F53C"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Bayesian hierarchical logit and log-linear (incorporating exposure time) models to give posterior probability that event rate greater in treatment compared to control group</w:t>
            </w:r>
          </w:p>
        </w:tc>
      </w:tr>
      <w:tr w:rsidR="00E37363" w:rsidRPr="00422705" w14:paraId="0B623EA7" w14:textId="77777777" w:rsidTr="00B45076">
        <w:trPr>
          <w:trHeight w:val="220"/>
        </w:trPr>
        <w:tc>
          <w:tcPr>
            <w:tcW w:w="1692" w:type="dxa"/>
            <w:vMerge/>
            <w:tcBorders>
              <w:top w:val="nil"/>
              <w:left w:val="single" w:sz="4" w:space="0" w:color="auto"/>
              <w:bottom w:val="single" w:sz="4" w:space="0" w:color="auto"/>
              <w:right w:val="single" w:sz="4" w:space="0" w:color="auto"/>
            </w:tcBorders>
            <w:vAlign w:val="center"/>
            <w:hideMark/>
          </w:tcPr>
          <w:p w14:paraId="3C4010F4" w14:textId="77777777" w:rsidR="00E37363" w:rsidRPr="00422705" w:rsidRDefault="00E37363" w:rsidP="00B45076">
            <w:pPr>
              <w:spacing w:after="0" w:line="240" w:lineRule="auto"/>
              <w:rPr>
                <w:rFonts w:ascii="Calibri" w:eastAsia="Times New Roman" w:hAnsi="Calibri" w:cs="Calibri"/>
                <w:b/>
                <w:bCs/>
                <w:color w:val="000000"/>
                <w:lang w:eastAsia="en-GB"/>
              </w:rPr>
            </w:pPr>
          </w:p>
        </w:tc>
        <w:tc>
          <w:tcPr>
            <w:tcW w:w="1998" w:type="dxa"/>
            <w:tcBorders>
              <w:top w:val="nil"/>
              <w:left w:val="nil"/>
              <w:bottom w:val="single" w:sz="4" w:space="0" w:color="auto"/>
              <w:right w:val="single" w:sz="4" w:space="0" w:color="auto"/>
            </w:tcBorders>
            <w:shd w:val="clear" w:color="auto" w:fill="auto"/>
            <w:noWrap/>
            <w:vAlign w:val="bottom"/>
            <w:hideMark/>
          </w:tcPr>
          <w:p w14:paraId="00D742F3" w14:textId="77777777" w:rsidR="00E37363" w:rsidRPr="00422705"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Count </w:t>
            </w:r>
          </w:p>
        </w:tc>
        <w:tc>
          <w:tcPr>
            <w:tcW w:w="1845" w:type="dxa"/>
            <w:tcBorders>
              <w:top w:val="nil"/>
              <w:left w:val="nil"/>
              <w:bottom w:val="single" w:sz="4" w:space="0" w:color="auto"/>
              <w:right w:val="single" w:sz="4" w:space="0" w:color="auto"/>
            </w:tcBorders>
            <w:shd w:val="clear" w:color="auto" w:fill="auto"/>
            <w:noWrap/>
            <w:vAlign w:val="bottom"/>
            <w:hideMark/>
          </w:tcPr>
          <w:p w14:paraId="5D3023BD" w14:textId="77777777" w:rsidR="00E37363" w:rsidRPr="00422705"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Log (P</w:t>
            </w:r>
            <w:r w:rsidRPr="00422705">
              <w:rPr>
                <w:rFonts w:ascii="Calibri" w:eastAsia="Times New Roman" w:hAnsi="Calibri" w:cs="Calibri"/>
                <w:color w:val="000000"/>
                <w:lang w:eastAsia="en-GB"/>
              </w:rPr>
              <w:t>oisson)</w:t>
            </w:r>
          </w:p>
        </w:tc>
        <w:tc>
          <w:tcPr>
            <w:tcW w:w="1230" w:type="dxa"/>
            <w:tcBorders>
              <w:top w:val="nil"/>
              <w:left w:val="nil"/>
              <w:bottom w:val="single" w:sz="4" w:space="0" w:color="auto"/>
              <w:right w:val="single" w:sz="4" w:space="0" w:color="auto"/>
            </w:tcBorders>
            <w:shd w:val="clear" w:color="auto" w:fill="auto"/>
            <w:noWrap/>
            <w:vAlign w:val="bottom"/>
            <w:hideMark/>
          </w:tcPr>
          <w:p w14:paraId="1AD80419"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Mixed</w:t>
            </w:r>
          </w:p>
        </w:tc>
        <w:tc>
          <w:tcPr>
            <w:tcW w:w="1692" w:type="dxa"/>
            <w:vMerge/>
            <w:tcBorders>
              <w:top w:val="nil"/>
              <w:left w:val="single" w:sz="4" w:space="0" w:color="auto"/>
              <w:bottom w:val="single" w:sz="4" w:space="0" w:color="auto"/>
              <w:right w:val="single" w:sz="4" w:space="0" w:color="auto"/>
            </w:tcBorders>
            <w:vAlign w:val="center"/>
            <w:hideMark/>
          </w:tcPr>
          <w:p w14:paraId="6C21EA60" w14:textId="77777777" w:rsidR="00E37363" w:rsidRPr="00422705" w:rsidRDefault="00E37363" w:rsidP="00B45076">
            <w:pPr>
              <w:spacing w:after="0" w:line="240" w:lineRule="auto"/>
              <w:rPr>
                <w:rFonts w:ascii="Calibri" w:eastAsia="Times New Roman" w:hAnsi="Calibri" w:cs="Calibri"/>
                <w:color w:val="000000"/>
                <w:lang w:eastAsia="en-GB"/>
              </w:rPr>
            </w:pPr>
          </w:p>
        </w:tc>
        <w:tc>
          <w:tcPr>
            <w:tcW w:w="5074" w:type="dxa"/>
            <w:vMerge/>
            <w:tcBorders>
              <w:top w:val="nil"/>
              <w:left w:val="single" w:sz="4" w:space="0" w:color="auto"/>
              <w:bottom w:val="single" w:sz="4" w:space="0" w:color="auto"/>
              <w:right w:val="single" w:sz="4" w:space="0" w:color="auto"/>
            </w:tcBorders>
            <w:vAlign w:val="center"/>
            <w:hideMark/>
          </w:tcPr>
          <w:p w14:paraId="6C296706" w14:textId="77777777" w:rsidR="00E37363" w:rsidRPr="00422705" w:rsidRDefault="00E37363" w:rsidP="00B45076">
            <w:pPr>
              <w:spacing w:after="0" w:line="240" w:lineRule="auto"/>
              <w:rPr>
                <w:rFonts w:ascii="Calibri" w:eastAsia="Times New Roman" w:hAnsi="Calibri" w:cs="Calibri"/>
                <w:color w:val="000000"/>
                <w:lang w:eastAsia="en-GB"/>
              </w:rPr>
            </w:pPr>
          </w:p>
        </w:tc>
      </w:tr>
      <w:tr w:rsidR="00E37363" w:rsidRPr="00422705" w14:paraId="30E3F9D3" w14:textId="77777777" w:rsidTr="00B45076">
        <w:trPr>
          <w:trHeight w:val="220"/>
        </w:trPr>
        <w:tc>
          <w:tcPr>
            <w:tcW w:w="1692" w:type="dxa"/>
            <w:vMerge/>
            <w:tcBorders>
              <w:top w:val="nil"/>
              <w:left w:val="single" w:sz="4" w:space="0" w:color="auto"/>
              <w:bottom w:val="single" w:sz="4" w:space="0" w:color="auto"/>
              <w:right w:val="single" w:sz="4" w:space="0" w:color="auto"/>
            </w:tcBorders>
            <w:vAlign w:val="center"/>
            <w:hideMark/>
          </w:tcPr>
          <w:p w14:paraId="530A4EAE" w14:textId="77777777" w:rsidR="00E37363" w:rsidRPr="00422705" w:rsidRDefault="00E37363" w:rsidP="00B45076">
            <w:pPr>
              <w:spacing w:after="0" w:line="240" w:lineRule="auto"/>
              <w:rPr>
                <w:rFonts w:ascii="Calibri" w:eastAsia="Times New Roman" w:hAnsi="Calibri" w:cs="Calibri"/>
                <w:b/>
                <w:bCs/>
                <w:color w:val="000000"/>
                <w:lang w:eastAsia="en-GB"/>
              </w:rPr>
            </w:pPr>
          </w:p>
        </w:tc>
        <w:tc>
          <w:tcPr>
            <w:tcW w:w="1998" w:type="dxa"/>
            <w:tcBorders>
              <w:top w:val="nil"/>
              <w:left w:val="nil"/>
              <w:bottom w:val="single" w:sz="4" w:space="0" w:color="auto"/>
              <w:right w:val="single" w:sz="4" w:space="0" w:color="auto"/>
            </w:tcBorders>
            <w:shd w:val="clear" w:color="auto" w:fill="auto"/>
            <w:noWrap/>
            <w:vAlign w:val="bottom"/>
            <w:hideMark/>
          </w:tcPr>
          <w:p w14:paraId="4D794406" w14:textId="77777777" w:rsidR="00E37363" w:rsidRPr="00422705"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Count </w:t>
            </w:r>
          </w:p>
        </w:tc>
        <w:tc>
          <w:tcPr>
            <w:tcW w:w="1845" w:type="dxa"/>
            <w:tcBorders>
              <w:top w:val="nil"/>
              <w:left w:val="nil"/>
              <w:bottom w:val="single" w:sz="4" w:space="0" w:color="auto"/>
              <w:right w:val="single" w:sz="4" w:space="0" w:color="auto"/>
            </w:tcBorders>
            <w:shd w:val="clear" w:color="auto" w:fill="auto"/>
            <w:noWrap/>
            <w:vAlign w:val="bottom"/>
            <w:hideMark/>
          </w:tcPr>
          <w:p w14:paraId="403379B7"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Log (</w:t>
            </w:r>
            <w:r>
              <w:rPr>
                <w:rFonts w:ascii="Calibri" w:eastAsia="Times New Roman" w:hAnsi="Calibri" w:cs="Calibri"/>
                <w:color w:val="000000"/>
                <w:lang w:eastAsia="en-GB"/>
              </w:rPr>
              <w:t>P</w:t>
            </w:r>
            <w:r w:rsidRPr="00422705">
              <w:rPr>
                <w:rFonts w:ascii="Calibri" w:eastAsia="Times New Roman" w:hAnsi="Calibri" w:cs="Calibri"/>
                <w:color w:val="000000"/>
                <w:lang w:eastAsia="en-GB"/>
              </w:rPr>
              <w:t>oisson)</w:t>
            </w:r>
          </w:p>
        </w:tc>
        <w:tc>
          <w:tcPr>
            <w:tcW w:w="1230" w:type="dxa"/>
            <w:tcBorders>
              <w:top w:val="nil"/>
              <w:left w:val="nil"/>
              <w:bottom w:val="single" w:sz="4" w:space="0" w:color="auto"/>
              <w:right w:val="single" w:sz="4" w:space="0" w:color="auto"/>
            </w:tcBorders>
            <w:shd w:val="clear" w:color="auto" w:fill="auto"/>
            <w:noWrap/>
            <w:vAlign w:val="bottom"/>
            <w:hideMark/>
          </w:tcPr>
          <w:p w14:paraId="11D12BAA"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 xml:space="preserve">Normal </w:t>
            </w:r>
          </w:p>
        </w:tc>
        <w:tc>
          <w:tcPr>
            <w:tcW w:w="1692" w:type="dxa"/>
            <w:vMerge/>
            <w:tcBorders>
              <w:top w:val="nil"/>
              <w:left w:val="single" w:sz="4" w:space="0" w:color="auto"/>
              <w:bottom w:val="single" w:sz="4" w:space="0" w:color="auto"/>
              <w:right w:val="single" w:sz="4" w:space="0" w:color="auto"/>
            </w:tcBorders>
            <w:vAlign w:val="center"/>
            <w:hideMark/>
          </w:tcPr>
          <w:p w14:paraId="2084C57E" w14:textId="77777777" w:rsidR="00E37363" w:rsidRPr="00422705" w:rsidRDefault="00E37363" w:rsidP="00B45076">
            <w:pPr>
              <w:spacing w:after="0" w:line="240" w:lineRule="auto"/>
              <w:rPr>
                <w:rFonts w:ascii="Calibri" w:eastAsia="Times New Roman" w:hAnsi="Calibri" w:cs="Calibri"/>
                <w:color w:val="000000"/>
                <w:lang w:eastAsia="en-GB"/>
              </w:rPr>
            </w:pPr>
          </w:p>
        </w:tc>
        <w:tc>
          <w:tcPr>
            <w:tcW w:w="5074" w:type="dxa"/>
            <w:vMerge/>
            <w:tcBorders>
              <w:top w:val="nil"/>
              <w:left w:val="single" w:sz="4" w:space="0" w:color="auto"/>
              <w:bottom w:val="single" w:sz="4" w:space="0" w:color="auto"/>
              <w:right w:val="single" w:sz="4" w:space="0" w:color="auto"/>
            </w:tcBorders>
            <w:vAlign w:val="center"/>
            <w:hideMark/>
          </w:tcPr>
          <w:p w14:paraId="2099371C" w14:textId="77777777" w:rsidR="00E37363" w:rsidRPr="00422705" w:rsidRDefault="00E37363" w:rsidP="00B45076">
            <w:pPr>
              <w:spacing w:after="0" w:line="240" w:lineRule="auto"/>
              <w:rPr>
                <w:rFonts w:ascii="Calibri" w:eastAsia="Times New Roman" w:hAnsi="Calibri" w:cs="Calibri"/>
                <w:color w:val="000000"/>
                <w:lang w:eastAsia="en-GB"/>
              </w:rPr>
            </w:pPr>
          </w:p>
        </w:tc>
      </w:tr>
      <w:tr w:rsidR="00E37363" w:rsidRPr="00422705" w14:paraId="1C87CB30" w14:textId="77777777" w:rsidTr="00B45076">
        <w:trPr>
          <w:trHeight w:val="522"/>
        </w:trPr>
        <w:tc>
          <w:tcPr>
            <w:tcW w:w="1692" w:type="dxa"/>
            <w:vMerge/>
            <w:tcBorders>
              <w:top w:val="nil"/>
              <w:left w:val="single" w:sz="4" w:space="0" w:color="auto"/>
              <w:bottom w:val="single" w:sz="4" w:space="0" w:color="auto"/>
              <w:right w:val="single" w:sz="4" w:space="0" w:color="auto"/>
            </w:tcBorders>
            <w:vAlign w:val="center"/>
            <w:hideMark/>
          </w:tcPr>
          <w:p w14:paraId="34F3E686" w14:textId="77777777" w:rsidR="00E37363" w:rsidRPr="00422705" w:rsidRDefault="00E37363" w:rsidP="00B45076">
            <w:pPr>
              <w:spacing w:after="0" w:line="240" w:lineRule="auto"/>
              <w:rPr>
                <w:rFonts w:ascii="Calibri" w:eastAsia="Times New Roman" w:hAnsi="Calibri" w:cs="Calibri"/>
                <w:b/>
                <w:bCs/>
                <w:color w:val="000000"/>
                <w:lang w:eastAsia="en-GB"/>
              </w:rPr>
            </w:pPr>
          </w:p>
        </w:tc>
        <w:tc>
          <w:tcPr>
            <w:tcW w:w="1998" w:type="dxa"/>
            <w:tcBorders>
              <w:top w:val="nil"/>
              <w:left w:val="nil"/>
              <w:bottom w:val="single" w:sz="4" w:space="0" w:color="auto"/>
              <w:right w:val="single" w:sz="4" w:space="0" w:color="auto"/>
            </w:tcBorders>
            <w:shd w:val="clear" w:color="auto" w:fill="auto"/>
            <w:noWrap/>
            <w:vAlign w:val="bottom"/>
            <w:hideMark/>
          </w:tcPr>
          <w:p w14:paraId="0BDF787A"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Binary</w:t>
            </w:r>
          </w:p>
        </w:tc>
        <w:tc>
          <w:tcPr>
            <w:tcW w:w="1845" w:type="dxa"/>
            <w:tcBorders>
              <w:top w:val="nil"/>
              <w:left w:val="nil"/>
              <w:bottom w:val="single" w:sz="4" w:space="0" w:color="auto"/>
              <w:right w:val="single" w:sz="4" w:space="0" w:color="auto"/>
            </w:tcBorders>
            <w:shd w:val="clear" w:color="auto" w:fill="auto"/>
            <w:noWrap/>
            <w:vAlign w:val="bottom"/>
            <w:hideMark/>
          </w:tcPr>
          <w:p w14:paraId="171D92FA"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Logit</w:t>
            </w:r>
          </w:p>
        </w:tc>
        <w:tc>
          <w:tcPr>
            <w:tcW w:w="1230" w:type="dxa"/>
            <w:tcBorders>
              <w:top w:val="nil"/>
              <w:left w:val="nil"/>
              <w:bottom w:val="single" w:sz="4" w:space="0" w:color="auto"/>
              <w:right w:val="single" w:sz="4" w:space="0" w:color="auto"/>
            </w:tcBorders>
            <w:shd w:val="clear" w:color="auto" w:fill="auto"/>
            <w:noWrap/>
            <w:vAlign w:val="bottom"/>
            <w:hideMark/>
          </w:tcPr>
          <w:p w14:paraId="649C2C34"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Mixed</w:t>
            </w:r>
          </w:p>
        </w:tc>
        <w:tc>
          <w:tcPr>
            <w:tcW w:w="1692" w:type="dxa"/>
            <w:tcBorders>
              <w:top w:val="nil"/>
              <w:left w:val="nil"/>
              <w:bottom w:val="single" w:sz="4" w:space="0" w:color="auto"/>
              <w:right w:val="single" w:sz="4" w:space="0" w:color="auto"/>
            </w:tcBorders>
            <w:shd w:val="clear" w:color="auto" w:fill="auto"/>
            <w:noWrap/>
            <w:vAlign w:val="bottom"/>
            <w:hideMark/>
          </w:tcPr>
          <w:p w14:paraId="5658A73F"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Chen</w:t>
            </w:r>
            <w:r>
              <w:rPr>
                <w:rFonts w:ascii="Calibri" w:eastAsia="Times New Roman" w:hAnsi="Calibri" w:cs="Calibri"/>
                <w:color w:val="000000"/>
                <w:lang w:eastAsia="en-GB"/>
              </w:rPr>
              <w:fldChar w:fldCharType="begin"/>
            </w:r>
            <w:r>
              <w:rPr>
                <w:rFonts w:ascii="Calibri" w:eastAsia="Times New Roman" w:hAnsi="Calibri" w:cs="Calibri"/>
                <w:color w:val="000000"/>
                <w:lang w:eastAsia="en-GB"/>
              </w:rPr>
              <w:instrText xml:space="preserve"> ADDIN EN.CITE &lt;EndNote&gt;&lt;Cite&gt;&lt;Author&gt;Chen&lt;/Author&gt;&lt;Year&gt;2013&lt;/Year&gt;&lt;RecNum&gt;7508&lt;/RecNum&gt;&lt;DisplayText&gt;&lt;style face="superscript"&gt;43&lt;/style&gt;&lt;/DisplayText&gt;&lt;record&gt;&lt;rec-number&gt;7508&lt;/rec-number&gt;&lt;foreign-keys&gt;&lt;key app="EN" db-id="z2f5a5pt0222p8esesuv59tow0trtzfpdxaw" timestamp="1521046971"&gt;7508&lt;/key&gt;&lt;/foreign-keys&gt;&lt;ref-type name="Journal Article"&gt;17&lt;/ref-type&gt;&lt;contributors&gt;&lt;authors&gt;&lt;author&gt;Chen, W. F.&lt;/author&gt;&lt;author&gt;Zhao, N. Q.&lt;/author&gt;&lt;author&gt;Qin, G. Y.&lt;/author&gt;&lt;author&gt;Chen, J.&lt;/author&gt;&lt;/authors&gt;&lt;/contributors&gt;&lt;titles&gt;&lt;title&gt;A Bayesian Group Sequential Approach to Safety Signal Detection&lt;/title&gt;&lt;secondary-title&gt;Journal of Biopharmaceutical Statistics&lt;/secondary-title&gt;&lt;/titles&gt;&lt;periodical&gt;&lt;full-title&gt;Journal of Biopharmaceutical Statistics&lt;/full-title&gt;&lt;/periodical&gt;&lt;pages&gt;213-230&lt;/pages&gt;&lt;volume&gt;23&lt;/volume&gt;&lt;number&gt;1&lt;/number&gt;&lt;dates&gt;&lt;year&gt;2013&lt;/year&gt;&lt;pub-dates&gt;&lt;date&gt;Jan&lt;/date&gt;&lt;/pub-dates&gt;&lt;/dates&gt;&lt;isbn&gt;1054-3406&lt;/isbn&gt;&lt;accession-num&gt;WOS:000313681500016&lt;/accession-num&gt;&lt;urls&gt;&lt;related-urls&gt;&lt;url&gt;&amp;lt;Go to ISI&amp;gt;://WOS:000313681500016&lt;/url&gt;&lt;/related-urls&gt;&lt;/urls&gt;&lt;electronic-resource-num&gt;10.1080/10543406.2013.736813&lt;/electronic-resource-num&gt;&lt;/record&gt;&lt;/Cite&gt;&lt;/EndNote&gt;</w:instrText>
            </w:r>
            <w:r>
              <w:rPr>
                <w:rFonts w:ascii="Calibri" w:eastAsia="Times New Roman" w:hAnsi="Calibri" w:cs="Calibri"/>
                <w:color w:val="000000"/>
                <w:lang w:eastAsia="en-GB"/>
              </w:rPr>
              <w:fldChar w:fldCharType="separate"/>
            </w:r>
            <w:r w:rsidRPr="005550A8">
              <w:rPr>
                <w:rFonts w:ascii="Calibri" w:eastAsia="Times New Roman" w:hAnsi="Calibri" w:cs="Calibri"/>
                <w:noProof/>
                <w:color w:val="000000"/>
                <w:vertAlign w:val="superscript"/>
                <w:lang w:eastAsia="en-GB"/>
              </w:rPr>
              <w:t>43</w:t>
            </w:r>
            <w:r>
              <w:rPr>
                <w:rFonts w:ascii="Calibri" w:eastAsia="Times New Roman" w:hAnsi="Calibri" w:cs="Calibri"/>
                <w:color w:val="000000"/>
                <w:lang w:eastAsia="en-GB"/>
              </w:rPr>
              <w:fldChar w:fldCharType="end"/>
            </w:r>
          </w:p>
        </w:tc>
        <w:tc>
          <w:tcPr>
            <w:tcW w:w="5074" w:type="dxa"/>
            <w:tcBorders>
              <w:top w:val="nil"/>
              <w:left w:val="nil"/>
              <w:bottom w:val="single" w:sz="4" w:space="0" w:color="auto"/>
              <w:right w:val="single" w:sz="4" w:space="0" w:color="auto"/>
            </w:tcBorders>
            <w:shd w:val="clear" w:color="auto" w:fill="auto"/>
            <w:vAlign w:val="bottom"/>
            <w:hideMark/>
          </w:tcPr>
          <w:p w14:paraId="22150C5B"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Sequential method. Bayesian hierarchical logit model to give posterior probability that event rate greater in treatment compared to control group for interim analysis</w:t>
            </w:r>
          </w:p>
        </w:tc>
      </w:tr>
      <w:tr w:rsidR="00E37363" w:rsidRPr="00422705" w14:paraId="3DD23537" w14:textId="77777777" w:rsidTr="00B45076">
        <w:trPr>
          <w:trHeight w:val="346"/>
        </w:trPr>
        <w:tc>
          <w:tcPr>
            <w:tcW w:w="1692" w:type="dxa"/>
            <w:vMerge/>
            <w:tcBorders>
              <w:top w:val="nil"/>
              <w:left w:val="single" w:sz="4" w:space="0" w:color="auto"/>
              <w:bottom w:val="single" w:sz="4" w:space="0" w:color="auto"/>
              <w:right w:val="single" w:sz="4" w:space="0" w:color="auto"/>
            </w:tcBorders>
            <w:vAlign w:val="center"/>
            <w:hideMark/>
          </w:tcPr>
          <w:p w14:paraId="208AB8E5" w14:textId="77777777" w:rsidR="00E37363" w:rsidRPr="00422705" w:rsidRDefault="00E37363" w:rsidP="00B45076">
            <w:pPr>
              <w:spacing w:after="0" w:line="240" w:lineRule="auto"/>
              <w:rPr>
                <w:rFonts w:ascii="Calibri" w:eastAsia="Times New Roman" w:hAnsi="Calibri" w:cs="Calibri"/>
                <w:b/>
                <w:bCs/>
                <w:color w:val="000000"/>
                <w:lang w:eastAsia="en-GB"/>
              </w:rPr>
            </w:pPr>
          </w:p>
        </w:tc>
        <w:tc>
          <w:tcPr>
            <w:tcW w:w="1998" w:type="dxa"/>
            <w:tcBorders>
              <w:top w:val="nil"/>
              <w:left w:val="nil"/>
              <w:bottom w:val="single" w:sz="4" w:space="0" w:color="auto"/>
              <w:right w:val="single" w:sz="4" w:space="0" w:color="auto"/>
            </w:tcBorders>
            <w:shd w:val="clear" w:color="auto" w:fill="auto"/>
            <w:noWrap/>
            <w:vAlign w:val="bottom"/>
            <w:hideMark/>
          </w:tcPr>
          <w:p w14:paraId="04E3F579" w14:textId="77777777" w:rsidR="00E37363" w:rsidRPr="00C942A7" w:rsidRDefault="00E37363" w:rsidP="00B45076">
            <w:pPr>
              <w:spacing w:after="0" w:line="240" w:lineRule="auto"/>
              <w:rPr>
                <w:rFonts w:ascii="Calibri" w:eastAsia="Times New Roman" w:hAnsi="Calibri" w:cs="Calibri"/>
                <w:color w:val="000000"/>
                <w:lang w:eastAsia="en-GB"/>
              </w:rPr>
            </w:pPr>
            <w:r w:rsidRPr="00C942A7">
              <w:rPr>
                <w:rFonts w:ascii="Calibri" w:eastAsia="Times New Roman" w:hAnsi="Calibri" w:cs="Calibri"/>
                <w:color w:val="000000"/>
                <w:lang w:eastAsia="en-GB"/>
              </w:rPr>
              <w:t>Binary</w:t>
            </w:r>
          </w:p>
        </w:tc>
        <w:tc>
          <w:tcPr>
            <w:tcW w:w="1845" w:type="dxa"/>
            <w:tcBorders>
              <w:top w:val="nil"/>
              <w:left w:val="nil"/>
              <w:bottom w:val="single" w:sz="4" w:space="0" w:color="auto"/>
              <w:right w:val="single" w:sz="4" w:space="0" w:color="auto"/>
            </w:tcBorders>
            <w:shd w:val="clear" w:color="auto" w:fill="auto"/>
            <w:noWrap/>
            <w:vAlign w:val="bottom"/>
            <w:hideMark/>
          </w:tcPr>
          <w:p w14:paraId="384CD2FD" w14:textId="77777777" w:rsidR="00E37363" w:rsidRPr="00C942A7"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Beta-</w:t>
            </w:r>
            <w:r w:rsidRPr="00C942A7">
              <w:rPr>
                <w:rFonts w:ascii="Calibri" w:eastAsia="Times New Roman" w:hAnsi="Calibri" w:cs="Calibri"/>
                <w:color w:val="000000"/>
                <w:lang w:eastAsia="en-GB"/>
              </w:rPr>
              <w:t>Binomial</w:t>
            </w:r>
          </w:p>
        </w:tc>
        <w:tc>
          <w:tcPr>
            <w:tcW w:w="1230" w:type="dxa"/>
            <w:tcBorders>
              <w:top w:val="nil"/>
              <w:left w:val="nil"/>
              <w:bottom w:val="single" w:sz="4" w:space="0" w:color="auto"/>
              <w:right w:val="single" w:sz="4" w:space="0" w:color="auto"/>
            </w:tcBorders>
            <w:shd w:val="clear" w:color="auto" w:fill="auto"/>
            <w:noWrap/>
            <w:vAlign w:val="bottom"/>
            <w:hideMark/>
          </w:tcPr>
          <w:p w14:paraId="7646F7F1" w14:textId="77777777" w:rsidR="00E37363" w:rsidRPr="00422705" w:rsidRDefault="00E37363" w:rsidP="00B45076">
            <w:pPr>
              <w:spacing w:after="0" w:line="240" w:lineRule="auto"/>
              <w:rPr>
                <w:rFonts w:ascii="Calibri" w:eastAsia="Times New Roman" w:hAnsi="Calibri" w:cs="Calibri"/>
                <w:color w:val="000000"/>
                <w:lang w:eastAsia="en-GB"/>
              </w:rPr>
            </w:pPr>
            <w:proofErr w:type="spellStart"/>
            <w:r w:rsidRPr="00422705">
              <w:rPr>
                <w:rFonts w:ascii="Calibri" w:eastAsia="Times New Roman" w:hAnsi="Calibri" w:cs="Calibri"/>
                <w:color w:val="000000"/>
                <w:lang w:eastAsia="en-GB"/>
              </w:rPr>
              <w:t>Isling</w:t>
            </w:r>
            <w:proofErr w:type="spellEnd"/>
          </w:p>
        </w:tc>
        <w:tc>
          <w:tcPr>
            <w:tcW w:w="1692" w:type="dxa"/>
            <w:tcBorders>
              <w:top w:val="nil"/>
              <w:left w:val="nil"/>
              <w:bottom w:val="single" w:sz="4" w:space="0" w:color="auto"/>
              <w:right w:val="single" w:sz="4" w:space="0" w:color="auto"/>
            </w:tcBorders>
            <w:shd w:val="clear" w:color="auto" w:fill="auto"/>
            <w:noWrap/>
            <w:vAlign w:val="bottom"/>
            <w:hideMark/>
          </w:tcPr>
          <w:p w14:paraId="1BA2D60F"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McEvoy</w:t>
            </w:r>
            <w:r>
              <w:rPr>
                <w:rFonts w:ascii="Calibri" w:eastAsia="Times New Roman" w:hAnsi="Calibri" w:cs="Calibri"/>
                <w:color w:val="000000"/>
                <w:lang w:eastAsia="en-GB"/>
              </w:rPr>
              <w:fldChar w:fldCharType="begin"/>
            </w:r>
            <w:r>
              <w:rPr>
                <w:rFonts w:ascii="Calibri" w:eastAsia="Times New Roman" w:hAnsi="Calibri" w:cs="Calibri"/>
                <w:color w:val="000000"/>
                <w:lang w:eastAsia="en-GB"/>
              </w:rPr>
              <w:instrText xml:space="preserve"> ADDIN EN.CITE &lt;EndNote&gt;&lt;Cite&gt;&lt;Author&gt;McEvoy&lt;/Author&gt;&lt;Year&gt;2013&lt;/Year&gt;&lt;RecNum&gt;16011&lt;/RecNum&gt;&lt;DisplayText&gt;&lt;style face="superscript"&gt;44&lt;/style&gt;&lt;/DisplayText&gt;&lt;record&gt;&lt;rec-number&gt;16011&lt;/rec-number&gt;&lt;foreign-keys&gt;&lt;key app="EN" db-id="z2f5a5pt0222p8esesuv59tow0trtzfpdxaw" timestamp="1521049898"&gt;16011&lt;/key&gt;&lt;/foreign-keys&gt;&lt;ref-type name="Journal Article"&gt;17&lt;/ref-type&gt;&lt;contributors&gt;&lt;authors&gt;&lt;author&gt;McEvoy, B. W.&lt;/author&gt;&lt;author&gt;Nandy, R. R.&lt;/author&gt;&lt;author&gt;Tiwari, R. C.&lt;/author&gt;&lt;/authors&gt;&lt;/contributors&gt;&lt;auth-address&gt;(Mcevoy, Tiwari) Office of Biostatistics, CDER, FDA, 10903 New Hampshire Ave, Silver Spring, Marryland 20993, United States (Nandy) Department of Psychology, University of California at Los Angeles, Los Angeles, California 90095, United States (Nandy) Department of Biostatistics, University of California at Los Angeles, Los Angeles, California 90095, United States&lt;/auth-address&gt;&lt;titles&gt;&lt;title&gt;Bayesian Approach for Clinical Trial Safety Data Using an Ising Prior&lt;/title&gt;&lt;secondary-title&gt;Biometrics&lt;/secondary-title&gt;&lt;/titles&gt;&lt;periodical&gt;&lt;full-title&gt;Biometrics&lt;/full-title&gt;&lt;/periodical&gt;&lt;pages&gt;661-672&lt;/pages&gt;&lt;volume&gt;69&lt;/volume&gt;&lt;number&gt;3&lt;/number&gt;&lt;dates&gt;&lt;year&gt;2013&lt;/year&gt;&lt;pub-dates&gt;&lt;date&gt;September&lt;/date&gt;&lt;/pub-dates&gt;&lt;/dates&gt;&lt;accession-num&gt;1052681604&lt;/accession-num&gt;&lt;urls&gt;&lt;related-urls&gt;&lt;url&gt;http://ovidsp.ovid.com/ovidweb.cgi?T=JS&amp;amp;CSC=Y&amp;amp;NEWS=N&amp;amp;PAGE=fulltext&amp;amp;D=emed15&amp;amp;AN=1052681604&lt;/url&gt;&lt;/related-urls&gt;&lt;/urls&gt;&lt;remote-database-name&gt;Embase&lt;/remote-database-name&gt;&lt;remote-database-provider&gt;Ovid Technologies&lt;/remote-database-provider&gt;&lt;/record&gt;&lt;/Cite&gt;&lt;/EndNote&gt;</w:instrText>
            </w:r>
            <w:r>
              <w:rPr>
                <w:rFonts w:ascii="Calibri" w:eastAsia="Times New Roman" w:hAnsi="Calibri" w:cs="Calibri"/>
                <w:color w:val="000000"/>
                <w:lang w:eastAsia="en-GB"/>
              </w:rPr>
              <w:fldChar w:fldCharType="separate"/>
            </w:r>
            <w:r w:rsidRPr="005550A8">
              <w:rPr>
                <w:rFonts w:ascii="Calibri" w:eastAsia="Times New Roman" w:hAnsi="Calibri" w:cs="Calibri"/>
                <w:noProof/>
                <w:color w:val="000000"/>
                <w:vertAlign w:val="superscript"/>
                <w:lang w:eastAsia="en-GB"/>
              </w:rPr>
              <w:t>44</w:t>
            </w:r>
            <w:r>
              <w:rPr>
                <w:rFonts w:ascii="Calibri" w:eastAsia="Times New Roman" w:hAnsi="Calibri" w:cs="Calibri"/>
                <w:color w:val="000000"/>
                <w:lang w:eastAsia="en-GB"/>
              </w:rPr>
              <w:fldChar w:fldCharType="end"/>
            </w:r>
          </w:p>
        </w:tc>
        <w:tc>
          <w:tcPr>
            <w:tcW w:w="5074" w:type="dxa"/>
            <w:tcBorders>
              <w:top w:val="nil"/>
              <w:left w:val="nil"/>
              <w:bottom w:val="single" w:sz="4" w:space="0" w:color="auto"/>
              <w:right w:val="single" w:sz="4" w:space="0" w:color="auto"/>
            </w:tcBorders>
            <w:shd w:val="clear" w:color="auto" w:fill="auto"/>
            <w:vAlign w:val="bottom"/>
            <w:hideMark/>
          </w:tcPr>
          <w:p w14:paraId="50FABA84"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Multivariate approach to give posterior probability of difference in event rates based on indicator functions</w:t>
            </w:r>
          </w:p>
        </w:tc>
      </w:tr>
      <w:tr w:rsidR="00E37363" w:rsidRPr="00422705" w14:paraId="44D3E799" w14:textId="77777777" w:rsidTr="00B45076">
        <w:trPr>
          <w:trHeight w:val="165"/>
        </w:trPr>
        <w:tc>
          <w:tcPr>
            <w:tcW w:w="1692" w:type="dxa"/>
            <w:vMerge/>
            <w:tcBorders>
              <w:top w:val="nil"/>
              <w:left w:val="single" w:sz="4" w:space="0" w:color="auto"/>
              <w:bottom w:val="single" w:sz="4" w:space="0" w:color="auto"/>
              <w:right w:val="single" w:sz="4" w:space="0" w:color="auto"/>
            </w:tcBorders>
            <w:vAlign w:val="center"/>
            <w:hideMark/>
          </w:tcPr>
          <w:p w14:paraId="445061F6" w14:textId="77777777" w:rsidR="00E37363" w:rsidRPr="00422705" w:rsidRDefault="00E37363" w:rsidP="00B45076">
            <w:pPr>
              <w:spacing w:after="0" w:line="240" w:lineRule="auto"/>
              <w:rPr>
                <w:rFonts w:ascii="Calibri" w:eastAsia="Times New Roman" w:hAnsi="Calibri" w:cs="Calibri"/>
                <w:b/>
                <w:bCs/>
                <w:color w:val="000000"/>
                <w:lang w:eastAsia="en-GB"/>
              </w:rPr>
            </w:pPr>
          </w:p>
        </w:tc>
        <w:tc>
          <w:tcPr>
            <w:tcW w:w="1998" w:type="dxa"/>
            <w:tcBorders>
              <w:top w:val="nil"/>
              <w:left w:val="nil"/>
              <w:bottom w:val="single" w:sz="4" w:space="0" w:color="auto"/>
              <w:right w:val="single" w:sz="4" w:space="0" w:color="auto"/>
            </w:tcBorders>
            <w:shd w:val="clear" w:color="auto" w:fill="auto"/>
            <w:noWrap/>
            <w:vAlign w:val="bottom"/>
            <w:hideMark/>
          </w:tcPr>
          <w:p w14:paraId="5ACAF22F"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Binary</w:t>
            </w:r>
          </w:p>
        </w:tc>
        <w:tc>
          <w:tcPr>
            <w:tcW w:w="1845" w:type="dxa"/>
            <w:tcBorders>
              <w:top w:val="nil"/>
              <w:left w:val="nil"/>
              <w:bottom w:val="single" w:sz="4" w:space="0" w:color="auto"/>
              <w:right w:val="single" w:sz="4" w:space="0" w:color="auto"/>
            </w:tcBorders>
            <w:shd w:val="clear" w:color="auto" w:fill="auto"/>
            <w:noWrap/>
            <w:vAlign w:val="bottom"/>
            <w:hideMark/>
          </w:tcPr>
          <w:p w14:paraId="36B9CA6B"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Beta-Binomial</w:t>
            </w:r>
          </w:p>
        </w:tc>
        <w:tc>
          <w:tcPr>
            <w:tcW w:w="1230" w:type="dxa"/>
            <w:tcBorders>
              <w:top w:val="nil"/>
              <w:left w:val="nil"/>
              <w:bottom w:val="single" w:sz="4" w:space="0" w:color="auto"/>
              <w:right w:val="single" w:sz="4" w:space="0" w:color="auto"/>
            </w:tcBorders>
            <w:shd w:val="clear" w:color="auto" w:fill="auto"/>
            <w:noWrap/>
            <w:vAlign w:val="bottom"/>
            <w:hideMark/>
          </w:tcPr>
          <w:p w14:paraId="10974071"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Beta</w:t>
            </w:r>
          </w:p>
        </w:tc>
        <w:tc>
          <w:tcPr>
            <w:tcW w:w="1692" w:type="dxa"/>
            <w:tcBorders>
              <w:top w:val="nil"/>
              <w:left w:val="nil"/>
              <w:bottom w:val="single" w:sz="4" w:space="0" w:color="auto"/>
              <w:right w:val="single" w:sz="4" w:space="0" w:color="auto"/>
            </w:tcBorders>
            <w:shd w:val="clear" w:color="auto" w:fill="auto"/>
            <w:noWrap/>
            <w:vAlign w:val="bottom"/>
            <w:hideMark/>
          </w:tcPr>
          <w:p w14:paraId="158FF32A"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Gould</w:t>
            </w:r>
            <w:r>
              <w:rPr>
                <w:rFonts w:ascii="Calibri" w:eastAsia="Times New Roman" w:hAnsi="Calibri" w:cs="Calibri"/>
                <w:color w:val="000000"/>
                <w:lang w:eastAsia="en-GB"/>
              </w:rPr>
              <w:fldChar w:fldCharType="begin"/>
            </w:r>
            <w:r>
              <w:rPr>
                <w:rFonts w:ascii="Calibri" w:eastAsia="Times New Roman" w:hAnsi="Calibri" w:cs="Calibri"/>
                <w:color w:val="000000"/>
                <w:lang w:eastAsia="en-GB"/>
              </w:rPr>
              <w:instrText xml:space="preserve"> ADDIN EN.CITE &lt;EndNote&gt;&lt;Cite&gt;&lt;Author&gt;Gould&lt;/Author&gt;&lt;Year&gt;2008&lt;/Year&gt;&lt;RecNum&gt;8914&lt;/RecNum&gt;&lt;DisplayText&gt;&lt;style face="superscript"&gt;45&lt;/style&gt;&lt;/DisplayText&gt;&lt;record&gt;&lt;rec-number&gt;8914&lt;/rec-number&gt;&lt;foreign-keys&gt;&lt;key app="EN" db-id="z2f5a5pt0222p8esesuv59tow0trtzfpdxaw" timestamp="1521047393"&gt;8914&lt;/key&gt;&lt;/foreign-keys&gt;&lt;ref-type name="Journal Article"&gt;17&lt;/ref-type&gt;&lt;contributors&gt;&lt;authors&gt;&lt;author&gt;Gould, A. L.&lt;/author&gt;&lt;/authors&gt;&lt;/contributors&gt;&lt;auth-address&gt;Merck Research Laboratories, UG1D-88, 351 North Sumneytown Pike, North Wales, PA 19454, United States&lt;/auth-address&gt;&lt;titles&gt;&lt;title&gt;Detecting potential safety issues in clinical trials by Bayesian screening&lt;/title&gt;&lt;secondary-title&gt;Biometrical Journal&lt;/secondary-title&gt;&lt;alt-title&gt;Biom. J.&lt;/alt-title&gt;&lt;/titles&gt;&lt;periodical&gt;&lt;full-title&gt;Biometrical Journal&lt;/full-title&gt;&lt;/periodical&gt;&lt;pages&gt;837-851&lt;/pages&gt;&lt;volume&gt;50&lt;/volume&gt;&lt;number&gt;5&lt;/number&gt;&lt;keywords&gt;&lt;keyword&gt;Diagnostic properties&lt;/keyword&gt;&lt;keyword&gt;Mixture distribution&lt;/keyword&gt;&lt;keyword&gt;Odds ratio&lt;/keyword&gt;&lt;keyword&gt;article&lt;/keyword&gt;&lt;keyword&gt;Bayes theorem&lt;/keyword&gt;&lt;keyword&gt;biometry&lt;/keyword&gt;&lt;keyword&gt;clinical trial&lt;/keyword&gt;&lt;keyword&gt;confidence interval&lt;/keyword&gt;&lt;keyword&gt;human&lt;/keyword&gt;&lt;keyword&gt;methodology&lt;/keyword&gt;&lt;keyword&gt;probability&lt;/keyword&gt;&lt;keyword&gt;risk&lt;/keyword&gt;&lt;keyword&gt;safety&lt;/keyword&gt;&lt;keyword&gt;statistical model&lt;/keyword&gt;&lt;keyword&gt;statistics&lt;/keyword&gt;&lt;keyword&gt;Clinical Trials as Topic&lt;/keyword&gt;&lt;keyword&gt;Confidence Intervals&lt;/keyword&gt;&lt;keyword&gt;Humans&lt;/keyword&gt;&lt;keyword&gt;Models, Statistical&lt;/keyword&gt;&lt;/keywords&gt;&lt;dates&gt;&lt;year&gt;2008&lt;/year&gt;&lt;/dates&gt;&lt;isbn&gt;03233847 (ISSN)&lt;/isbn&gt;&lt;work-type&gt;Article&lt;/work-type&gt;&lt;urls&gt;&lt;related-urls&gt;&lt;url&gt;https://www.scopus.com/inward/record.uri?eid=2-s2.0-54549102355&amp;amp;doi=10.1002%2fbimj.200710469&amp;amp;partnerID=40&amp;amp;md5=60d01186705b83d71976879217385adf&lt;/url&gt;&lt;/related-urls&gt;&lt;/urls&gt;&lt;electronic-resource-num&gt;10.1002/bimj.200710469&lt;/electronic-resource-num&gt;&lt;remote-database-name&gt;Scopus&lt;/remote-database-name&gt;&lt;language&gt;English&lt;/language&gt;&lt;/record&gt;&lt;/Cite&gt;&lt;/EndNote&gt;</w:instrText>
            </w:r>
            <w:r>
              <w:rPr>
                <w:rFonts w:ascii="Calibri" w:eastAsia="Times New Roman" w:hAnsi="Calibri" w:cs="Calibri"/>
                <w:color w:val="000000"/>
                <w:lang w:eastAsia="en-GB"/>
              </w:rPr>
              <w:fldChar w:fldCharType="separate"/>
            </w:r>
            <w:r w:rsidRPr="005550A8">
              <w:rPr>
                <w:rFonts w:ascii="Calibri" w:eastAsia="Times New Roman" w:hAnsi="Calibri" w:cs="Calibri"/>
                <w:noProof/>
                <w:color w:val="000000"/>
                <w:vertAlign w:val="superscript"/>
                <w:lang w:eastAsia="en-GB"/>
              </w:rPr>
              <w:t>45</w:t>
            </w:r>
            <w:r>
              <w:rPr>
                <w:rFonts w:ascii="Calibri" w:eastAsia="Times New Roman" w:hAnsi="Calibri" w:cs="Calibri"/>
                <w:color w:val="000000"/>
                <w:lang w:eastAsia="en-GB"/>
              </w:rPr>
              <w:fldChar w:fldCharType="end"/>
            </w:r>
          </w:p>
        </w:tc>
        <w:tc>
          <w:tcPr>
            <w:tcW w:w="5074" w:type="dxa"/>
            <w:tcBorders>
              <w:top w:val="nil"/>
              <w:left w:val="nil"/>
              <w:bottom w:val="single" w:sz="4" w:space="0" w:color="auto"/>
              <w:right w:val="single" w:sz="4" w:space="0" w:color="auto"/>
            </w:tcBorders>
            <w:shd w:val="clear" w:color="auto" w:fill="auto"/>
            <w:vAlign w:val="bottom"/>
            <w:hideMark/>
          </w:tcPr>
          <w:p w14:paraId="4E704A01"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Posterior probability that AEs in treatment group produced by a larger process than AE in control group</w:t>
            </w:r>
          </w:p>
        </w:tc>
      </w:tr>
      <w:tr w:rsidR="00E37363" w:rsidRPr="00422705" w14:paraId="6C886A35" w14:textId="77777777" w:rsidTr="00B45076">
        <w:trPr>
          <w:trHeight w:val="457"/>
        </w:trPr>
        <w:tc>
          <w:tcPr>
            <w:tcW w:w="1692" w:type="dxa"/>
            <w:vMerge/>
            <w:tcBorders>
              <w:top w:val="nil"/>
              <w:left w:val="single" w:sz="4" w:space="0" w:color="auto"/>
              <w:bottom w:val="single" w:sz="4" w:space="0" w:color="auto"/>
              <w:right w:val="single" w:sz="4" w:space="0" w:color="auto"/>
            </w:tcBorders>
            <w:vAlign w:val="center"/>
            <w:hideMark/>
          </w:tcPr>
          <w:p w14:paraId="1068AD41" w14:textId="77777777" w:rsidR="00E37363" w:rsidRPr="00422705" w:rsidRDefault="00E37363" w:rsidP="00B45076">
            <w:pPr>
              <w:spacing w:after="0" w:line="240" w:lineRule="auto"/>
              <w:rPr>
                <w:rFonts w:ascii="Calibri" w:eastAsia="Times New Roman" w:hAnsi="Calibri" w:cs="Calibri"/>
                <w:b/>
                <w:bCs/>
                <w:color w:val="000000"/>
                <w:lang w:eastAsia="en-GB"/>
              </w:rPr>
            </w:pPr>
          </w:p>
        </w:tc>
        <w:tc>
          <w:tcPr>
            <w:tcW w:w="1998" w:type="dxa"/>
            <w:tcBorders>
              <w:top w:val="nil"/>
              <w:left w:val="nil"/>
              <w:bottom w:val="single" w:sz="4" w:space="0" w:color="auto"/>
              <w:right w:val="single" w:sz="4" w:space="0" w:color="auto"/>
            </w:tcBorders>
            <w:shd w:val="clear" w:color="auto" w:fill="auto"/>
            <w:noWrap/>
            <w:vAlign w:val="bottom"/>
            <w:hideMark/>
          </w:tcPr>
          <w:p w14:paraId="1ACB53D5" w14:textId="77777777" w:rsidR="00E37363" w:rsidRPr="00422705" w:rsidRDefault="00E37363" w:rsidP="00B4507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Count</w:t>
            </w:r>
          </w:p>
        </w:tc>
        <w:tc>
          <w:tcPr>
            <w:tcW w:w="1845" w:type="dxa"/>
            <w:tcBorders>
              <w:top w:val="nil"/>
              <w:left w:val="nil"/>
              <w:bottom w:val="single" w:sz="4" w:space="0" w:color="auto"/>
              <w:right w:val="single" w:sz="4" w:space="0" w:color="auto"/>
            </w:tcBorders>
            <w:shd w:val="clear" w:color="auto" w:fill="auto"/>
            <w:vAlign w:val="bottom"/>
            <w:hideMark/>
          </w:tcPr>
          <w:p w14:paraId="055BD538"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Gamma-Poisson</w:t>
            </w:r>
          </w:p>
        </w:tc>
        <w:tc>
          <w:tcPr>
            <w:tcW w:w="1230" w:type="dxa"/>
            <w:tcBorders>
              <w:top w:val="nil"/>
              <w:left w:val="nil"/>
              <w:bottom w:val="single" w:sz="4" w:space="0" w:color="auto"/>
              <w:right w:val="single" w:sz="4" w:space="0" w:color="auto"/>
            </w:tcBorders>
            <w:shd w:val="clear" w:color="auto" w:fill="auto"/>
            <w:noWrap/>
            <w:vAlign w:val="bottom"/>
            <w:hideMark/>
          </w:tcPr>
          <w:p w14:paraId="2F0F79B8"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Poisson</w:t>
            </w:r>
          </w:p>
        </w:tc>
        <w:tc>
          <w:tcPr>
            <w:tcW w:w="1692" w:type="dxa"/>
            <w:tcBorders>
              <w:top w:val="nil"/>
              <w:left w:val="nil"/>
              <w:bottom w:val="single" w:sz="4" w:space="0" w:color="auto"/>
              <w:right w:val="single" w:sz="4" w:space="0" w:color="auto"/>
            </w:tcBorders>
            <w:shd w:val="clear" w:color="auto" w:fill="auto"/>
            <w:noWrap/>
            <w:vAlign w:val="bottom"/>
            <w:hideMark/>
          </w:tcPr>
          <w:p w14:paraId="7FBD6068"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Gould</w:t>
            </w:r>
            <w:r>
              <w:rPr>
                <w:rFonts w:ascii="Calibri" w:eastAsia="Times New Roman" w:hAnsi="Calibri" w:cs="Calibri"/>
                <w:color w:val="000000"/>
                <w:lang w:eastAsia="en-GB"/>
              </w:rPr>
              <w:fldChar w:fldCharType="begin">
                <w:fldData xml:space="preserve">PEVuZE5vdGU+PENpdGU+PEF1dGhvcj5Hb3VsZDwvQXV0aG9yPjxZZWFyPjIwMTM8L1llYXI+PFJl
Y051bT44NTM3PC9SZWNOdW0+PERpc3BsYXlUZXh0PjxzdHlsZSBmYWNlPSJzdXBlcnNjcmlwdCI+
NDY8L3N0eWxlPjwvRGlzcGxheVRleHQ+PHJlY29yZD48cmVjLW51bWJlcj44NTM3PC9yZWMtbnVt
YmVyPjxmb3JlaWduLWtleXM+PGtleSBhcHA9IkVOIiBkYi1pZD0iejJmNWE1cHQwMjIycDhlc2Vz
dXY1OXRvdzB0cnR6ZnBkeGF3IiB0aW1lc3RhbXA9IjE1MjEwNDczODkiPjg1Mzc8L2tleT48L2Zv
cmVpZ24ta2V5cz48cmVmLXR5cGUgbmFtZT0iSm91cm5hbCBBcnRpY2xlIj4xNzwvcmVmLXR5cGU+
PGNvbnRyaWJ1dG9ycz48YXV0aG9ycz48YXV0aG9yPkdvdWxkLCBBLiBMLjwvYXV0aG9yPjwvYXV0
aG9ycz48L2NvbnRyaWJ1dG9ycz48YXV0aC1hZGRyZXNzPk1lcmNrIFJlc2VhcmNoIExhYm9yYXRv
cmllcywgVUcxRC04OCwgMzUxIE5vcnRoIFN1bW5leXRvd24gUGlrZSwgUE8gQm94IDEwMDAsIE5v
cnRoIFdhbGVzLCBQQSAxOTAzOCwgVW5pdGVkIFN0YXRlczwvYXV0aC1hZGRyZXNzPjx0aXRsZXM+
PHRpdGxlPkRldGVjdGluZyBwb3RlbnRpYWwgc2FmZXR5IGlzc3VlcyBpbiBsYXJnZSBjbGluaWNh
bCBvciBvYnNlcnZhdGlvbmFsIHRyaWFscyBieSBiYXllc2lhbiBzY3JlZW5pbmcgd2hlbiBldmVu
dCBjb3VudHMgYXJpc2UgZnJvbSBwb2lzc29uIGRpc3RyaWJ1dGlvbnM8L3RpdGxlPjxzZWNvbmRh
cnktdGl0bGU+Sm91cm5hbCBvZiBCaW9waGFybWFjZXV0aWNhbCBTdGF0aXN0aWNzPC9zZWNvbmRh
cnktdGl0bGU+PGFsdC10aXRsZT5KLiBCaW9waGFybS4gU3RhdC48L2FsdC10aXRsZT48L3RpdGxl
cz48cGVyaW9kaWNhbD48ZnVsbC10aXRsZT5Kb3VybmFsIG9mIEJpb3BoYXJtYWNldXRpY2FsIFN0
YXRpc3RpY3M8L2Z1bGwtdGl0bGU+PC9wZXJpb2RpY2FsPjxwYWdlcz44MjktODQ3PC9wYWdlcz48
dm9sdW1lPjIzPC92b2x1bWU+PG51bWJlcj40PC9udW1iZXI+PGtleXdvcmRzPjxrZXl3b3JkPkRp
YWdub3N0aWMgcHJvcGVydGllczwva2V5d29yZD48a2V5d29yZD5NaXh0dXJlIGRpc3RyaWJ1dGlv
bjwva2V5d29yZD48a2V5d29yZD5SaXNrIHJhdGlvPC9rZXl3b3JkPjxrZXl3b3JkPmFkdmVyc2Ug
b3V0Y29tZTwva2V5d29yZD48a2V5d29yZD5hcnRpY2xlPC9rZXl3b3JkPjxrZXl3b3JkPkJheWVz
aWFuIGxlYXJuaW5nPC9rZXl3b3JkPjxrZXl3b3JkPmNsaW5pY2FsIHRyaWFsICh0b3BpYyk8L2tl
eXdvcmQ+PGtleXdvcmQ+ZGF0YSBiYXNlPC9rZXl3b3JkPjxrZXl3b3JkPmRydWcgc2FmZXR5PC9r
ZXl3b3JkPjxrZXl3b3JkPmh5cG90aGVzaXM8L2tleXdvcmQ+PGtleXdvcmQ+aW5jaWRlbmNlPC9r
ZXl3b3JkPjxrZXl3b3JkPm9ic2VydmF0aW9uYWwgc3R1ZHk8L2tleXdvcmQ+PGtleXdvcmQ+UG9p
c3NvbiBkaXN0cmlidXRpb248L2tleXdvcmQ+PGtleXdvcmQ+cHJpb3JpdHkgam91cm5hbDwva2V5
d29yZD48a2V5d29yZD5yaXNrPC9rZXl3b3JkPjxrZXl3b3JkPnNjcmVlbmluZzwva2V5d29yZD48
a2V5d29yZD5CYXllcyBUaGVvcmVtPC9rZXl3b3JkPjxrZXl3b3JkPkNsaW5pY2FsIFRyaWFscyBh
cyBUb3BpYzwva2V5d29yZD48a2V5d29yZD5EcnVnLVJlbGF0ZWQgU2lkZSBFZmZlY3RzIGFuZCBB
ZHZlcnNlIFJlYWN0aW9uczwva2V5d29yZD48a2V5d29yZD5IdW1hbnM8L2tleXdvcmQ+PGtleXdv
cmQ+TW9kZWxzLCBTdGF0aXN0aWNhbDwva2V5d29yZD48a2V5d29yZD5PYnNlcnZhdGlvbmFsIFN0
dWR5IGFzIFRvcGljPC9rZXl3b3JkPjwva2V5d29yZHM+PGRhdGVzPjx5ZWFyPjIwMTM8L3llYXI+
PC9kYXRlcz48aXNibj4xMDU0MzQwNiAoSVNTTik8L2lzYm4+PHdvcmstdHlwZT5BcnRpY2xlPC93
b3JrLXR5cGU+PHVybHM+PHJlbGF0ZWQtdXJscz48dXJsPmh0dHBzOi8vd3d3LnNjb3B1cy5jb20v
aW53YXJkL3JlY29yZC51cmk/ZWlkPTItczIuMC04NDg4MTI2Njc3OCZhbXA7ZG9pPTEwLjEwODAl
MmYxMDU0MzQwNi4yMDEzLjc4OTg4NyZhbXA7cGFydG5lcklEPTQwJmFtcDttZDU9M2Q3MjZiNWI5
NTA4ZTZlNzIzZWZmZTUxNWVhODUwYzE8L3VybD48L3JlbGF0ZWQtdXJscz48L3VybHM+PGVsZWN0
cm9uaWMtcmVzb3VyY2UtbnVtPjEwLjEwODAvMTA1NDM0MDYuMjAxMy43ODk4ODc8L2VsZWN0cm9u
aWMtcmVzb3VyY2UtbnVtPjxyZW1vdGUtZGF0YWJhc2UtbmFtZT5TY29wdXM8L3JlbW90ZS1kYXRh
YmFzZS1uYW1lPjxsYW5ndWFnZT5FbmdsaXNoPC9sYW5ndWFnZT48L3JlY29yZD48L0NpdGU+PC9F
bmROb3RlPgB=
</w:fldData>
              </w:fldChar>
            </w:r>
            <w:r>
              <w:rPr>
                <w:rFonts w:ascii="Calibri" w:eastAsia="Times New Roman" w:hAnsi="Calibri" w:cs="Calibri"/>
                <w:color w:val="000000"/>
                <w:lang w:eastAsia="en-GB"/>
              </w:rPr>
              <w:instrText xml:space="preserve"> ADDIN EN.CITE </w:instrText>
            </w:r>
            <w:r>
              <w:rPr>
                <w:rFonts w:ascii="Calibri" w:eastAsia="Times New Roman" w:hAnsi="Calibri" w:cs="Calibri"/>
                <w:color w:val="000000"/>
                <w:lang w:eastAsia="en-GB"/>
              </w:rPr>
              <w:fldChar w:fldCharType="begin">
                <w:fldData xml:space="preserve">PEVuZE5vdGU+PENpdGU+PEF1dGhvcj5Hb3VsZDwvQXV0aG9yPjxZZWFyPjIwMTM8L1llYXI+PFJl
Y051bT44NTM3PC9SZWNOdW0+PERpc3BsYXlUZXh0PjxzdHlsZSBmYWNlPSJzdXBlcnNjcmlwdCI+
NDY8L3N0eWxlPjwvRGlzcGxheVRleHQ+PHJlY29yZD48cmVjLW51bWJlcj44NTM3PC9yZWMtbnVt
YmVyPjxmb3JlaWduLWtleXM+PGtleSBhcHA9IkVOIiBkYi1pZD0iejJmNWE1cHQwMjIycDhlc2Vz
dXY1OXRvdzB0cnR6ZnBkeGF3IiB0aW1lc3RhbXA9IjE1MjEwNDczODkiPjg1Mzc8L2tleT48L2Zv
cmVpZ24ta2V5cz48cmVmLXR5cGUgbmFtZT0iSm91cm5hbCBBcnRpY2xlIj4xNzwvcmVmLXR5cGU+
PGNvbnRyaWJ1dG9ycz48YXV0aG9ycz48YXV0aG9yPkdvdWxkLCBBLiBMLjwvYXV0aG9yPjwvYXV0
aG9ycz48L2NvbnRyaWJ1dG9ycz48YXV0aC1hZGRyZXNzPk1lcmNrIFJlc2VhcmNoIExhYm9yYXRv
cmllcywgVUcxRC04OCwgMzUxIE5vcnRoIFN1bW5leXRvd24gUGlrZSwgUE8gQm94IDEwMDAsIE5v
cnRoIFdhbGVzLCBQQSAxOTAzOCwgVW5pdGVkIFN0YXRlczwvYXV0aC1hZGRyZXNzPjx0aXRsZXM+
PHRpdGxlPkRldGVjdGluZyBwb3RlbnRpYWwgc2FmZXR5IGlzc3VlcyBpbiBsYXJnZSBjbGluaWNh
bCBvciBvYnNlcnZhdGlvbmFsIHRyaWFscyBieSBiYXllc2lhbiBzY3JlZW5pbmcgd2hlbiBldmVu
dCBjb3VudHMgYXJpc2UgZnJvbSBwb2lzc29uIGRpc3RyaWJ1dGlvbnM8L3RpdGxlPjxzZWNvbmRh
cnktdGl0bGU+Sm91cm5hbCBvZiBCaW9waGFybWFjZXV0aWNhbCBTdGF0aXN0aWNzPC9zZWNvbmRh
cnktdGl0bGU+PGFsdC10aXRsZT5KLiBCaW9waGFybS4gU3RhdC48L2FsdC10aXRsZT48L3RpdGxl
cz48cGVyaW9kaWNhbD48ZnVsbC10aXRsZT5Kb3VybmFsIG9mIEJpb3BoYXJtYWNldXRpY2FsIFN0
YXRpc3RpY3M8L2Z1bGwtdGl0bGU+PC9wZXJpb2RpY2FsPjxwYWdlcz44MjktODQ3PC9wYWdlcz48
dm9sdW1lPjIzPC92b2x1bWU+PG51bWJlcj40PC9udW1iZXI+PGtleXdvcmRzPjxrZXl3b3JkPkRp
YWdub3N0aWMgcHJvcGVydGllczwva2V5d29yZD48a2V5d29yZD5NaXh0dXJlIGRpc3RyaWJ1dGlv
bjwva2V5d29yZD48a2V5d29yZD5SaXNrIHJhdGlvPC9rZXl3b3JkPjxrZXl3b3JkPmFkdmVyc2Ug
b3V0Y29tZTwva2V5d29yZD48a2V5d29yZD5hcnRpY2xlPC9rZXl3b3JkPjxrZXl3b3JkPkJheWVz
aWFuIGxlYXJuaW5nPC9rZXl3b3JkPjxrZXl3b3JkPmNsaW5pY2FsIHRyaWFsICh0b3BpYyk8L2tl
eXdvcmQ+PGtleXdvcmQ+ZGF0YSBiYXNlPC9rZXl3b3JkPjxrZXl3b3JkPmRydWcgc2FmZXR5PC9r
ZXl3b3JkPjxrZXl3b3JkPmh5cG90aGVzaXM8L2tleXdvcmQ+PGtleXdvcmQ+aW5jaWRlbmNlPC9r
ZXl3b3JkPjxrZXl3b3JkPm9ic2VydmF0aW9uYWwgc3R1ZHk8L2tleXdvcmQ+PGtleXdvcmQ+UG9p
c3NvbiBkaXN0cmlidXRpb248L2tleXdvcmQ+PGtleXdvcmQ+cHJpb3JpdHkgam91cm5hbDwva2V5
d29yZD48a2V5d29yZD5yaXNrPC9rZXl3b3JkPjxrZXl3b3JkPnNjcmVlbmluZzwva2V5d29yZD48
a2V5d29yZD5CYXllcyBUaGVvcmVtPC9rZXl3b3JkPjxrZXl3b3JkPkNsaW5pY2FsIFRyaWFscyBh
cyBUb3BpYzwva2V5d29yZD48a2V5d29yZD5EcnVnLVJlbGF0ZWQgU2lkZSBFZmZlY3RzIGFuZCBB
ZHZlcnNlIFJlYWN0aW9uczwva2V5d29yZD48a2V5d29yZD5IdW1hbnM8L2tleXdvcmQ+PGtleXdv
cmQ+TW9kZWxzLCBTdGF0aXN0aWNhbDwva2V5d29yZD48a2V5d29yZD5PYnNlcnZhdGlvbmFsIFN0
dWR5IGFzIFRvcGljPC9rZXl3b3JkPjwva2V5d29yZHM+PGRhdGVzPjx5ZWFyPjIwMTM8L3llYXI+
PC9kYXRlcz48aXNibj4xMDU0MzQwNiAoSVNTTik8L2lzYm4+PHdvcmstdHlwZT5BcnRpY2xlPC93
b3JrLXR5cGU+PHVybHM+PHJlbGF0ZWQtdXJscz48dXJsPmh0dHBzOi8vd3d3LnNjb3B1cy5jb20v
aW53YXJkL3JlY29yZC51cmk/ZWlkPTItczIuMC04NDg4MTI2Njc3OCZhbXA7ZG9pPTEwLjEwODAl
MmYxMDU0MzQwNi4yMDEzLjc4OTg4NyZhbXA7cGFydG5lcklEPTQwJmFtcDttZDU9M2Q3MjZiNWI5
NTA4ZTZlNzIzZWZmZTUxNWVhODUwYzE8L3VybD48L3JlbGF0ZWQtdXJscz48L3VybHM+PGVsZWN0
cm9uaWMtcmVzb3VyY2UtbnVtPjEwLjEwODAvMTA1NDM0MDYuMjAxMy43ODk4ODc8L2VsZWN0cm9u
aWMtcmVzb3VyY2UtbnVtPjxyZW1vdGUtZGF0YWJhc2UtbmFtZT5TY29wdXM8L3JlbW90ZS1kYXRh
YmFzZS1uYW1lPjxsYW5ndWFnZT5FbmdsaXNoPC9sYW5ndWFnZT48L3JlY29yZD48L0NpdGU+PC9F
bmROb3RlPgB=
</w:fldData>
              </w:fldChar>
            </w:r>
            <w:r>
              <w:rPr>
                <w:rFonts w:ascii="Calibri" w:eastAsia="Times New Roman" w:hAnsi="Calibri" w:cs="Calibri"/>
                <w:color w:val="000000"/>
                <w:lang w:eastAsia="en-GB"/>
              </w:rPr>
              <w:instrText xml:space="preserve"> ADDIN EN.CITE.DATA </w:instrText>
            </w:r>
            <w:r>
              <w:rPr>
                <w:rFonts w:ascii="Calibri" w:eastAsia="Times New Roman" w:hAnsi="Calibri" w:cs="Calibri"/>
                <w:color w:val="000000"/>
                <w:lang w:eastAsia="en-GB"/>
              </w:rPr>
            </w:r>
            <w:r>
              <w:rPr>
                <w:rFonts w:ascii="Calibri" w:eastAsia="Times New Roman" w:hAnsi="Calibri" w:cs="Calibri"/>
                <w:color w:val="000000"/>
                <w:lang w:eastAsia="en-GB"/>
              </w:rPr>
              <w:fldChar w:fldCharType="end"/>
            </w:r>
            <w:r>
              <w:rPr>
                <w:rFonts w:ascii="Calibri" w:eastAsia="Times New Roman" w:hAnsi="Calibri" w:cs="Calibri"/>
                <w:color w:val="000000"/>
                <w:lang w:eastAsia="en-GB"/>
              </w:rPr>
            </w:r>
            <w:r>
              <w:rPr>
                <w:rFonts w:ascii="Calibri" w:eastAsia="Times New Roman" w:hAnsi="Calibri" w:cs="Calibri"/>
                <w:color w:val="000000"/>
                <w:lang w:eastAsia="en-GB"/>
              </w:rPr>
              <w:fldChar w:fldCharType="separate"/>
            </w:r>
            <w:r w:rsidRPr="005550A8">
              <w:rPr>
                <w:rFonts w:ascii="Calibri" w:eastAsia="Times New Roman" w:hAnsi="Calibri" w:cs="Calibri"/>
                <w:noProof/>
                <w:color w:val="000000"/>
                <w:vertAlign w:val="superscript"/>
                <w:lang w:eastAsia="en-GB"/>
              </w:rPr>
              <w:t>46</w:t>
            </w:r>
            <w:r>
              <w:rPr>
                <w:rFonts w:ascii="Calibri" w:eastAsia="Times New Roman" w:hAnsi="Calibri" w:cs="Calibri"/>
                <w:color w:val="000000"/>
                <w:lang w:eastAsia="en-GB"/>
              </w:rPr>
              <w:fldChar w:fldCharType="end"/>
            </w:r>
          </w:p>
        </w:tc>
        <w:tc>
          <w:tcPr>
            <w:tcW w:w="5074" w:type="dxa"/>
            <w:tcBorders>
              <w:top w:val="nil"/>
              <w:left w:val="nil"/>
              <w:bottom w:val="single" w:sz="4" w:space="0" w:color="auto"/>
              <w:right w:val="single" w:sz="4" w:space="0" w:color="auto"/>
            </w:tcBorders>
            <w:shd w:val="clear" w:color="auto" w:fill="auto"/>
            <w:vAlign w:val="bottom"/>
            <w:hideMark/>
          </w:tcPr>
          <w:p w14:paraId="1F286A72" w14:textId="77777777" w:rsidR="00E37363" w:rsidRPr="00422705" w:rsidRDefault="00E37363" w:rsidP="00B45076">
            <w:pPr>
              <w:spacing w:after="0" w:line="240" w:lineRule="auto"/>
              <w:rPr>
                <w:rFonts w:ascii="Calibri" w:eastAsia="Times New Roman" w:hAnsi="Calibri" w:cs="Calibri"/>
                <w:color w:val="000000"/>
                <w:lang w:eastAsia="en-GB"/>
              </w:rPr>
            </w:pPr>
            <w:r w:rsidRPr="00422705">
              <w:rPr>
                <w:rFonts w:ascii="Calibri" w:eastAsia="Times New Roman" w:hAnsi="Calibri" w:cs="Calibri"/>
                <w:color w:val="000000"/>
                <w:lang w:eastAsia="en-GB"/>
              </w:rPr>
              <w:t>Posterior probability that AEs in treatment group produced by a larger process than AE in control group accounting for exposure time</w:t>
            </w:r>
          </w:p>
        </w:tc>
      </w:tr>
    </w:tbl>
    <w:p w14:paraId="485F6871" w14:textId="77777777" w:rsidR="00E37363" w:rsidRDefault="00E37363" w:rsidP="00E37363">
      <w:pPr>
        <w:sectPr w:rsidR="00E37363" w:rsidSect="00E37363">
          <w:pgSz w:w="16838" w:h="11906" w:orient="landscape" w:code="9"/>
          <w:pgMar w:top="1440" w:right="1440" w:bottom="1440" w:left="1440" w:header="709" w:footer="709" w:gutter="0"/>
          <w:cols w:space="708"/>
          <w:docGrid w:linePitch="360"/>
        </w:sectPr>
      </w:pPr>
      <w:r>
        <w:br w:type="page"/>
      </w:r>
    </w:p>
    <w:p w14:paraId="0F369431" w14:textId="77777777" w:rsidR="00E37363" w:rsidRDefault="00E37363" w:rsidP="00E37363">
      <w:pPr>
        <w:tabs>
          <w:tab w:val="left" w:pos="1806"/>
        </w:tabs>
        <w:rPr>
          <w:b/>
        </w:rPr>
      </w:pPr>
      <w:r w:rsidRPr="005550A8">
        <w:rPr>
          <w:b/>
        </w:rPr>
        <w:lastRenderedPageBreak/>
        <w:t>References</w:t>
      </w:r>
      <w:r>
        <w:rPr>
          <w:b/>
        </w:rPr>
        <w:t xml:space="preserve"> for tables 3-8</w:t>
      </w:r>
    </w:p>
    <w:p w14:paraId="3BDFC6CF" w14:textId="77777777" w:rsidR="00E37363" w:rsidRPr="005550A8" w:rsidRDefault="00E37363" w:rsidP="00E37363">
      <w:pPr>
        <w:rPr>
          <w:b/>
        </w:rPr>
      </w:pPr>
    </w:p>
    <w:p w14:paraId="12DAD715" w14:textId="77777777" w:rsidR="00E37363" w:rsidRPr="005550A8" w:rsidRDefault="00E37363" w:rsidP="00E37363">
      <w:pPr>
        <w:pStyle w:val="EndNoteBibliography"/>
        <w:spacing w:after="0"/>
      </w:pPr>
      <w:r>
        <w:fldChar w:fldCharType="begin"/>
      </w:r>
      <w:r>
        <w:instrText xml:space="preserve"> ADDIN EN.REFLIST </w:instrText>
      </w:r>
      <w:r>
        <w:fldChar w:fldCharType="separate"/>
      </w:r>
      <w:r w:rsidRPr="005550A8">
        <w:t>1.</w:t>
      </w:r>
      <w:r w:rsidRPr="005550A8">
        <w:tab/>
        <w:t xml:space="preserve">Zink RC, Wolfinger RD and Mann G. Summarizing the incidence of adverse events using volcano plots and time intervals. </w:t>
      </w:r>
      <w:r w:rsidRPr="005550A8">
        <w:rPr>
          <w:i/>
        </w:rPr>
        <w:t>Clinical Trials</w:t>
      </w:r>
      <w:r w:rsidRPr="005550A8">
        <w:t xml:space="preserve"> 2013; 10: 398-406.</w:t>
      </w:r>
    </w:p>
    <w:p w14:paraId="7079F8F9" w14:textId="77777777" w:rsidR="00E37363" w:rsidRPr="005550A8" w:rsidRDefault="00E37363" w:rsidP="00E37363">
      <w:pPr>
        <w:pStyle w:val="EndNoteBibliography"/>
        <w:spacing w:after="0"/>
      </w:pPr>
      <w:r w:rsidRPr="005550A8">
        <w:t>2.</w:t>
      </w:r>
      <w:r w:rsidRPr="005550A8">
        <w:tab/>
        <w:t xml:space="preserve">Xia HA, Crowe BJ, Schriver RC, et al. Planning and core analyses for periodic aggregate safety data reviews. </w:t>
      </w:r>
      <w:r w:rsidRPr="005550A8">
        <w:rPr>
          <w:i/>
        </w:rPr>
        <w:t>Clinical Trials</w:t>
      </w:r>
      <w:r w:rsidRPr="005550A8">
        <w:t xml:space="preserve"> 2011; 8: 175-182. DOI: 10.1177/1740774510395635.</w:t>
      </w:r>
    </w:p>
    <w:p w14:paraId="12515914" w14:textId="77777777" w:rsidR="00E37363" w:rsidRPr="005550A8" w:rsidRDefault="00E37363" w:rsidP="00E37363">
      <w:pPr>
        <w:pStyle w:val="EndNoteBibliography"/>
        <w:spacing w:after="0"/>
      </w:pPr>
      <w:r w:rsidRPr="005550A8">
        <w:t>3.</w:t>
      </w:r>
      <w:r w:rsidRPr="005550A8">
        <w:tab/>
        <w:t xml:space="preserve">Amit O, Heiberger RM and Lane PW. Graphical approaches to the analysis of safety data from clinical trials. </w:t>
      </w:r>
      <w:r w:rsidRPr="005550A8">
        <w:rPr>
          <w:i/>
        </w:rPr>
        <w:t>Pharmaceutical Statistics</w:t>
      </w:r>
      <w:r w:rsidRPr="005550A8">
        <w:t xml:space="preserve"> 2008; 7: 20-35.</w:t>
      </w:r>
    </w:p>
    <w:p w14:paraId="55D3080A" w14:textId="77777777" w:rsidR="00E37363" w:rsidRPr="005550A8" w:rsidRDefault="00E37363" w:rsidP="00E37363">
      <w:pPr>
        <w:pStyle w:val="EndNoteBibliography"/>
        <w:spacing w:after="0"/>
      </w:pPr>
      <w:r w:rsidRPr="005550A8">
        <w:t>4.</w:t>
      </w:r>
      <w:r w:rsidRPr="005550A8">
        <w:tab/>
        <w:t xml:space="preserve">Cooper AJP, Lettis S, Chapman CL, et al. Developing tools for the safety specification in risk management plans: lessons learned from a pilot project. </w:t>
      </w:r>
      <w:r w:rsidRPr="005550A8">
        <w:rPr>
          <w:i/>
        </w:rPr>
        <w:t>Pharmacoepidemiology and Drug Safety</w:t>
      </w:r>
      <w:r w:rsidRPr="005550A8">
        <w:t xml:space="preserve"> 2008; 17: 445-454. DOI: doi:10.1002/pds.1576.</w:t>
      </w:r>
    </w:p>
    <w:p w14:paraId="1BE8552E" w14:textId="77777777" w:rsidR="00E37363" w:rsidRPr="005550A8" w:rsidRDefault="00E37363" w:rsidP="00E37363">
      <w:pPr>
        <w:pStyle w:val="EndNoteBibliography"/>
        <w:spacing w:after="0"/>
      </w:pPr>
      <w:r w:rsidRPr="005550A8">
        <w:t>5.</w:t>
      </w:r>
      <w:r w:rsidRPr="005550A8">
        <w:tab/>
        <w:t xml:space="preserve">Zink RC, Marchenko O, Sanchez-Kam M, et al. Sources of Safety Data and Statistical Strategies for Design and Analysis:Clinical Trials. </w:t>
      </w:r>
      <w:r w:rsidRPr="005550A8">
        <w:rPr>
          <w:i/>
        </w:rPr>
        <w:t>Therapeutic Innovation &amp; Regulatory Science</w:t>
      </w:r>
      <w:r w:rsidRPr="005550A8">
        <w:t xml:space="preserve"> 2018; 52: 141-158. DOI: 10.1177/2168479017738980.</w:t>
      </w:r>
    </w:p>
    <w:p w14:paraId="3B188E9E" w14:textId="77777777" w:rsidR="00E37363" w:rsidRPr="005550A8" w:rsidRDefault="00E37363" w:rsidP="00E37363">
      <w:pPr>
        <w:pStyle w:val="EndNoteBibliography"/>
        <w:spacing w:after="0"/>
      </w:pPr>
      <w:r w:rsidRPr="005550A8">
        <w:t>6.</w:t>
      </w:r>
      <w:r w:rsidRPr="005550A8">
        <w:tab/>
        <w:t xml:space="preserve">Chuang-Stein C and Xia HA. The practice of pre-marketing safety assessment in drug development. </w:t>
      </w:r>
      <w:r w:rsidRPr="005550A8">
        <w:rPr>
          <w:i/>
        </w:rPr>
        <w:t>Journal of Biopharmaceutical Statistics</w:t>
      </w:r>
      <w:r w:rsidRPr="005550A8">
        <w:t xml:space="preserve"> 2013; 23: 3-25. Review. DOI: 10.1080/10543406.2013.736805.</w:t>
      </w:r>
    </w:p>
    <w:p w14:paraId="3824131F" w14:textId="77777777" w:rsidR="00E37363" w:rsidRPr="005550A8" w:rsidRDefault="00E37363" w:rsidP="00E37363">
      <w:pPr>
        <w:pStyle w:val="EndNoteBibliography"/>
        <w:spacing w:after="0"/>
      </w:pPr>
      <w:r w:rsidRPr="005550A8">
        <w:t>7.</w:t>
      </w:r>
      <w:r w:rsidRPr="005550A8">
        <w:tab/>
        <w:t xml:space="preserve">Chuang-Stein C, Le V and Chen W. Recent Advancements in the Analysis and Presentation of Safety Data. </w:t>
      </w:r>
      <w:r w:rsidRPr="005550A8">
        <w:rPr>
          <w:i/>
        </w:rPr>
        <w:t>Drug Information Journal</w:t>
      </w:r>
      <w:r w:rsidRPr="005550A8">
        <w:t xml:space="preserve"> 2001; 35: 377-397. DOI: 10.1177/009286150103500207.</w:t>
      </w:r>
    </w:p>
    <w:p w14:paraId="5AFE704A" w14:textId="77777777" w:rsidR="00E37363" w:rsidRPr="005550A8" w:rsidRDefault="00E37363" w:rsidP="00E37363">
      <w:pPr>
        <w:pStyle w:val="EndNoteBibliography"/>
        <w:spacing w:after="0"/>
      </w:pPr>
      <w:r w:rsidRPr="005550A8">
        <w:t>8.</w:t>
      </w:r>
      <w:r w:rsidRPr="005550A8">
        <w:tab/>
        <w:t xml:space="preserve">Lewis S and Clarke M. Forest plots: trying to see the wood and the trees. </w:t>
      </w:r>
      <w:r w:rsidRPr="005550A8">
        <w:rPr>
          <w:i/>
        </w:rPr>
        <w:t>BMJ</w:t>
      </w:r>
      <w:r w:rsidRPr="005550A8">
        <w:t xml:space="preserve"> 2001; 322: 1479-1480. DOI: 10.1136/bmj.322.7300.1479.</w:t>
      </w:r>
    </w:p>
    <w:p w14:paraId="6E26B387" w14:textId="77777777" w:rsidR="00E37363" w:rsidRPr="005550A8" w:rsidRDefault="00E37363" w:rsidP="00E37363">
      <w:pPr>
        <w:pStyle w:val="EndNoteBibliography"/>
        <w:spacing w:after="0"/>
      </w:pPr>
      <w:r w:rsidRPr="005550A8">
        <w:t>9.</w:t>
      </w:r>
      <w:r w:rsidRPr="005550A8">
        <w:tab/>
        <w:t xml:space="preserve">Southworth H. Detecting outliers in multivariate laboratory data. </w:t>
      </w:r>
      <w:r w:rsidRPr="005550A8">
        <w:rPr>
          <w:i/>
        </w:rPr>
        <w:t>Journal of Biopharmaceutical Statistics</w:t>
      </w:r>
      <w:r w:rsidRPr="005550A8">
        <w:t xml:space="preserve"> 2008; 18: 1178-1183.</w:t>
      </w:r>
    </w:p>
    <w:p w14:paraId="5DC22A6B" w14:textId="77777777" w:rsidR="00E37363" w:rsidRPr="005550A8" w:rsidRDefault="00E37363" w:rsidP="00E37363">
      <w:pPr>
        <w:pStyle w:val="EndNoteBibliography"/>
        <w:spacing w:after="0"/>
      </w:pPr>
      <w:r w:rsidRPr="005550A8">
        <w:t>10.</w:t>
      </w:r>
      <w:r w:rsidRPr="005550A8">
        <w:tab/>
        <w:t xml:space="preserve">Trost DC and Freston JW. Vector Analysis to Detect Hepatotoxicity Signals in Drug Development. </w:t>
      </w:r>
      <w:r w:rsidRPr="005550A8">
        <w:rPr>
          <w:i/>
        </w:rPr>
        <w:t>Therapeutic Innovation &amp; Regulatory Science</w:t>
      </w:r>
      <w:r w:rsidRPr="005550A8">
        <w:t xml:space="preserve"> 2008; 42: 27-34. Article. DOI: 10.1177/009286150804200106.</w:t>
      </w:r>
    </w:p>
    <w:p w14:paraId="7CE225C1" w14:textId="77777777" w:rsidR="00E37363" w:rsidRPr="005550A8" w:rsidRDefault="00E37363" w:rsidP="00E37363">
      <w:pPr>
        <w:pStyle w:val="EndNoteBibliography"/>
        <w:spacing w:after="0"/>
      </w:pPr>
      <w:r w:rsidRPr="005550A8">
        <w:t>11.</w:t>
      </w:r>
      <w:r w:rsidRPr="005550A8">
        <w:tab/>
        <w:t xml:space="preserve">Bolland K and Whitehead J. Formal approaches to safety monitoring of clinical trials in life-threatening conditions. </w:t>
      </w:r>
      <w:r w:rsidRPr="005550A8">
        <w:rPr>
          <w:i/>
        </w:rPr>
        <w:t>Statistics in Medicine</w:t>
      </w:r>
      <w:r w:rsidRPr="005550A8">
        <w:t xml:space="preserve"> 2000; 19: 2899-2917. Article. DOI: 10.1002/1097-0258(20001115)19:21&lt;2899::AID-SIM597&gt;3.0.CO;2-O.</w:t>
      </w:r>
    </w:p>
    <w:p w14:paraId="0ACF69FB" w14:textId="77777777" w:rsidR="00E37363" w:rsidRPr="005550A8" w:rsidRDefault="00E37363" w:rsidP="00E37363">
      <w:pPr>
        <w:pStyle w:val="EndNoteBibliography"/>
        <w:spacing w:after="0"/>
      </w:pPr>
      <w:r w:rsidRPr="005550A8">
        <w:t>12.</w:t>
      </w:r>
      <w:r w:rsidRPr="005550A8">
        <w:tab/>
        <w:t xml:space="preserve">Fleishman AN and Parker RA. Stopping guidelines for harm in a study designed to establish the safety of a marketed drug. </w:t>
      </w:r>
      <w:r w:rsidRPr="005550A8">
        <w:rPr>
          <w:i/>
        </w:rPr>
        <w:t>Journal of Biopharmaceutical Statistics</w:t>
      </w:r>
      <w:r w:rsidRPr="005550A8">
        <w:t xml:space="preserve"> 2012; 22: 338-350. Article. DOI: 10.1080/10543406.2010.536872.</w:t>
      </w:r>
    </w:p>
    <w:p w14:paraId="5221883E" w14:textId="77777777" w:rsidR="00E37363" w:rsidRPr="005550A8" w:rsidRDefault="00E37363" w:rsidP="00E37363">
      <w:pPr>
        <w:pStyle w:val="EndNoteBibliography"/>
        <w:spacing w:after="0"/>
      </w:pPr>
      <w:r w:rsidRPr="005550A8">
        <w:t>13.</w:t>
      </w:r>
      <w:r w:rsidRPr="005550A8">
        <w:tab/>
        <w:t xml:space="preserve">Lieu TA, Kulldorff M, Davis RL, et al. Real-time vaccine safety surveillance for the early detection of adverse events. </w:t>
      </w:r>
      <w:r w:rsidRPr="005550A8">
        <w:rPr>
          <w:i/>
        </w:rPr>
        <w:t>Medical Care</w:t>
      </w:r>
      <w:r w:rsidRPr="005550A8">
        <w:t xml:space="preserve"> 2007; 45: S89-S95. Article.</w:t>
      </w:r>
    </w:p>
    <w:p w14:paraId="6B7485FE" w14:textId="77777777" w:rsidR="00E37363" w:rsidRPr="005550A8" w:rsidRDefault="00E37363" w:rsidP="00E37363">
      <w:pPr>
        <w:pStyle w:val="EndNoteBibliography"/>
        <w:spacing w:after="0"/>
      </w:pPr>
      <w:r w:rsidRPr="005550A8">
        <w:t>14.</w:t>
      </w:r>
      <w:r w:rsidRPr="005550A8">
        <w:tab/>
        <w:t xml:space="preserve">Shih MC, Lai TL, Heyse JF, et al. Sequential generalized likelihood ratio tests for vaccine safety evaluation. </w:t>
      </w:r>
      <w:r w:rsidRPr="005550A8">
        <w:rPr>
          <w:i/>
        </w:rPr>
        <w:t>Statistics in Medicine</w:t>
      </w:r>
      <w:r w:rsidRPr="005550A8">
        <w:t xml:space="preserve"> 2010; 29: 2698-2708.</w:t>
      </w:r>
    </w:p>
    <w:p w14:paraId="70454872" w14:textId="77777777" w:rsidR="00E37363" w:rsidRPr="005550A8" w:rsidRDefault="00E37363" w:rsidP="00E37363">
      <w:pPr>
        <w:pStyle w:val="EndNoteBibliography"/>
        <w:spacing w:after="0"/>
      </w:pPr>
      <w:r w:rsidRPr="005550A8">
        <w:t>15.</w:t>
      </w:r>
      <w:r w:rsidRPr="005550A8">
        <w:tab/>
        <w:t xml:space="preserve">Liu JP. Rethinking statistical approaches to evaluating drug safety. </w:t>
      </w:r>
      <w:r w:rsidRPr="005550A8">
        <w:rPr>
          <w:i/>
        </w:rPr>
        <w:t>Yonsei Medical Journal</w:t>
      </w:r>
      <w:r w:rsidRPr="005550A8">
        <w:t xml:space="preserve"> 2007; 48: 895-900. Review. DOI: 10.3349/ymj.2007.48.6.895.</w:t>
      </w:r>
    </w:p>
    <w:p w14:paraId="2CF94243" w14:textId="77777777" w:rsidR="00E37363" w:rsidRPr="005550A8" w:rsidRDefault="00E37363" w:rsidP="00E37363">
      <w:pPr>
        <w:pStyle w:val="EndNoteBibliography"/>
        <w:spacing w:after="0"/>
      </w:pPr>
      <w:r w:rsidRPr="005550A8">
        <w:t>16.</w:t>
      </w:r>
      <w:r w:rsidRPr="005550A8">
        <w:tab/>
        <w:t xml:space="preserve">Mehrotra DV and Heyse JF. Use of the false discovery rate for evaluating clinical safety data. </w:t>
      </w:r>
      <w:r w:rsidRPr="005550A8">
        <w:rPr>
          <w:i/>
        </w:rPr>
        <w:t>Statistical Methods in Medical Research</w:t>
      </w:r>
      <w:r w:rsidRPr="005550A8">
        <w:t xml:space="preserve"> 2004; 13: 227-238. Article.</w:t>
      </w:r>
    </w:p>
    <w:p w14:paraId="716FE020" w14:textId="77777777" w:rsidR="00E37363" w:rsidRPr="005550A8" w:rsidRDefault="00E37363" w:rsidP="00E37363">
      <w:pPr>
        <w:pStyle w:val="EndNoteBibliography"/>
        <w:spacing w:after="0"/>
      </w:pPr>
      <w:r w:rsidRPr="005550A8">
        <w:t>17.</w:t>
      </w:r>
      <w:r w:rsidRPr="005550A8">
        <w:tab/>
        <w:t xml:space="preserve">Mehrotra DV and Adewale AJ. Flagging clinical adverse experiences: Reducing false discoveries without materially compromising power for detecting true signals. </w:t>
      </w:r>
      <w:r w:rsidRPr="005550A8">
        <w:rPr>
          <w:i/>
        </w:rPr>
        <w:t>Statistics in Medicine</w:t>
      </w:r>
      <w:r w:rsidRPr="005550A8">
        <w:t xml:space="preserve"> 2012; 31: 1918-1930.</w:t>
      </w:r>
    </w:p>
    <w:p w14:paraId="6BF61905" w14:textId="77777777" w:rsidR="00E37363" w:rsidRPr="005550A8" w:rsidRDefault="00E37363" w:rsidP="00E37363">
      <w:pPr>
        <w:pStyle w:val="EndNoteBibliography"/>
        <w:spacing w:after="0"/>
      </w:pPr>
      <w:r w:rsidRPr="005550A8">
        <w:t>18.</w:t>
      </w:r>
      <w:r w:rsidRPr="005550A8">
        <w:tab/>
        <w:t xml:space="preserve">Huang L, Zalkikar J and Tiwari R. Likelihood ratio based tests for longitudinal drug safety data. </w:t>
      </w:r>
      <w:r w:rsidRPr="005550A8">
        <w:rPr>
          <w:i/>
        </w:rPr>
        <w:t>Statistics in Medicine</w:t>
      </w:r>
      <w:r w:rsidRPr="005550A8">
        <w:t xml:space="preserve"> 2014; 33: 2408-2424. Article. DOI: 10.1002/sim.6103.</w:t>
      </w:r>
    </w:p>
    <w:p w14:paraId="5B2AB626" w14:textId="77777777" w:rsidR="00E37363" w:rsidRPr="005550A8" w:rsidRDefault="00E37363" w:rsidP="00E37363">
      <w:pPr>
        <w:pStyle w:val="EndNoteBibliography"/>
        <w:spacing w:after="0"/>
      </w:pPr>
      <w:r w:rsidRPr="005550A8">
        <w:t>19.</w:t>
      </w:r>
      <w:r w:rsidRPr="005550A8">
        <w:tab/>
        <w:t xml:space="preserve">Bristol DR and Patel HI. A Markovian model for comparing incidences of side effects. </w:t>
      </w:r>
      <w:r w:rsidRPr="005550A8">
        <w:rPr>
          <w:i/>
        </w:rPr>
        <w:t>Statistics in Medicine</w:t>
      </w:r>
      <w:r w:rsidRPr="005550A8">
        <w:t xml:space="preserve"> 1990; 9: 803-809.</w:t>
      </w:r>
    </w:p>
    <w:p w14:paraId="109AA7D9" w14:textId="77777777" w:rsidR="00E37363" w:rsidRPr="005550A8" w:rsidRDefault="00E37363" w:rsidP="00E37363">
      <w:pPr>
        <w:pStyle w:val="EndNoteBibliography"/>
        <w:spacing w:after="0"/>
      </w:pPr>
      <w:r w:rsidRPr="005550A8">
        <w:t>20.</w:t>
      </w:r>
      <w:r w:rsidRPr="005550A8">
        <w:tab/>
        <w:t xml:space="preserve">Chuang-Stein C, Mohberg NR and Musselman DM. Organization and analysis of safety data using a multivariate approach. </w:t>
      </w:r>
      <w:r w:rsidRPr="005550A8">
        <w:rPr>
          <w:i/>
        </w:rPr>
        <w:t>Statistics in Medicine</w:t>
      </w:r>
      <w:r w:rsidRPr="005550A8">
        <w:t xml:space="preserve"> 1992; 11: 1075-1089. DOI: doi:10.1002/sim.4780110809.</w:t>
      </w:r>
    </w:p>
    <w:p w14:paraId="1825F3B8" w14:textId="77777777" w:rsidR="00E37363" w:rsidRPr="005550A8" w:rsidRDefault="00E37363" w:rsidP="00E37363">
      <w:pPr>
        <w:pStyle w:val="EndNoteBibliography"/>
        <w:spacing w:after="0"/>
      </w:pPr>
      <w:r w:rsidRPr="005550A8">
        <w:lastRenderedPageBreak/>
        <w:t>21.</w:t>
      </w:r>
      <w:r w:rsidRPr="005550A8">
        <w:tab/>
        <w:t xml:space="preserve">Agresti AaK, B. Multivariate tests comparing binomial probabilities, with application to safety studies for drugs. </w:t>
      </w:r>
      <w:r w:rsidRPr="005550A8">
        <w:rPr>
          <w:i/>
        </w:rPr>
        <w:t>Appl Statist</w:t>
      </w:r>
      <w:r w:rsidRPr="005550A8">
        <w:t xml:space="preserve"> 2005; 54: 691-706.</w:t>
      </w:r>
    </w:p>
    <w:p w14:paraId="0303A30E" w14:textId="77777777" w:rsidR="00E37363" w:rsidRPr="005550A8" w:rsidRDefault="00E37363" w:rsidP="00E37363">
      <w:pPr>
        <w:pStyle w:val="EndNoteBibliography"/>
        <w:spacing w:after="0"/>
      </w:pPr>
      <w:r w:rsidRPr="005550A8">
        <w:t>22.</w:t>
      </w:r>
      <w:r w:rsidRPr="005550A8">
        <w:tab/>
        <w:t xml:space="preserve">Leon-Novelo LG, Zhou X, Bekele BN, et al. Assessing toxicities in a clinical trial: Bayesian inference for ordinal data nested within categories. </w:t>
      </w:r>
      <w:r w:rsidRPr="005550A8">
        <w:rPr>
          <w:i/>
        </w:rPr>
        <w:t>Biometrics</w:t>
      </w:r>
      <w:r w:rsidRPr="005550A8">
        <w:t xml:space="preserve"> 2010; 66: 966-974.</w:t>
      </w:r>
    </w:p>
    <w:p w14:paraId="3D92EEF5" w14:textId="77777777" w:rsidR="00E37363" w:rsidRPr="005550A8" w:rsidRDefault="00E37363" w:rsidP="00E37363">
      <w:pPr>
        <w:pStyle w:val="EndNoteBibliography"/>
        <w:spacing w:after="0"/>
      </w:pPr>
      <w:r w:rsidRPr="005550A8">
        <w:t>23.</w:t>
      </w:r>
      <w:r w:rsidRPr="005550A8">
        <w:tab/>
        <w:t xml:space="preserve">Evans SJW and Nitsch D. Statistics: Analysis and Presentation of Safety Data. In: Talbot J and Aronson JK (eds) </w:t>
      </w:r>
      <w:r w:rsidRPr="005550A8">
        <w:rPr>
          <w:i/>
        </w:rPr>
        <w:t>Stephens' Detection and Evaluation of Adverse Drug Reactions: Principles and Practice</w:t>
      </w:r>
      <w:r w:rsidRPr="005550A8">
        <w:t>. Sixth Edition ed.: John Wiley and Sons, 2012, pp.349-388.</w:t>
      </w:r>
    </w:p>
    <w:p w14:paraId="48E6008D" w14:textId="77777777" w:rsidR="00E37363" w:rsidRPr="005550A8" w:rsidRDefault="00E37363" w:rsidP="00E37363">
      <w:pPr>
        <w:pStyle w:val="EndNoteBibliography"/>
        <w:spacing w:after="0"/>
      </w:pPr>
      <w:r w:rsidRPr="005550A8">
        <w:t>24.</w:t>
      </w:r>
      <w:r w:rsidRPr="005550A8">
        <w:tab/>
        <w:t xml:space="preserve">O'Gorman TW, Woolson RF and Jones MP. A comparison of two methods of estimating a common risk difference in a stratified analysis of a multicenter clinical trial. </w:t>
      </w:r>
      <w:r w:rsidRPr="005550A8">
        <w:rPr>
          <w:i/>
        </w:rPr>
        <w:t>Controlled Clinical Trials</w:t>
      </w:r>
      <w:r w:rsidRPr="005550A8">
        <w:t xml:space="preserve"> 1994; 15: 135-153.</w:t>
      </w:r>
    </w:p>
    <w:p w14:paraId="3AB00002" w14:textId="77777777" w:rsidR="00E37363" w:rsidRPr="005550A8" w:rsidRDefault="00E37363" w:rsidP="00E37363">
      <w:pPr>
        <w:pStyle w:val="EndNoteBibliography"/>
        <w:spacing w:after="0"/>
      </w:pPr>
      <w:r w:rsidRPr="005550A8">
        <w:t>25.</w:t>
      </w:r>
      <w:r w:rsidRPr="005550A8">
        <w:tab/>
        <w:t xml:space="preserve">Liu GF, Wang J, Liu K, et al. Confidence intervals for an exposure adjusted incidence rate difference with applications to clinical trials. </w:t>
      </w:r>
      <w:r w:rsidRPr="005550A8">
        <w:rPr>
          <w:i/>
        </w:rPr>
        <w:t>Statistics in Medicine</w:t>
      </w:r>
      <w:r w:rsidRPr="005550A8">
        <w:t xml:space="preserve"> 2006; 25: 1275-1286. DOI: doi:10.1002/sim.2335.</w:t>
      </w:r>
    </w:p>
    <w:p w14:paraId="0CFD1DF4" w14:textId="77777777" w:rsidR="00E37363" w:rsidRPr="005550A8" w:rsidRDefault="00E37363" w:rsidP="00E37363">
      <w:pPr>
        <w:pStyle w:val="EndNoteBibliography"/>
        <w:spacing w:after="0"/>
      </w:pPr>
      <w:r w:rsidRPr="005550A8">
        <w:t>26.</w:t>
      </w:r>
      <w:r w:rsidRPr="005550A8">
        <w:tab/>
        <w:t xml:space="preserve">Borkowf CB. Constructing binomial confidence intervals with near nominal coverage by adding a single imaginary failure or success. </w:t>
      </w:r>
      <w:r w:rsidRPr="005550A8">
        <w:rPr>
          <w:i/>
        </w:rPr>
        <w:t>Statistics in Medicine</w:t>
      </w:r>
      <w:r w:rsidRPr="005550A8">
        <w:t xml:space="preserve"> 2006; 25: 3679-3695.</w:t>
      </w:r>
    </w:p>
    <w:p w14:paraId="6572C938" w14:textId="77777777" w:rsidR="00E37363" w:rsidRPr="005550A8" w:rsidRDefault="00E37363" w:rsidP="00E37363">
      <w:pPr>
        <w:pStyle w:val="EndNoteBibliography"/>
        <w:spacing w:after="0"/>
      </w:pPr>
      <w:r w:rsidRPr="005550A8">
        <w:t>27.</w:t>
      </w:r>
      <w:r w:rsidRPr="005550A8">
        <w:tab/>
        <w:t xml:space="preserve">Siddiqui O. Statistical methods to analyze adverse events data of randomized clinical trials. </w:t>
      </w:r>
      <w:r w:rsidRPr="005550A8">
        <w:rPr>
          <w:i/>
        </w:rPr>
        <w:t>Journal of Biopharmaceutical Statistics</w:t>
      </w:r>
      <w:r w:rsidRPr="005550A8">
        <w:t xml:space="preserve"> 2009; 19: 889-899. DOI: </w:t>
      </w:r>
      <w:hyperlink r:id="rId15" w:history="1">
        <w:r w:rsidRPr="005550A8">
          <w:rPr>
            <w:rStyle w:val="Hyperlink"/>
          </w:rPr>
          <w:t>http://dx.doi.org/10.1080/10543400903105463</w:t>
        </w:r>
      </w:hyperlink>
      <w:r w:rsidRPr="005550A8">
        <w:t>.</w:t>
      </w:r>
    </w:p>
    <w:p w14:paraId="7F9E504B" w14:textId="77777777" w:rsidR="00E37363" w:rsidRPr="005550A8" w:rsidRDefault="00E37363" w:rsidP="00E37363">
      <w:pPr>
        <w:pStyle w:val="EndNoteBibliography"/>
      </w:pPr>
      <w:r w:rsidRPr="005550A8">
        <w:t>28.</w:t>
      </w:r>
      <w:r w:rsidRPr="005550A8">
        <w:tab/>
        <w:t xml:space="preserve">Lancar R, Kramar A and Haie-Meder C. Non-parametric methods for analysing recurrent complications of varying severity. </w:t>
      </w:r>
      <w:r w:rsidRPr="005550A8">
        <w:rPr>
          <w:i/>
        </w:rPr>
        <w:t>Statistics in Medicine</w:t>
      </w:r>
      <w:r w:rsidRPr="005550A8">
        <w:t xml:space="preserve"> 1995; 14: 2701-2712. Clinical Trial</w:t>
      </w:r>
    </w:p>
    <w:p w14:paraId="777B3D1C" w14:textId="77777777" w:rsidR="00E37363" w:rsidRPr="005550A8" w:rsidRDefault="00E37363" w:rsidP="00E37363">
      <w:pPr>
        <w:pStyle w:val="EndNoteBibliography"/>
        <w:spacing w:after="0"/>
      </w:pPr>
      <w:r w:rsidRPr="005550A8">
        <w:t>Randomized Controlled Trial.</w:t>
      </w:r>
    </w:p>
    <w:p w14:paraId="4DE462B7" w14:textId="77777777" w:rsidR="00E37363" w:rsidRPr="005550A8" w:rsidRDefault="00E37363" w:rsidP="00E37363">
      <w:pPr>
        <w:pStyle w:val="EndNoteBibliography"/>
        <w:spacing w:after="0"/>
      </w:pPr>
      <w:r w:rsidRPr="005550A8">
        <w:t>29.</w:t>
      </w:r>
      <w:r w:rsidRPr="005550A8">
        <w:tab/>
        <w:t xml:space="preserve">Gong Q, Tong B, Strasak A, et al. Analysis of safety data in clinical trials using a recurrent event approach. </w:t>
      </w:r>
      <w:r w:rsidRPr="005550A8">
        <w:rPr>
          <w:i/>
        </w:rPr>
        <w:t>Pharmaceutical Statistics</w:t>
      </w:r>
      <w:r w:rsidRPr="005550A8">
        <w:t xml:space="preserve"> 2014; 13: 136-144. DOI: doi:10.1002/pst.1611.</w:t>
      </w:r>
    </w:p>
    <w:p w14:paraId="4DABF6F3" w14:textId="77777777" w:rsidR="00E37363" w:rsidRPr="005550A8" w:rsidRDefault="00E37363" w:rsidP="00E37363">
      <w:pPr>
        <w:pStyle w:val="EndNoteBibliography"/>
        <w:spacing w:after="0"/>
      </w:pPr>
      <w:r w:rsidRPr="005550A8">
        <w:t>30.</w:t>
      </w:r>
      <w:r w:rsidRPr="005550A8">
        <w:tab/>
        <w:t xml:space="preserve">Wang J and Quartey G. Nonparametric estimation for cumulative duration of adverse events. </w:t>
      </w:r>
      <w:r w:rsidRPr="005550A8">
        <w:rPr>
          <w:i/>
        </w:rPr>
        <w:t>Biometrical Journal</w:t>
      </w:r>
      <w:r w:rsidRPr="005550A8">
        <w:t xml:space="preserve"> 2012; 54: 61-74.</w:t>
      </w:r>
    </w:p>
    <w:p w14:paraId="592D9467" w14:textId="77777777" w:rsidR="00E37363" w:rsidRPr="005550A8" w:rsidRDefault="00E37363" w:rsidP="00E37363">
      <w:pPr>
        <w:pStyle w:val="EndNoteBibliography"/>
        <w:spacing w:after="0"/>
      </w:pPr>
      <w:r w:rsidRPr="005550A8">
        <w:t>31.</w:t>
      </w:r>
      <w:r w:rsidRPr="005550A8">
        <w:tab/>
        <w:t xml:space="preserve">Wang J and Quartey G. A semi-parametric approach to analysis of event duration and prevalence. </w:t>
      </w:r>
      <w:r w:rsidRPr="005550A8">
        <w:rPr>
          <w:i/>
        </w:rPr>
        <w:t>Computational Statistics &amp; Data Analysis</w:t>
      </w:r>
      <w:r w:rsidRPr="005550A8">
        <w:t xml:space="preserve"> 2013; 67: 248-257. DOI: </w:t>
      </w:r>
      <w:hyperlink r:id="rId16" w:history="1">
        <w:r w:rsidRPr="005550A8">
          <w:rPr>
            <w:rStyle w:val="Hyperlink"/>
          </w:rPr>
          <w:t>https://doi.org/10.1016/j.csda.2013.05.023</w:t>
        </w:r>
      </w:hyperlink>
      <w:r w:rsidRPr="005550A8">
        <w:t>.</w:t>
      </w:r>
    </w:p>
    <w:p w14:paraId="44A3223D" w14:textId="77777777" w:rsidR="00E37363" w:rsidRPr="005550A8" w:rsidRDefault="00E37363" w:rsidP="00E37363">
      <w:pPr>
        <w:pStyle w:val="EndNoteBibliography"/>
        <w:spacing w:after="0"/>
      </w:pPr>
      <w:r w:rsidRPr="005550A8">
        <w:t>32.</w:t>
      </w:r>
      <w:r w:rsidRPr="005550A8">
        <w:tab/>
        <w:t xml:space="preserve">Rosenkranz G. Analysis of adverse events in the presence of discontinuations. </w:t>
      </w:r>
      <w:r w:rsidRPr="005550A8">
        <w:rPr>
          <w:i/>
        </w:rPr>
        <w:t>Drug Information Journal</w:t>
      </w:r>
      <w:r w:rsidRPr="005550A8">
        <w:t xml:space="preserve"> 2006; 40: 79-87. DOI: 10.1177/009286150604000110.</w:t>
      </w:r>
    </w:p>
    <w:p w14:paraId="41654A70" w14:textId="77777777" w:rsidR="00E37363" w:rsidRPr="005550A8" w:rsidRDefault="00E37363" w:rsidP="00E37363">
      <w:pPr>
        <w:pStyle w:val="EndNoteBibliography"/>
        <w:spacing w:after="0"/>
      </w:pPr>
      <w:r w:rsidRPr="005550A8">
        <w:t>33.</w:t>
      </w:r>
      <w:r w:rsidRPr="005550A8">
        <w:tab/>
        <w:t xml:space="preserve">Hengelbrock J, Gillhaus J, Kloss S, et al. Safety data from randomized controlled trials: applying models for recurrent events. </w:t>
      </w:r>
      <w:r w:rsidRPr="005550A8">
        <w:rPr>
          <w:i/>
        </w:rPr>
        <w:t>Pharmaceutical Statistics</w:t>
      </w:r>
      <w:r w:rsidRPr="005550A8">
        <w:t xml:space="preserve"> 2016; 15: 315-323. DOI: 10.1002/pst.1757.</w:t>
      </w:r>
    </w:p>
    <w:p w14:paraId="65E58114" w14:textId="77777777" w:rsidR="00E37363" w:rsidRPr="005550A8" w:rsidRDefault="00E37363" w:rsidP="00E37363">
      <w:pPr>
        <w:pStyle w:val="EndNoteBibliography"/>
        <w:spacing w:after="0"/>
      </w:pPr>
      <w:r w:rsidRPr="005550A8">
        <w:t>34.</w:t>
      </w:r>
      <w:r w:rsidRPr="005550A8">
        <w:tab/>
        <w:t xml:space="preserve">Allignol A, Beyersmann J and Schmoor C. Statistical issues in the analysis of adverse events in time-to-event data. </w:t>
      </w:r>
      <w:r w:rsidRPr="005550A8">
        <w:rPr>
          <w:i/>
        </w:rPr>
        <w:t>Pharmaceutical Statistics</w:t>
      </w:r>
      <w:r w:rsidRPr="005550A8">
        <w:t xml:space="preserve"> 2016; 15: 297-305.</w:t>
      </w:r>
    </w:p>
    <w:p w14:paraId="3095C6AA" w14:textId="77777777" w:rsidR="00E37363" w:rsidRPr="005550A8" w:rsidRDefault="00E37363" w:rsidP="00E37363">
      <w:pPr>
        <w:pStyle w:val="EndNoteBibliography"/>
        <w:spacing w:after="0"/>
      </w:pPr>
      <w:r w:rsidRPr="005550A8">
        <w:t>35.</w:t>
      </w:r>
      <w:r w:rsidRPr="005550A8">
        <w:tab/>
        <w:t xml:space="preserve">Nishikawa M, Tango T and Ogawa M. Non-parametric inference of adverse events under informative censoring. </w:t>
      </w:r>
      <w:r w:rsidRPr="005550A8">
        <w:rPr>
          <w:i/>
        </w:rPr>
        <w:t>Statistics in Medicine</w:t>
      </w:r>
      <w:r w:rsidRPr="005550A8">
        <w:t xml:space="preserve"> 2006; 25: 3981-4003.</w:t>
      </w:r>
    </w:p>
    <w:p w14:paraId="7CF33EE5" w14:textId="77777777" w:rsidR="00E37363" w:rsidRPr="005550A8" w:rsidRDefault="00E37363" w:rsidP="00E37363">
      <w:pPr>
        <w:pStyle w:val="EndNoteBibliography"/>
        <w:spacing w:after="0"/>
      </w:pPr>
      <w:r w:rsidRPr="005550A8">
        <w:t>36.</w:t>
      </w:r>
      <w:r w:rsidRPr="005550A8">
        <w:tab/>
        <w:t xml:space="preserve">Sogliero-Gilbert G, Ting, N. and Zubkoff, L. . A statistical comparison of drug safety in controlled clinical trials: The Genie score as an objective measure of lab abnormalities. </w:t>
      </w:r>
      <w:r w:rsidRPr="005550A8">
        <w:rPr>
          <w:i/>
        </w:rPr>
        <w:t>Therapeutic Innovation &amp; Regulatory Science</w:t>
      </w:r>
      <w:r w:rsidRPr="005550A8">
        <w:t xml:space="preserve"> 1991; 25. DOI: </w:t>
      </w:r>
      <w:hyperlink r:id="rId17" w:history="1">
        <w:r w:rsidRPr="005550A8">
          <w:rPr>
            <w:rStyle w:val="Hyperlink"/>
          </w:rPr>
          <w:t>https://doi.org/10.1177/009286159102500109</w:t>
        </w:r>
      </w:hyperlink>
      <w:r w:rsidRPr="005550A8">
        <w:t>.</w:t>
      </w:r>
    </w:p>
    <w:p w14:paraId="1AC0E0EA" w14:textId="77777777" w:rsidR="00E37363" w:rsidRPr="005550A8" w:rsidRDefault="00E37363" w:rsidP="00E37363">
      <w:pPr>
        <w:pStyle w:val="EndNoteBibliography"/>
        <w:spacing w:after="0"/>
      </w:pPr>
      <w:r w:rsidRPr="005550A8">
        <w:t>37.</w:t>
      </w:r>
      <w:r w:rsidRPr="005550A8">
        <w:tab/>
        <w:t xml:space="preserve">Berry DA. Monitoring accumulating data in a clinical trial. </w:t>
      </w:r>
      <w:r w:rsidRPr="005550A8">
        <w:rPr>
          <w:i/>
        </w:rPr>
        <w:t>Biometrics</w:t>
      </w:r>
      <w:r w:rsidRPr="005550A8">
        <w:t xml:space="preserve"> 1989; 45: 1197-1211. Article.</w:t>
      </w:r>
    </w:p>
    <w:p w14:paraId="74811F16" w14:textId="77777777" w:rsidR="00E37363" w:rsidRPr="005550A8" w:rsidRDefault="00E37363" w:rsidP="00E37363">
      <w:pPr>
        <w:pStyle w:val="EndNoteBibliography"/>
        <w:spacing w:after="0"/>
      </w:pPr>
      <w:r w:rsidRPr="005550A8">
        <w:t>38.</w:t>
      </w:r>
      <w:r w:rsidRPr="005550A8">
        <w:tab/>
        <w:t xml:space="preserve">Yao B, Zhu L, Jiang Q, et al. Safety monitoring in clinical trials. </w:t>
      </w:r>
      <w:r w:rsidRPr="005550A8">
        <w:rPr>
          <w:i/>
        </w:rPr>
        <w:t>Pharmaceutics</w:t>
      </w:r>
      <w:r w:rsidRPr="005550A8">
        <w:t xml:space="preserve"> 2013; 5: 94-106.</w:t>
      </w:r>
    </w:p>
    <w:p w14:paraId="18928408" w14:textId="77777777" w:rsidR="00E37363" w:rsidRPr="005550A8" w:rsidRDefault="00E37363" w:rsidP="00E37363">
      <w:pPr>
        <w:pStyle w:val="EndNoteBibliography"/>
        <w:spacing w:after="0"/>
      </w:pPr>
      <w:r w:rsidRPr="005550A8">
        <w:t>39.</w:t>
      </w:r>
      <w:r w:rsidRPr="005550A8">
        <w:tab/>
        <w:t xml:space="preserve">Zhu L, Yao B, Xia HA, et al. Statistical Monitoring of Safety in Clinical Trials. </w:t>
      </w:r>
      <w:r w:rsidRPr="005550A8">
        <w:rPr>
          <w:i/>
        </w:rPr>
        <w:t>Statistics in Biopharmaceutical Research</w:t>
      </w:r>
      <w:r w:rsidRPr="005550A8">
        <w:t xml:space="preserve"> 2016; 8: 88-105. DOI: 10.1080/19466315.2015.1117017.</w:t>
      </w:r>
    </w:p>
    <w:p w14:paraId="47DFF641" w14:textId="77777777" w:rsidR="00E37363" w:rsidRPr="005550A8" w:rsidRDefault="00E37363" w:rsidP="00E37363">
      <w:pPr>
        <w:pStyle w:val="EndNoteBibliography"/>
        <w:spacing w:after="0"/>
      </w:pPr>
      <w:r w:rsidRPr="005550A8">
        <w:t>40.</w:t>
      </w:r>
      <w:r w:rsidRPr="005550A8">
        <w:tab/>
        <w:t xml:space="preserve">French JL, Thomas N and Wang C. Using historical data with Bayesian methods in early clinical trial monitoring. </w:t>
      </w:r>
      <w:r w:rsidRPr="005550A8">
        <w:rPr>
          <w:i/>
        </w:rPr>
        <w:t>Statistics in Biopharmaceutical Research</w:t>
      </w:r>
      <w:r w:rsidRPr="005550A8">
        <w:t xml:space="preserve"> 2012; 4: 384-394. Article. DOI: 10.1080/19466315.2012.707088.</w:t>
      </w:r>
    </w:p>
    <w:p w14:paraId="75F70329" w14:textId="77777777" w:rsidR="00E37363" w:rsidRPr="005550A8" w:rsidRDefault="00E37363" w:rsidP="00E37363">
      <w:pPr>
        <w:pStyle w:val="EndNoteBibliography"/>
        <w:spacing w:after="0"/>
      </w:pPr>
      <w:r w:rsidRPr="005550A8">
        <w:lastRenderedPageBreak/>
        <w:t>41.</w:t>
      </w:r>
      <w:r w:rsidRPr="005550A8">
        <w:tab/>
        <w:t xml:space="preserve">Berry SM and Berry DA. Accounting for multiplicities in assessing drug safety: A three-level hierarchical mixture model. </w:t>
      </w:r>
      <w:r w:rsidRPr="005550A8">
        <w:rPr>
          <w:i/>
        </w:rPr>
        <w:t>Biometrics</w:t>
      </w:r>
      <w:r w:rsidRPr="005550A8">
        <w:t xml:space="preserve"> 2004; 60: 418-426. Article. DOI: 10.1111/j.0006-341X.2004.00186.x.</w:t>
      </w:r>
    </w:p>
    <w:p w14:paraId="20413D26" w14:textId="77777777" w:rsidR="00E37363" w:rsidRPr="005550A8" w:rsidRDefault="00E37363" w:rsidP="00E37363">
      <w:pPr>
        <w:pStyle w:val="EndNoteBibliography"/>
        <w:spacing w:after="0"/>
      </w:pPr>
      <w:r w:rsidRPr="005550A8">
        <w:t>42.</w:t>
      </w:r>
      <w:r w:rsidRPr="005550A8">
        <w:tab/>
        <w:t xml:space="preserve">Xia HA, Ma H and Carlin BP. Bayesian hierarchical modeling for detecting safety signals in clinical trials. </w:t>
      </w:r>
      <w:r w:rsidRPr="005550A8">
        <w:rPr>
          <w:i/>
        </w:rPr>
        <w:t>Journal of Biopharmaceutical Statistics</w:t>
      </w:r>
      <w:r w:rsidRPr="005550A8">
        <w:t xml:space="preserve"> 2011; 21: 1006-1029.</w:t>
      </w:r>
    </w:p>
    <w:p w14:paraId="01D39B06" w14:textId="77777777" w:rsidR="00E37363" w:rsidRPr="005550A8" w:rsidRDefault="00E37363" w:rsidP="00E37363">
      <w:pPr>
        <w:pStyle w:val="EndNoteBibliography"/>
        <w:spacing w:after="0"/>
      </w:pPr>
      <w:r w:rsidRPr="005550A8">
        <w:t>43.</w:t>
      </w:r>
      <w:r w:rsidRPr="005550A8">
        <w:tab/>
        <w:t xml:space="preserve">Chen WF, Zhao NQ, Qin GY, et al. A Bayesian Group Sequential Approach to Safety Signal Detection. </w:t>
      </w:r>
      <w:r w:rsidRPr="005550A8">
        <w:rPr>
          <w:i/>
        </w:rPr>
        <w:t>Journal of Biopharmaceutical Statistics</w:t>
      </w:r>
      <w:r w:rsidRPr="005550A8">
        <w:t xml:space="preserve"> 2013; 23: 213-230. DOI: 10.1080/10543406.2013.736813.</w:t>
      </w:r>
    </w:p>
    <w:p w14:paraId="2DEEDBD8" w14:textId="77777777" w:rsidR="00E37363" w:rsidRPr="005550A8" w:rsidRDefault="00E37363" w:rsidP="00E37363">
      <w:pPr>
        <w:pStyle w:val="EndNoteBibliography"/>
        <w:spacing w:after="0"/>
      </w:pPr>
      <w:r w:rsidRPr="005550A8">
        <w:t>44.</w:t>
      </w:r>
      <w:r w:rsidRPr="005550A8">
        <w:tab/>
        <w:t xml:space="preserve">McEvoy BW, Nandy RR and Tiwari RC. Bayesian Approach for Clinical Trial Safety Data Using an Ising Prior. </w:t>
      </w:r>
      <w:r w:rsidRPr="005550A8">
        <w:rPr>
          <w:i/>
        </w:rPr>
        <w:t>Biometrics</w:t>
      </w:r>
      <w:r w:rsidRPr="005550A8">
        <w:t xml:space="preserve"> 2013; 69: 661-672.</w:t>
      </w:r>
    </w:p>
    <w:p w14:paraId="3F74BCD2" w14:textId="77777777" w:rsidR="00E37363" w:rsidRPr="005550A8" w:rsidRDefault="00E37363" w:rsidP="00E37363">
      <w:pPr>
        <w:pStyle w:val="EndNoteBibliography"/>
        <w:spacing w:after="0"/>
      </w:pPr>
      <w:r w:rsidRPr="005550A8">
        <w:t>45.</w:t>
      </w:r>
      <w:r w:rsidRPr="005550A8">
        <w:tab/>
        <w:t xml:space="preserve">Gould AL. Detecting potential safety issues in clinical trials by Bayesian screening. </w:t>
      </w:r>
      <w:r w:rsidRPr="005550A8">
        <w:rPr>
          <w:i/>
        </w:rPr>
        <w:t>Biometrical Journal</w:t>
      </w:r>
      <w:r w:rsidRPr="005550A8">
        <w:t xml:space="preserve"> 2008; 50: 837-851. Article. DOI: 10.1002/bimj.200710469.</w:t>
      </w:r>
    </w:p>
    <w:p w14:paraId="7C7C9C7A" w14:textId="77777777" w:rsidR="00E37363" w:rsidRPr="005550A8" w:rsidRDefault="00E37363" w:rsidP="00E37363">
      <w:pPr>
        <w:pStyle w:val="EndNoteBibliography"/>
      </w:pPr>
      <w:r w:rsidRPr="005550A8">
        <w:t>46.</w:t>
      </w:r>
      <w:r w:rsidRPr="005550A8">
        <w:tab/>
        <w:t xml:space="preserve">Gould AL. Detecting potential safety issues in large clinical or observational trials by bayesian screening when event counts arise from poisson distributions. </w:t>
      </w:r>
      <w:r w:rsidRPr="005550A8">
        <w:rPr>
          <w:i/>
        </w:rPr>
        <w:t>Journal of Biopharmaceutical Statistics</w:t>
      </w:r>
      <w:r w:rsidRPr="005550A8">
        <w:t xml:space="preserve"> 2013; 23: 829-847. Article. DOI: 10.1080/10543406.2013.789887.</w:t>
      </w:r>
    </w:p>
    <w:p w14:paraId="538BEC81" w14:textId="77777777" w:rsidR="00E37363" w:rsidRDefault="00E37363" w:rsidP="00E37363">
      <w:r>
        <w:fldChar w:fldCharType="end"/>
      </w:r>
    </w:p>
    <w:sectPr w:rsidR="00E37363" w:rsidSect="00E37363">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86A74F" w14:textId="77777777" w:rsidR="00E37363" w:rsidRDefault="00E37363" w:rsidP="00E37363">
      <w:pPr>
        <w:spacing w:after="0" w:line="240" w:lineRule="auto"/>
      </w:pPr>
      <w:r>
        <w:separator/>
      </w:r>
    </w:p>
  </w:endnote>
  <w:endnote w:type="continuationSeparator" w:id="0">
    <w:p w14:paraId="5D31B84D" w14:textId="77777777" w:rsidR="00E37363" w:rsidRDefault="00E37363" w:rsidP="00E373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9CD857" w14:textId="77777777" w:rsidR="00A02FED" w:rsidRDefault="00A02F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468013"/>
      <w:docPartObj>
        <w:docPartGallery w:val="Page Numbers (Bottom of Page)"/>
        <w:docPartUnique/>
      </w:docPartObj>
    </w:sdtPr>
    <w:sdtEndPr>
      <w:rPr>
        <w:noProof/>
      </w:rPr>
    </w:sdtEndPr>
    <w:sdtContent>
      <w:bookmarkStart w:id="0" w:name="_GoBack" w:displacedByCustomXml="prev"/>
      <w:bookmarkEnd w:id="0" w:displacedByCustomXml="prev"/>
      <w:p w14:paraId="71FB5688" w14:textId="6AF84D43" w:rsidR="00A02FED" w:rsidRDefault="00A02FED">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1CD7D5F6" w14:textId="77777777" w:rsidR="00A02FED" w:rsidRDefault="00A02FE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0E9873" w14:textId="77777777" w:rsidR="00A02FED" w:rsidRDefault="00A02F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EF0A5E" w14:textId="77777777" w:rsidR="00E37363" w:rsidRDefault="00E37363" w:rsidP="00E37363">
      <w:pPr>
        <w:spacing w:after="0" w:line="240" w:lineRule="auto"/>
      </w:pPr>
      <w:r>
        <w:separator/>
      </w:r>
    </w:p>
  </w:footnote>
  <w:footnote w:type="continuationSeparator" w:id="0">
    <w:p w14:paraId="60C39F6A" w14:textId="77777777" w:rsidR="00E37363" w:rsidRDefault="00E37363" w:rsidP="00E373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B970E2" w14:textId="77777777" w:rsidR="00A02FED" w:rsidRDefault="00A02F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FD934B" w14:textId="77777777" w:rsidR="00A02FED" w:rsidRDefault="00A02FE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966508" w14:textId="77777777" w:rsidR="00A02FED" w:rsidRDefault="00A02FE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363"/>
    <w:rsid w:val="00301D6C"/>
    <w:rsid w:val="003C7016"/>
    <w:rsid w:val="00621920"/>
    <w:rsid w:val="00871E41"/>
    <w:rsid w:val="009576CE"/>
    <w:rsid w:val="00983A62"/>
    <w:rsid w:val="00A02FED"/>
    <w:rsid w:val="00E37363"/>
    <w:rsid w:val="00FE1B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0DB399"/>
  <w15:chartTrackingRefBased/>
  <w15:docId w15:val="{34ADFB74-FE35-4974-A7BF-96BD886FA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73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E37363"/>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E37363"/>
    <w:rPr>
      <w:rFonts w:ascii="Calibri" w:hAnsi="Calibri" w:cs="Calibri"/>
      <w:noProof/>
      <w:lang w:val="en-US"/>
    </w:rPr>
  </w:style>
  <w:style w:type="table" w:styleId="TableGrid">
    <w:name w:val="Table Grid"/>
    <w:basedOn w:val="TableNormal"/>
    <w:uiPriority w:val="39"/>
    <w:rsid w:val="00E373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37363"/>
    <w:rPr>
      <w:color w:val="0563C1" w:themeColor="hyperlink"/>
      <w:u w:val="single"/>
    </w:rPr>
  </w:style>
  <w:style w:type="paragraph" w:styleId="Header">
    <w:name w:val="header"/>
    <w:basedOn w:val="Normal"/>
    <w:link w:val="HeaderChar"/>
    <w:uiPriority w:val="99"/>
    <w:unhideWhenUsed/>
    <w:rsid w:val="00E3736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7363"/>
  </w:style>
  <w:style w:type="paragraph" w:styleId="Footer">
    <w:name w:val="footer"/>
    <w:basedOn w:val="Normal"/>
    <w:link w:val="FooterChar"/>
    <w:uiPriority w:val="99"/>
    <w:unhideWhenUsed/>
    <w:rsid w:val="00E373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73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s://doi.org/10.1177/009286159102500109" TargetMode="External"/><Relationship Id="rId2" Type="http://schemas.openxmlformats.org/officeDocument/2006/relationships/customXml" Target="../customXml/item2.xml"/><Relationship Id="rId16" Type="http://schemas.openxmlformats.org/officeDocument/2006/relationships/hyperlink" Target="https://doi.org/10.1016/j.csda.2013.05.023"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dx.doi.org/10.1080/10543400903105463" TargetMode="Externa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766FBD57658484CB975DE0D64E8B087" ma:contentTypeVersion="13" ma:contentTypeDescription="Create a new document." ma:contentTypeScope="" ma:versionID="3000e4367aafd719a8e08c5eca238d0d">
  <xsd:schema xmlns:xsd="http://www.w3.org/2001/XMLSchema" xmlns:xs="http://www.w3.org/2001/XMLSchema" xmlns:p="http://schemas.microsoft.com/office/2006/metadata/properties" xmlns:ns3="0eadc7d8-14fc-45b4-9a98-2a784a90420d" xmlns:ns4="bed45d23-e81d-454a-bc17-87a478448044" targetNamespace="http://schemas.microsoft.com/office/2006/metadata/properties" ma:root="true" ma:fieldsID="1e7e4774d47b99ae9e11728b4d03a86e" ns3:_="" ns4:_="">
    <xsd:import namespace="0eadc7d8-14fc-45b4-9a98-2a784a90420d"/>
    <xsd:import namespace="bed45d23-e81d-454a-bc17-87a478448044"/>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adc7d8-14fc-45b4-9a98-2a784a9042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ed45d23-e81d-454a-bc17-87a47844804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6306FE-5E1A-4311-9F75-006E80D86DBF}">
  <ds:schemaRefs>
    <ds:schemaRef ds:uri="http://purl.org/dc/elements/1.1/"/>
    <ds:schemaRef ds:uri="http://schemas.microsoft.com/office/2006/metadata/properties"/>
    <ds:schemaRef ds:uri="bed45d23-e81d-454a-bc17-87a478448044"/>
    <ds:schemaRef ds:uri="http://purl.org/dc/terms/"/>
    <ds:schemaRef ds:uri="http://schemas.openxmlformats.org/package/2006/metadata/core-properties"/>
    <ds:schemaRef ds:uri="0eadc7d8-14fc-45b4-9a98-2a784a90420d"/>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3B2489C3-4984-4B57-8BFD-7295A99CF577}">
  <ds:schemaRefs>
    <ds:schemaRef ds:uri="http://schemas.microsoft.com/sharepoint/v3/contenttype/forms"/>
  </ds:schemaRefs>
</ds:datastoreItem>
</file>

<file path=customXml/itemProps3.xml><?xml version="1.0" encoding="utf-8"?>
<ds:datastoreItem xmlns:ds="http://schemas.openxmlformats.org/officeDocument/2006/customXml" ds:itemID="{E8365402-5BD2-4ED7-BFE5-3F0BEC42B7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adc7d8-14fc-45b4-9a98-2a784a90420d"/>
    <ds:schemaRef ds:uri="bed45d23-e81d-454a-bc17-87a4784480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11</Pages>
  <Words>10697</Words>
  <Characters>60978</Characters>
  <Application>Microsoft Office Word</Application>
  <DocSecurity>0</DocSecurity>
  <Lines>508</Lines>
  <Paragraphs>143</Paragraphs>
  <ScaleCrop>false</ScaleCrop>
  <HeadingPairs>
    <vt:vector size="2" baseType="variant">
      <vt:variant>
        <vt:lpstr>Title</vt:lpstr>
      </vt:variant>
      <vt:variant>
        <vt:i4>1</vt:i4>
      </vt:variant>
    </vt:vector>
  </HeadingPairs>
  <TitlesOfParts>
    <vt:vector size="1" baseType="lpstr">
      <vt:lpstr/>
    </vt:vector>
  </TitlesOfParts>
  <Company>Imperial College London</Company>
  <LinksUpToDate>false</LinksUpToDate>
  <CharactersWithSpaces>71532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Phillips, Rachel</dc:creator>
  <cp:keywords/>
  <dc:description/>
  <cp:lastModifiedBy>Phillips, Rachel</cp:lastModifiedBy>
  <cp:revision>3</cp:revision>
  <dcterms:created xsi:type="dcterms:W3CDTF">2020-08-10T18:51:00Z</dcterms:created>
  <dcterms:modified xsi:type="dcterms:W3CDTF">2020-08-18T08:07:00Z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0x0101009766FBD57658484CB975DE0D64E8B087</vt:lpwstr>
  </property>
</Properties>
</file>