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B4A09" w14:textId="77777777" w:rsidR="00A077EE" w:rsidRDefault="00D76748">
      <w:pPr>
        <w:jc w:val="both"/>
        <w:rPr>
          <w:rFonts w:ascii="Times New Roman" w:hAnsi="Times New Roman" w:cs="Times New Roman"/>
          <w:b/>
          <w:sz w:val="28"/>
          <w:szCs w:val="28"/>
        </w:rPr>
      </w:pPr>
      <w:r w:rsidRPr="0093527B">
        <w:rPr>
          <w:rFonts w:ascii="Times New Roman" w:hAnsi="Times New Roman" w:cs="Times New Roman"/>
          <w:b/>
          <w:sz w:val="28"/>
          <w:szCs w:val="28"/>
        </w:rPr>
        <w:t>Supplementary information</w:t>
      </w:r>
    </w:p>
    <w:p w14:paraId="74B3FB08" w14:textId="77777777" w:rsidR="0093527B" w:rsidRPr="0093527B" w:rsidRDefault="0093527B">
      <w:pPr>
        <w:jc w:val="both"/>
        <w:rPr>
          <w:rFonts w:ascii="Times New Roman" w:hAnsi="Times New Roman" w:cs="Times New Roman"/>
          <w:b/>
          <w:sz w:val="28"/>
          <w:szCs w:val="28"/>
        </w:rPr>
      </w:pPr>
    </w:p>
    <w:p w14:paraId="37B251DA" w14:textId="77777777" w:rsidR="00A077EE" w:rsidRPr="0093527B" w:rsidRDefault="00D76748">
      <w:pPr>
        <w:spacing w:line="360" w:lineRule="auto"/>
        <w:rPr>
          <w:rFonts w:ascii="Times New Roman" w:hAnsi="Times New Roman" w:cs="Times New Roman"/>
          <w:sz w:val="22"/>
          <w:szCs w:val="32"/>
        </w:rPr>
      </w:pPr>
      <w:r w:rsidRPr="0093527B">
        <w:rPr>
          <w:rFonts w:ascii="Times New Roman" w:hAnsi="Times New Roman" w:cs="Times New Roman" w:hint="eastAsia"/>
          <w:b/>
          <w:sz w:val="28"/>
          <w:szCs w:val="32"/>
        </w:rPr>
        <w:t>Mutation of KCNJ5 induced adrenal aldosterone adenoma via CYP11A1 regulation</w:t>
      </w:r>
    </w:p>
    <w:p w14:paraId="4EFADA0F" w14:textId="77777777" w:rsidR="00A077EE" w:rsidRDefault="00A077EE">
      <w:pPr>
        <w:jc w:val="both"/>
      </w:pPr>
    </w:p>
    <w:p w14:paraId="088C3E54" w14:textId="77777777" w:rsidR="00A077EE" w:rsidRDefault="00A077EE">
      <w:pPr>
        <w:jc w:val="both"/>
      </w:pPr>
    </w:p>
    <w:p w14:paraId="073FDDEF" w14:textId="77777777" w:rsidR="00A077EE" w:rsidRDefault="00D76748">
      <w:pPr>
        <w:adjustRightInd w:val="0"/>
        <w:snapToGrid w:val="0"/>
        <w:spacing w:line="360" w:lineRule="auto"/>
        <w:jc w:val="both"/>
        <w:rPr>
          <w:rFonts w:ascii="Times New Roman" w:hAnsi="Times New Roman" w:cs="Times New Roman"/>
          <w:b/>
          <w:sz w:val="28"/>
          <w:szCs w:val="28"/>
        </w:rPr>
      </w:pPr>
      <w:r>
        <w:rPr>
          <w:rFonts w:ascii="Times New Roman" w:hAnsi="Times New Roman" w:cs="Times New Roman"/>
          <w:b/>
          <w:sz w:val="28"/>
          <w:szCs w:val="28"/>
        </w:rPr>
        <w:t>Materials and Methods</w:t>
      </w:r>
    </w:p>
    <w:p w14:paraId="3831BCE4" w14:textId="77777777" w:rsidR="00A077EE" w:rsidRPr="0093527B" w:rsidRDefault="00D76748" w:rsidP="0093527B">
      <w:pPr>
        <w:pStyle w:val="af1"/>
        <w:numPr>
          <w:ilvl w:val="0"/>
          <w:numId w:val="3"/>
        </w:numPr>
        <w:adjustRightInd w:val="0"/>
        <w:snapToGrid w:val="0"/>
        <w:spacing w:line="360" w:lineRule="auto"/>
        <w:ind w:firstLineChars="0"/>
        <w:jc w:val="both"/>
        <w:rPr>
          <w:rFonts w:ascii="Times New Roman" w:hAnsi="Times New Roman" w:cs="Times New Roman"/>
          <w:b/>
        </w:rPr>
      </w:pPr>
      <w:r w:rsidRPr="0093527B">
        <w:rPr>
          <w:rFonts w:ascii="Times New Roman" w:hAnsi="Times New Roman" w:cs="Times New Roman"/>
          <w:b/>
        </w:rPr>
        <w:t>Built KCNJ5 mutant cells by CRISPR/Cas9 gene editing</w:t>
      </w:r>
    </w:p>
    <w:p w14:paraId="672850F7" w14:textId="04045343"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hint="eastAsia"/>
        </w:rPr>
        <w:t xml:space="preserve">After SW-13 cells </w:t>
      </w:r>
      <w:r>
        <w:rPr>
          <w:rFonts w:ascii="Times New Roman" w:hAnsi="Times New Roman" w:cs="Times New Roman" w:hint="eastAsia"/>
        </w:rPr>
        <w:t>（</w:t>
      </w:r>
      <w:r>
        <w:rPr>
          <w:rFonts w:ascii="Times New Roman" w:hAnsi="Times New Roman" w:cs="Times New Roman"/>
        </w:rPr>
        <w:t>human adrenocortical small cell carcinoma</w:t>
      </w:r>
      <w:r>
        <w:rPr>
          <w:rFonts w:ascii="Times New Roman" w:hAnsi="Times New Roman" w:cs="Times New Roman" w:hint="eastAsia"/>
        </w:rPr>
        <w:t>）</w:t>
      </w:r>
      <w:r>
        <w:rPr>
          <w:rFonts w:ascii="Times New Roman" w:hAnsi="Times New Roman" w:cs="Times New Roman" w:hint="eastAsia"/>
        </w:rPr>
        <w:t xml:space="preserve">were cultured, </w:t>
      </w:r>
      <w:r w:rsidR="00FF1E79">
        <w:rPr>
          <w:rFonts w:ascii="Times New Roman" w:hAnsi="Times New Roman" w:cs="Times New Roman"/>
          <w:bCs/>
        </w:rPr>
        <w:t>we</w:t>
      </w:r>
      <w:r>
        <w:rPr>
          <w:rFonts w:ascii="Times New Roman" w:hAnsi="Times New Roman" w:cs="Times New Roman" w:hint="eastAsia"/>
          <w:bCs/>
        </w:rPr>
        <w:t xml:space="preserve"> used the genome targeting technology mediated by the CRISRP/Cas9 system to obtain SW-13 mutant</w:t>
      </w:r>
      <w:r>
        <w:rPr>
          <w:rFonts w:ascii="Times New Roman" w:hAnsi="Times New Roman" w:cs="Times New Roman"/>
          <w:bCs/>
        </w:rPr>
        <w:t xml:space="preserve"> </w:t>
      </w:r>
      <w:r>
        <w:rPr>
          <w:rFonts w:ascii="Times New Roman" w:hAnsi="Times New Roman" w:cs="Times New Roman" w:hint="eastAsia"/>
          <w:bCs/>
        </w:rPr>
        <w:t>cell lines with mutation</w:t>
      </w:r>
      <w:r>
        <w:rPr>
          <w:rFonts w:ascii="Times New Roman" w:hAnsi="Times New Roman" w:cs="Times New Roman"/>
          <w:bCs/>
        </w:rPr>
        <w:t xml:space="preserve"> (</w:t>
      </w:r>
      <w:r>
        <w:rPr>
          <w:rFonts w:ascii="Times New Roman" w:hAnsi="Times New Roman" w:cs="Times New Roman" w:hint="eastAsia"/>
          <w:bCs/>
        </w:rPr>
        <w:t>c.451G&gt;A and c.503T&gt;G</w:t>
      </w:r>
      <w:r>
        <w:rPr>
          <w:rFonts w:ascii="Times New Roman" w:hAnsi="Times New Roman" w:cs="Times New Roman"/>
          <w:bCs/>
        </w:rPr>
        <w:t>)</w:t>
      </w:r>
      <w:r>
        <w:rPr>
          <w:rFonts w:ascii="Times New Roman" w:hAnsi="Times New Roman" w:cs="Times New Roman" w:hint="eastAsia"/>
          <w:bCs/>
        </w:rPr>
        <w:t xml:space="preserve"> in the </w:t>
      </w:r>
      <w:r>
        <w:rPr>
          <w:rFonts w:ascii="Times New Roman" w:hAnsi="Times New Roman" w:cs="Times New Roman" w:hint="eastAsia"/>
          <w:bCs/>
          <w:i/>
        </w:rPr>
        <w:t>KCNJ5</w:t>
      </w:r>
      <w:r>
        <w:rPr>
          <w:rFonts w:ascii="Times New Roman" w:hAnsi="Times New Roman" w:cs="Times New Roman" w:hint="eastAsia"/>
          <w:bCs/>
        </w:rPr>
        <w:t xml:space="preserve"> gene</w:t>
      </w:r>
      <w:r>
        <w:rPr>
          <w:rFonts w:ascii="Times New Roman" w:hAnsi="Times New Roman" w:cs="Times New Roman"/>
          <w:bCs/>
        </w:rPr>
        <w:t>.</w:t>
      </w:r>
      <w:r>
        <w:rPr>
          <w:rFonts w:ascii="Times New Roman" w:hAnsi="Times New Roman" w:cs="Times New Roman" w:hint="eastAsia"/>
          <w:bCs/>
        </w:rPr>
        <w:t xml:space="preserve"> Details of mutations </w:t>
      </w:r>
      <w:r w:rsidR="00FF1E79">
        <w:rPr>
          <w:rFonts w:ascii="Times New Roman" w:hAnsi="Times New Roman" w:cs="Times New Roman"/>
          <w:bCs/>
        </w:rPr>
        <w:t>were</w:t>
      </w:r>
      <w:r>
        <w:rPr>
          <w:rFonts w:ascii="Times New Roman" w:hAnsi="Times New Roman" w:cs="Times New Roman" w:hint="eastAsia"/>
          <w:bCs/>
        </w:rPr>
        <w:t xml:space="preserve"> shown in Figure S1.</w:t>
      </w:r>
    </w:p>
    <w:p w14:paraId="10B70147" w14:textId="77777777" w:rsidR="00A077EE" w:rsidRDefault="00D76748">
      <w:pPr>
        <w:pStyle w:val="af1"/>
        <w:adjustRightInd w:val="0"/>
        <w:snapToGrid w:val="0"/>
        <w:spacing w:line="360" w:lineRule="auto"/>
        <w:ind w:firstLineChars="0" w:firstLine="0"/>
        <w:jc w:val="center"/>
        <w:rPr>
          <w:rFonts w:ascii="Times New Roman" w:hAnsi="Times New Roman" w:cs="Times New Roman"/>
          <w:bCs/>
        </w:rPr>
      </w:pPr>
      <w:r>
        <w:rPr>
          <w:rFonts w:ascii="Times New Roman" w:hAnsi="Times New Roman" w:cs="Times New Roman"/>
          <w:bCs/>
          <w:noProof/>
        </w:rPr>
        <w:drawing>
          <wp:inline distT="0" distB="0" distL="0" distR="0" wp14:anchorId="258906A4" wp14:editId="14D07B5A">
            <wp:extent cx="4792345" cy="46081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extLst>
                        <a:ext uri="{28A0092B-C50C-407E-A947-70E740481C1C}">
                          <a14:useLocalDpi xmlns:a14="http://schemas.microsoft.com/office/drawing/2010/main" val="0"/>
                        </a:ext>
                      </a:extLst>
                    </a:blip>
                    <a:srcRect t="4174"/>
                    <a:stretch>
                      <a:fillRect/>
                    </a:stretch>
                  </pic:blipFill>
                  <pic:spPr>
                    <a:xfrm>
                      <a:off x="0" y="0"/>
                      <a:ext cx="4792345" cy="4608195"/>
                    </a:xfrm>
                    <a:prstGeom prst="rect">
                      <a:avLst/>
                    </a:prstGeom>
                  </pic:spPr>
                </pic:pic>
              </a:graphicData>
            </a:graphic>
          </wp:inline>
        </w:drawing>
      </w:r>
    </w:p>
    <w:p w14:paraId="57B8C9B2" w14:textId="77777777" w:rsidR="00A077EE" w:rsidRDefault="00D76748">
      <w:pPr>
        <w:pStyle w:val="af1"/>
        <w:adjustRightInd w:val="0"/>
        <w:snapToGrid w:val="0"/>
        <w:spacing w:line="360" w:lineRule="auto"/>
        <w:ind w:left="360"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Figure</w:t>
      </w:r>
      <w:r>
        <w:rPr>
          <w:rFonts w:ascii="Times New Roman" w:hAnsi="Times New Roman" w:cs="Times New Roman"/>
          <w:b/>
          <w:sz w:val="21"/>
          <w:szCs w:val="21"/>
        </w:rPr>
        <w:t xml:space="preserve"> </w:t>
      </w:r>
      <w:r>
        <w:rPr>
          <w:rFonts w:ascii="Times New Roman" w:hAnsi="Times New Roman" w:cs="Times New Roman" w:hint="eastAsia"/>
          <w:b/>
          <w:sz w:val="21"/>
          <w:szCs w:val="21"/>
        </w:rPr>
        <w:t>S</w:t>
      </w:r>
      <w:r>
        <w:rPr>
          <w:rFonts w:ascii="Times New Roman" w:hAnsi="Times New Roman" w:cs="Times New Roman"/>
          <w:b/>
          <w:sz w:val="21"/>
          <w:szCs w:val="21"/>
        </w:rPr>
        <w:t xml:space="preserve">1 </w:t>
      </w:r>
      <w:r>
        <w:rPr>
          <w:rFonts w:ascii="Times New Roman" w:hAnsi="Times New Roman" w:cs="Times New Roman" w:hint="eastAsia"/>
          <w:b/>
          <w:sz w:val="21"/>
          <w:szCs w:val="21"/>
        </w:rPr>
        <w:t>Target</w:t>
      </w:r>
      <w:r>
        <w:rPr>
          <w:rFonts w:ascii="Times New Roman" w:hAnsi="Times New Roman" w:cs="Times New Roman"/>
          <w:b/>
          <w:sz w:val="21"/>
          <w:szCs w:val="21"/>
        </w:rPr>
        <w:t xml:space="preserve"> </w:t>
      </w:r>
      <w:r>
        <w:rPr>
          <w:rFonts w:ascii="Times New Roman" w:hAnsi="Times New Roman" w:cs="Times New Roman" w:hint="eastAsia"/>
          <w:b/>
          <w:sz w:val="21"/>
          <w:szCs w:val="21"/>
        </w:rPr>
        <w:t>mutations</w:t>
      </w:r>
      <w:r>
        <w:rPr>
          <w:rFonts w:ascii="Times New Roman" w:hAnsi="Times New Roman" w:cs="Times New Roman"/>
          <w:b/>
          <w:sz w:val="21"/>
          <w:szCs w:val="21"/>
        </w:rPr>
        <w:t xml:space="preserve"> </w:t>
      </w:r>
      <w:r>
        <w:rPr>
          <w:rFonts w:ascii="Times New Roman" w:hAnsi="Times New Roman" w:cs="Times New Roman" w:hint="eastAsia"/>
          <w:b/>
          <w:sz w:val="21"/>
          <w:szCs w:val="21"/>
        </w:rPr>
        <w:t>in</w:t>
      </w:r>
      <w:r>
        <w:rPr>
          <w:rFonts w:ascii="Times New Roman" w:hAnsi="Times New Roman" w:cs="Times New Roman"/>
          <w:b/>
          <w:sz w:val="21"/>
          <w:szCs w:val="21"/>
        </w:rPr>
        <w:t xml:space="preserve"> </w:t>
      </w:r>
      <w:r>
        <w:rPr>
          <w:rFonts w:ascii="Times New Roman" w:hAnsi="Times New Roman" w:cs="Times New Roman" w:hint="eastAsia"/>
          <w:b/>
          <w:i/>
          <w:iCs/>
          <w:sz w:val="21"/>
          <w:szCs w:val="21"/>
        </w:rPr>
        <w:t>KCNJ</w:t>
      </w:r>
      <w:r>
        <w:rPr>
          <w:rFonts w:ascii="Times New Roman" w:hAnsi="Times New Roman" w:cs="Times New Roman"/>
          <w:b/>
          <w:i/>
          <w:iCs/>
          <w:sz w:val="21"/>
          <w:szCs w:val="21"/>
        </w:rPr>
        <w:t>5</w:t>
      </w:r>
    </w:p>
    <w:p w14:paraId="671EA7C0" w14:textId="77777777" w:rsidR="00A077EE" w:rsidRDefault="00A077EE">
      <w:pPr>
        <w:pStyle w:val="af1"/>
        <w:adjustRightInd w:val="0"/>
        <w:snapToGrid w:val="0"/>
        <w:spacing w:line="360" w:lineRule="auto"/>
        <w:ind w:left="360" w:firstLineChars="0" w:firstLine="0"/>
        <w:jc w:val="both"/>
        <w:rPr>
          <w:rFonts w:ascii="Times New Roman" w:hAnsi="Times New Roman" w:cs="Times New Roman"/>
          <w:bCs/>
        </w:rPr>
      </w:pPr>
    </w:p>
    <w:p w14:paraId="1E1654C8" w14:textId="77777777" w:rsidR="00A077EE" w:rsidRDefault="00A077EE">
      <w:pPr>
        <w:adjustRightInd w:val="0"/>
        <w:snapToGrid w:val="0"/>
        <w:spacing w:line="360" w:lineRule="auto"/>
        <w:jc w:val="both"/>
        <w:rPr>
          <w:rFonts w:ascii="Times New Roman" w:hAnsi="Times New Roman" w:cs="Times New Roman"/>
          <w:b/>
        </w:rPr>
      </w:pPr>
    </w:p>
    <w:p w14:paraId="59BF42F0" w14:textId="77777777" w:rsidR="00A077EE" w:rsidRPr="0093527B" w:rsidRDefault="00D76748" w:rsidP="0093527B">
      <w:pPr>
        <w:pStyle w:val="af1"/>
        <w:numPr>
          <w:ilvl w:val="0"/>
          <w:numId w:val="3"/>
        </w:numPr>
        <w:adjustRightInd w:val="0"/>
        <w:snapToGrid w:val="0"/>
        <w:spacing w:line="360" w:lineRule="auto"/>
        <w:ind w:firstLineChars="0"/>
        <w:jc w:val="both"/>
        <w:rPr>
          <w:rFonts w:ascii="Times New Roman" w:hAnsi="Times New Roman" w:cs="Times New Roman"/>
          <w:b/>
        </w:rPr>
      </w:pPr>
      <w:r w:rsidRPr="0093527B">
        <w:rPr>
          <w:rFonts w:ascii="Times New Roman" w:hAnsi="Times New Roman" w:cs="Times New Roman" w:hint="eastAsia"/>
          <w:b/>
        </w:rPr>
        <w:t xml:space="preserve">Design of gene targeting </w:t>
      </w:r>
    </w:p>
    <w:p w14:paraId="1977D991" w14:textId="77777777" w:rsidR="00A077EE" w:rsidRDefault="00D76748">
      <w:pPr>
        <w:pStyle w:val="af1"/>
        <w:adjustRightInd w:val="0"/>
        <w:snapToGrid w:val="0"/>
        <w:spacing w:line="360" w:lineRule="auto"/>
        <w:ind w:firstLineChars="0" w:firstLine="0"/>
        <w:jc w:val="both"/>
        <w:rPr>
          <w:rFonts w:ascii="Times New Roman" w:hAnsi="Times New Roman" w:cs="Times New Roman"/>
          <w:b/>
          <w:color w:val="000000"/>
          <w:szCs w:val="21"/>
        </w:rPr>
      </w:pPr>
      <w:r>
        <w:rPr>
          <w:rFonts w:ascii="Times New Roman" w:hAnsi="Times New Roman" w:cs="Times New Roman"/>
          <w:b/>
          <w:noProof/>
          <w:color w:val="000000"/>
          <w:szCs w:val="21"/>
        </w:rPr>
        <w:lastRenderedPageBreak/>
        <w:drawing>
          <wp:inline distT="0" distB="0" distL="0" distR="0" wp14:anchorId="1D18E0E6" wp14:editId="5E7889AE">
            <wp:extent cx="5215890" cy="56464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extLst>
                        <a:ext uri="{28A0092B-C50C-407E-A947-70E740481C1C}">
                          <a14:useLocalDpi xmlns:a14="http://schemas.microsoft.com/office/drawing/2010/main" val="0"/>
                        </a:ext>
                      </a:extLst>
                    </a:blip>
                    <a:srcRect l="1108" t="4356"/>
                    <a:stretch>
                      <a:fillRect/>
                    </a:stretch>
                  </pic:blipFill>
                  <pic:spPr>
                    <a:xfrm>
                      <a:off x="0" y="0"/>
                      <a:ext cx="5215890" cy="5646420"/>
                    </a:xfrm>
                    <a:prstGeom prst="rect">
                      <a:avLst/>
                    </a:prstGeom>
                  </pic:spPr>
                </pic:pic>
              </a:graphicData>
            </a:graphic>
          </wp:inline>
        </w:drawing>
      </w:r>
    </w:p>
    <w:p w14:paraId="25E24421" w14:textId="77777777" w:rsidR="00A077EE" w:rsidRDefault="00D76748">
      <w:pPr>
        <w:pStyle w:val="af1"/>
        <w:adjustRightInd w:val="0"/>
        <w:snapToGrid w:val="0"/>
        <w:spacing w:line="360" w:lineRule="auto"/>
        <w:ind w:left="360" w:firstLineChars="0" w:firstLine="0"/>
        <w:jc w:val="center"/>
        <w:rPr>
          <w:rFonts w:ascii="Times New Roman" w:hAnsi="Times New Roman" w:cs="Times New Roman"/>
          <w:b/>
          <w:color w:val="000000"/>
          <w:sz w:val="21"/>
          <w:szCs w:val="18"/>
        </w:rPr>
      </w:pPr>
      <w:r>
        <w:rPr>
          <w:rFonts w:ascii="Times New Roman" w:hAnsi="Times New Roman" w:cs="Times New Roman" w:hint="eastAsia"/>
          <w:b/>
          <w:color w:val="000000"/>
          <w:sz w:val="21"/>
          <w:szCs w:val="18"/>
        </w:rPr>
        <w:t>Figure</w:t>
      </w:r>
      <w:r>
        <w:rPr>
          <w:rFonts w:ascii="Times New Roman" w:hAnsi="Times New Roman" w:cs="Times New Roman"/>
          <w:b/>
          <w:color w:val="000000"/>
          <w:sz w:val="21"/>
          <w:szCs w:val="18"/>
        </w:rPr>
        <w:t xml:space="preserve"> </w:t>
      </w:r>
      <w:r>
        <w:rPr>
          <w:rFonts w:ascii="Times New Roman" w:hAnsi="Times New Roman" w:cs="Times New Roman" w:hint="eastAsia"/>
          <w:b/>
          <w:color w:val="000000"/>
          <w:sz w:val="21"/>
          <w:szCs w:val="18"/>
        </w:rPr>
        <w:t>S</w:t>
      </w:r>
      <w:r>
        <w:rPr>
          <w:rFonts w:ascii="Times New Roman" w:hAnsi="Times New Roman" w:cs="Times New Roman"/>
          <w:b/>
          <w:color w:val="000000"/>
          <w:sz w:val="21"/>
          <w:szCs w:val="18"/>
        </w:rPr>
        <w:t>2 Schematic diagram of gene editing</w:t>
      </w:r>
    </w:p>
    <w:p w14:paraId="745C5F28" w14:textId="77777777" w:rsidR="00A077EE" w:rsidRDefault="00A077EE">
      <w:pPr>
        <w:pStyle w:val="af1"/>
        <w:adjustRightInd w:val="0"/>
        <w:snapToGrid w:val="0"/>
        <w:spacing w:line="360" w:lineRule="auto"/>
        <w:ind w:left="360" w:firstLineChars="0" w:firstLine="0"/>
        <w:jc w:val="both"/>
        <w:rPr>
          <w:rFonts w:ascii="Times New Roman" w:hAnsi="Times New Roman" w:cs="Times New Roman"/>
          <w:bCs/>
        </w:rPr>
      </w:pPr>
    </w:p>
    <w:p w14:paraId="16BB7214" w14:textId="77777777" w:rsidR="00A077EE" w:rsidRPr="0093527B" w:rsidRDefault="00D76748" w:rsidP="0093527B">
      <w:pPr>
        <w:pStyle w:val="af1"/>
        <w:numPr>
          <w:ilvl w:val="1"/>
          <w:numId w:val="3"/>
        </w:numPr>
        <w:spacing w:line="360" w:lineRule="auto"/>
        <w:ind w:firstLineChars="0"/>
        <w:jc w:val="both"/>
        <w:rPr>
          <w:rFonts w:ascii="Times New Roman" w:hAnsi="Times New Roman" w:cs="Times New Roman"/>
          <w:b/>
        </w:rPr>
      </w:pPr>
      <w:bookmarkStart w:id="0" w:name="_Hlk98234426"/>
      <w:r w:rsidRPr="0093527B">
        <w:rPr>
          <w:rFonts w:ascii="Times New Roman" w:hAnsi="Times New Roman" w:cs="Times New Roman" w:hint="eastAsia"/>
          <w:b/>
        </w:rPr>
        <w:t>sgRNA design and activity detection</w:t>
      </w:r>
    </w:p>
    <w:p w14:paraId="30141626" w14:textId="77777777" w:rsidR="00A077EE" w:rsidRDefault="00D76748">
      <w:pPr>
        <w:spacing w:line="360" w:lineRule="auto"/>
        <w:ind w:firstLineChars="150" w:firstLine="360"/>
        <w:jc w:val="both"/>
        <w:rPr>
          <w:rFonts w:ascii="Times New Roman" w:hAnsi="Times New Roman" w:cs="Times New Roman"/>
          <w:szCs w:val="21"/>
        </w:rPr>
      </w:pPr>
      <w:r>
        <w:rPr>
          <w:rFonts w:ascii="Times New Roman" w:hAnsi="Times New Roman" w:cs="Times New Roman"/>
          <w:bCs/>
        </w:rPr>
        <w:t>A total of 17 guide RNAs were designed</w:t>
      </w:r>
      <w:bookmarkEnd w:id="0"/>
      <w:r>
        <w:rPr>
          <w:rFonts w:ascii="Times New Roman" w:hAnsi="Times New Roman" w:cs="Times New Roman" w:hint="eastAsia"/>
          <w:bCs/>
        </w:rPr>
        <w:t xml:space="preserve"> as shown </w:t>
      </w:r>
      <w:r w:rsidRPr="00FF1E79">
        <w:rPr>
          <w:rFonts w:ascii="Times New Roman" w:hAnsi="Times New Roman" w:cs="Times New Roman" w:hint="eastAsia"/>
          <w:bCs/>
          <w:color w:val="000000" w:themeColor="text1"/>
        </w:rPr>
        <w:t>in</w:t>
      </w:r>
      <w:r w:rsidRPr="00FF1E79">
        <w:rPr>
          <w:rFonts w:ascii="Times New Roman" w:hAnsi="Times New Roman" w:cs="Times New Roman"/>
          <w:bCs/>
          <w:color w:val="000000" w:themeColor="text1"/>
        </w:rPr>
        <w:t xml:space="preserve"> Table S1. </w:t>
      </w:r>
      <w:r>
        <w:rPr>
          <w:rFonts w:ascii="Times New Roman" w:hAnsi="Times New Roman" w:cs="Times New Roman" w:hint="eastAsia"/>
          <w:bCs/>
        </w:rPr>
        <w:t>Among the 17 sgRNAs, sgRNA4 and sgRNA16 have the highest activity (Figure S3) and will be used for subsequent targeting experiments.</w:t>
      </w:r>
    </w:p>
    <w:p w14:paraId="0DA28214" w14:textId="77777777" w:rsidR="00A077EE" w:rsidRDefault="00D76748">
      <w:pPr>
        <w:spacing w:line="360" w:lineRule="auto"/>
        <w:jc w:val="center"/>
        <w:rPr>
          <w:rFonts w:ascii="Times New Roman" w:hAnsi="Times New Roman" w:cs="Times New Roman"/>
          <w:szCs w:val="21"/>
        </w:rPr>
      </w:pPr>
      <w:r>
        <w:rPr>
          <w:rFonts w:ascii="Times New Roman" w:hAnsi="Times New Roman" w:cs="Times New Roman" w:hint="eastAsia"/>
          <w:noProof/>
          <w:szCs w:val="21"/>
        </w:rPr>
        <w:lastRenderedPageBreak/>
        <w:drawing>
          <wp:inline distT="0" distB="0" distL="114300" distR="114300" wp14:anchorId="5146C5E8" wp14:editId="23232C20">
            <wp:extent cx="5269230" cy="2263775"/>
            <wp:effectExtent l="0" t="0" r="7620" b="3175"/>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8"/>
                    <a:stretch>
                      <a:fillRect/>
                    </a:stretch>
                  </pic:blipFill>
                  <pic:spPr>
                    <a:xfrm>
                      <a:off x="0" y="0"/>
                      <a:ext cx="5269230" cy="2263775"/>
                    </a:xfrm>
                    <a:prstGeom prst="rect">
                      <a:avLst/>
                    </a:prstGeom>
                  </pic:spPr>
                </pic:pic>
              </a:graphicData>
            </a:graphic>
          </wp:inline>
        </w:drawing>
      </w:r>
    </w:p>
    <w:p w14:paraId="2E64FDAD" w14:textId="77777777" w:rsidR="00A077EE" w:rsidRDefault="00D76748">
      <w:pPr>
        <w:pStyle w:val="af1"/>
        <w:adjustRightInd w:val="0"/>
        <w:snapToGrid w:val="0"/>
        <w:spacing w:line="360" w:lineRule="auto"/>
        <w:ind w:left="360" w:firstLineChars="0" w:firstLine="0"/>
        <w:jc w:val="center"/>
        <w:rPr>
          <w:rFonts w:ascii="Times New Roman" w:hAnsi="Times New Roman" w:cs="Times New Roman"/>
          <w:b/>
          <w:color w:val="000000"/>
          <w:sz w:val="21"/>
          <w:szCs w:val="18"/>
        </w:rPr>
      </w:pPr>
      <w:r>
        <w:rPr>
          <w:rFonts w:ascii="Times New Roman" w:hAnsi="Times New Roman" w:cs="Times New Roman" w:hint="eastAsia"/>
          <w:b/>
          <w:color w:val="000000"/>
          <w:sz w:val="21"/>
          <w:szCs w:val="18"/>
        </w:rPr>
        <w:t>Figure</w:t>
      </w:r>
      <w:r>
        <w:rPr>
          <w:rFonts w:ascii="Times New Roman" w:hAnsi="Times New Roman" w:cs="Times New Roman"/>
          <w:b/>
          <w:color w:val="000000"/>
          <w:sz w:val="21"/>
          <w:szCs w:val="18"/>
        </w:rPr>
        <w:t xml:space="preserve"> </w:t>
      </w:r>
      <w:r>
        <w:rPr>
          <w:rFonts w:ascii="Times New Roman" w:hAnsi="Times New Roman" w:cs="Times New Roman" w:hint="eastAsia"/>
          <w:b/>
          <w:color w:val="000000"/>
          <w:sz w:val="21"/>
          <w:szCs w:val="18"/>
        </w:rPr>
        <w:t>S</w:t>
      </w:r>
      <w:r>
        <w:rPr>
          <w:rFonts w:ascii="Times New Roman" w:hAnsi="Times New Roman" w:cs="Times New Roman"/>
          <w:b/>
          <w:color w:val="000000"/>
          <w:sz w:val="21"/>
          <w:szCs w:val="18"/>
        </w:rPr>
        <w:t>3 A total of 17 guide RNAs were designed</w:t>
      </w:r>
    </w:p>
    <w:p w14:paraId="7364A977" w14:textId="77777777" w:rsidR="00A077EE" w:rsidRDefault="00A077EE">
      <w:pPr>
        <w:pStyle w:val="af1"/>
        <w:adjustRightInd w:val="0"/>
        <w:snapToGrid w:val="0"/>
        <w:spacing w:line="360" w:lineRule="auto"/>
        <w:ind w:left="360" w:firstLineChars="0" w:firstLine="0"/>
        <w:jc w:val="both"/>
        <w:rPr>
          <w:rFonts w:ascii="Times New Roman" w:hAnsi="Times New Roman" w:cs="Times New Roman"/>
          <w:bCs/>
        </w:rPr>
      </w:pPr>
    </w:p>
    <w:p w14:paraId="77C62F57" w14:textId="77777777" w:rsidR="00A077EE" w:rsidRDefault="00D76748" w:rsidP="0093527B">
      <w:pPr>
        <w:pStyle w:val="af1"/>
        <w:numPr>
          <w:ilvl w:val="1"/>
          <w:numId w:val="3"/>
        </w:numPr>
        <w:spacing w:line="360" w:lineRule="auto"/>
        <w:ind w:firstLineChars="0"/>
        <w:jc w:val="both"/>
        <w:rPr>
          <w:rFonts w:ascii="Times New Roman" w:hAnsi="Times New Roman" w:cs="Times New Roman"/>
          <w:b/>
        </w:rPr>
      </w:pPr>
      <w:r>
        <w:rPr>
          <w:rFonts w:ascii="Times New Roman" w:hAnsi="Times New Roman" w:cs="Times New Roman" w:hint="eastAsia"/>
          <w:b/>
        </w:rPr>
        <w:t xml:space="preserve">Construct Targeting vector </w:t>
      </w:r>
    </w:p>
    <w:p w14:paraId="09131937" w14:textId="77777777" w:rsidR="00A077EE" w:rsidRPr="0093527B" w:rsidRDefault="00D76748" w:rsidP="0093527B">
      <w:pPr>
        <w:pStyle w:val="af1"/>
        <w:numPr>
          <w:ilvl w:val="2"/>
          <w:numId w:val="3"/>
        </w:numPr>
        <w:spacing w:line="360" w:lineRule="auto"/>
        <w:ind w:firstLineChars="0"/>
        <w:jc w:val="both"/>
        <w:rPr>
          <w:rFonts w:ascii="Times New Roman" w:hAnsi="Times New Roman" w:cs="Times New Roman"/>
          <w:b/>
          <w:szCs w:val="21"/>
        </w:rPr>
      </w:pPr>
      <w:r w:rsidRPr="0093527B">
        <w:rPr>
          <w:rFonts w:ascii="Times New Roman" w:hAnsi="Times New Roman" w:cs="Times New Roman"/>
          <w:szCs w:val="21"/>
        </w:rPr>
        <w:t>Fragment amplification and sequencing primer design</w:t>
      </w:r>
    </w:p>
    <w:p w14:paraId="3CBB0927" w14:textId="77777777" w:rsidR="00A077EE" w:rsidRDefault="00D76748">
      <w:pPr>
        <w:spacing w:line="360" w:lineRule="auto"/>
        <w:ind w:firstLineChars="150" w:firstLine="360"/>
        <w:jc w:val="both"/>
        <w:rPr>
          <w:rFonts w:ascii="Times New Roman" w:hAnsi="Times New Roman" w:cs="Times New Roman"/>
          <w:szCs w:val="21"/>
        </w:rPr>
      </w:pPr>
      <w:r>
        <w:rPr>
          <w:rFonts w:ascii="Times New Roman" w:hAnsi="Times New Roman" w:cs="Times New Roman" w:hint="eastAsia"/>
          <w:szCs w:val="21"/>
        </w:rPr>
        <w:t>The</w:t>
      </w:r>
      <w:r>
        <w:rPr>
          <w:rFonts w:ascii="Times New Roman" w:hAnsi="Times New Roman" w:cs="Times New Roman"/>
          <w:szCs w:val="21"/>
        </w:rPr>
        <w:t xml:space="preserve"> </w:t>
      </w:r>
      <w:r>
        <w:rPr>
          <w:rFonts w:ascii="Times New Roman" w:hAnsi="Times New Roman" w:cs="Times New Roman" w:hint="eastAsia"/>
          <w:szCs w:val="21"/>
        </w:rPr>
        <w:t>anti-</w:t>
      </w:r>
      <w:r>
        <w:rPr>
          <w:rFonts w:ascii="Times New Roman" w:hAnsi="Times New Roman" w:cs="Times New Roman"/>
          <w:szCs w:val="21"/>
        </w:rPr>
        <w:t xml:space="preserve">PURO targeting vectors and </w:t>
      </w:r>
      <w:r>
        <w:rPr>
          <w:rFonts w:ascii="Times New Roman" w:hAnsi="Times New Roman" w:cs="Times New Roman" w:hint="eastAsia"/>
          <w:szCs w:val="21"/>
        </w:rPr>
        <w:t>anti-</w:t>
      </w:r>
      <w:r>
        <w:rPr>
          <w:rFonts w:ascii="Times New Roman" w:hAnsi="Times New Roman" w:cs="Times New Roman"/>
          <w:szCs w:val="21"/>
        </w:rPr>
        <w:t>NEO targeting vectors were constructed, and A1 (937bp) was amplified by primers A-F and A-R (in), A2(1408bp) was amplified by primers A-F (in) and A-R, and A (2303bp) was amplified by overlap PCR. Table S2 (Figure S4).</w:t>
      </w:r>
    </w:p>
    <w:p w14:paraId="6E5B0384" w14:textId="77777777" w:rsidR="00A077EE" w:rsidRDefault="00D76748">
      <w:pPr>
        <w:spacing w:line="360" w:lineRule="auto"/>
        <w:jc w:val="center"/>
        <w:rPr>
          <w:rFonts w:ascii="Times New Roman" w:hAnsi="Times New Roman" w:cs="Times New Roman"/>
          <w:szCs w:val="21"/>
        </w:rPr>
      </w:pPr>
      <w:r>
        <w:rPr>
          <w:noProof/>
        </w:rPr>
        <w:drawing>
          <wp:inline distT="0" distB="0" distL="0" distR="0" wp14:anchorId="17608F1C" wp14:editId="6E5EE396">
            <wp:extent cx="4192905" cy="1374775"/>
            <wp:effectExtent l="0" t="0" r="17145" b="158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192905" cy="1374775"/>
                    </a:xfrm>
                    <a:prstGeom prst="rect">
                      <a:avLst/>
                    </a:prstGeom>
                  </pic:spPr>
                </pic:pic>
              </a:graphicData>
            </a:graphic>
          </wp:inline>
        </w:drawing>
      </w:r>
    </w:p>
    <w:p w14:paraId="34A2E3CD" w14:textId="77777777" w:rsidR="00A077EE" w:rsidRDefault="00D76748">
      <w:pPr>
        <w:spacing w:line="360" w:lineRule="auto"/>
        <w:jc w:val="center"/>
        <w:rPr>
          <w:rFonts w:ascii="Times New Roman" w:hAnsi="Times New Roman" w:cs="Times New Roman"/>
          <w:sz w:val="21"/>
          <w:szCs w:val="18"/>
        </w:rPr>
      </w:pPr>
      <w:r>
        <w:rPr>
          <w:rFonts w:ascii="Times New Roman" w:hAnsi="Times New Roman" w:cs="Times New Roman" w:hint="eastAsia"/>
          <w:b/>
          <w:color w:val="000000"/>
          <w:sz w:val="21"/>
          <w:szCs w:val="18"/>
        </w:rPr>
        <w:t>Figure</w:t>
      </w:r>
      <w:r>
        <w:rPr>
          <w:rFonts w:ascii="Times New Roman" w:hAnsi="Times New Roman" w:cs="Times New Roman"/>
          <w:b/>
          <w:color w:val="000000"/>
          <w:sz w:val="21"/>
          <w:szCs w:val="18"/>
        </w:rPr>
        <w:t xml:space="preserve"> </w:t>
      </w:r>
      <w:r>
        <w:rPr>
          <w:rFonts w:ascii="Times New Roman" w:hAnsi="Times New Roman" w:cs="Times New Roman" w:hint="eastAsia"/>
          <w:b/>
          <w:color w:val="000000"/>
          <w:sz w:val="21"/>
          <w:szCs w:val="18"/>
        </w:rPr>
        <w:t>S</w:t>
      </w:r>
      <w:r>
        <w:rPr>
          <w:rFonts w:ascii="Times New Roman" w:hAnsi="Times New Roman" w:cs="Times New Roman"/>
          <w:b/>
          <w:color w:val="000000"/>
          <w:sz w:val="21"/>
          <w:szCs w:val="18"/>
        </w:rPr>
        <w:t>4 Construct Targeting vector</w:t>
      </w:r>
    </w:p>
    <w:p w14:paraId="680A0B42" w14:textId="77777777" w:rsidR="00A077EE" w:rsidRDefault="00D76748" w:rsidP="0093527B">
      <w:pPr>
        <w:pStyle w:val="af1"/>
        <w:numPr>
          <w:ilvl w:val="2"/>
          <w:numId w:val="3"/>
        </w:numPr>
        <w:spacing w:line="360" w:lineRule="auto"/>
        <w:ind w:firstLineChars="0"/>
        <w:jc w:val="both"/>
        <w:rPr>
          <w:rFonts w:ascii="Times New Roman" w:hAnsi="Times New Roman" w:cs="Times New Roman"/>
          <w:szCs w:val="21"/>
        </w:rPr>
      </w:pPr>
      <w:r>
        <w:rPr>
          <w:rFonts w:ascii="Times New Roman" w:hAnsi="Times New Roman" w:cs="Times New Roman"/>
          <w:szCs w:val="21"/>
        </w:rPr>
        <w:t xml:space="preserve">Digestion verification of </w:t>
      </w:r>
      <w:r>
        <w:rPr>
          <w:rFonts w:ascii="Times New Roman" w:hAnsi="Times New Roman" w:cs="Times New Roman" w:hint="eastAsia"/>
          <w:szCs w:val="21"/>
        </w:rPr>
        <w:t>the</w:t>
      </w:r>
      <w:r>
        <w:rPr>
          <w:rFonts w:ascii="Times New Roman" w:hAnsi="Times New Roman" w:cs="Times New Roman"/>
          <w:szCs w:val="21"/>
        </w:rPr>
        <w:t xml:space="preserve"> CL-CYH-009</w:t>
      </w:r>
      <w:r>
        <w:rPr>
          <w:rFonts w:ascii="Times New Roman" w:hAnsi="Times New Roman" w:cs="Times New Roman" w:hint="eastAsia"/>
          <w:szCs w:val="21"/>
        </w:rPr>
        <w:t>-puro-</w:t>
      </w:r>
      <w:r>
        <w:rPr>
          <w:rFonts w:ascii="Times New Roman" w:hAnsi="Times New Roman" w:cs="Times New Roman" w:hint="eastAsia"/>
          <w:szCs w:val="21"/>
        </w:rPr>
        <w:t>Δ</w:t>
      </w:r>
      <w:r>
        <w:rPr>
          <w:rFonts w:ascii="Times New Roman" w:hAnsi="Times New Roman" w:cs="Times New Roman" w:hint="eastAsia"/>
          <w:szCs w:val="21"/>
        </w:rPr>
        <w:t>TK</w:t>
      </w:r>
    </w:p>
    <w:p w14:paraId="645ED05F" w14:textId="77777777" w:rsidR="00A077EE" w:rsidRDefault="00D76748">
      <w:pPr>
        <w:pStyle w:val="af1"/>
        <w:spacing w:line="360" w:lineRule="auto"/>
        <w:ind w:firstLineChars="0"/>
        <w:jc w:val="both"/>
        <w:rPr>
          <w:rFonts w:ascii="Times New Roman" w:hAnsi="Times New Roman" w:cs="Times New Roman"/>
          <w:b/>
          <w:szCs w:val="21"/>
        </w:rPr>
      </w:pPr>
      <w:r>
        <w:rPr>
          <w:rFonts w:ascii="Times New Roman" w:hAnsi="Times New Roman" w:cs="Times New Roman"/>
          <w:szCs w:val="21"/>
        </w:rPr>
        <w:t xml:space="preserve">LR (1348bp), RR(1400bp) and A were </w:t>
      </w:r>
      <w:r>
        <w:rPr>
          <w:rFonts w:ascii="Times New Roman" w:hAnsi="Times New Roman" w:cs="Times New Roman" w:hint="eastAsia"/>
          <w:szCs w:val="21"/>
        </w:rPr>
        <w:t>ligat</w:t>
      </w:r>
      <w:r>
        <w:rPr>
          <w:rFonts w:ascii="Times New Roman" w:hAnsi="Times New Roman" w:cs="Times New Roman"/>
          <w:szCs w:val="21"/>
        </w:rPr>
        <w:t>ed to lSCKO-4G vector</w:t>
      </w:r>
      <w:r>
        <w:rPr>
          <w:rFonts w:ascii="Times New Roman" w:hAnsi="Times New Roman" w:cs="Times New Roman" w:hint="eastAsia"/>
          <w:szCs w:val="21"/>
        </w:rPr>
        <w:t>，</w:t>
      </w:r>
      <w:r>
        <w:rPr>
          <w:rFonts w:ascii="Times New Roman" w:hAnsi="Times New Roman" w:cs="Times New Roman"/>
          <w:szCs w:val="21"/>
        </w:rPr>
        <w:t xml:space="preserve"> to </w:t>
      </w:r>
      <w:r>
        <w:rPr>
          <w:rFonts w:ascii="Times New Roman" w:hAnsi="Times New Roman" w:cs="Times New Roman" w:hint="eastAsia"/>
          <w:szCs w:val="21"/>
        </w:rPr>
        <w:t>gain</w:t>
      </w:r>
      <w:r>
        <w:rPr>
          <w:rFonts w:ascii="Times New Roman" w:hAnsi="Times New Roman" w:cs="Times New Roman"/>
          <w:szCs w:val="21"/>
        </w:rPr>
        <w:t xml:space="preserve"> the final target</w:t>
      </w:r>
      <w:r>
        <w:rPr>
          <w:rFonts w:ascii="Times New Roman" w:hAnsi="Times New Roman" w:cs="Times New Roman" w:hint="eastAsia"/>
          <w:szCs w:val="21"/>
        </w:rPr>
        <w:t>ing</w:t>
      </w:r>
      <w:r>
        <w:rPr>
          <w:rFonts w:ascii="Times New Roman" w:hAnsi="Times New Roman" w:cs="Times New Roman"/>
          <w:szCs w:val="21"/>
        </w:rPr>
        <w:t xml:space="preserve"> vector CL-CYH-009</w:t>
      </w:r>
      <w:r>
        <w:rPr>
          <w:rFonts w:ascii="Times New Roman" w:hAnsi="Times New Roman" w:cs="Times New Roman" w:hint="eastAsia"/>
          <w:szCs w:val="21"/>
        </w:rPr>
        <w:t>-puro-</w:t>
      </w:r>
      <w:r>
        <w:rPr>
          <w:rFonts w:ascii="Times New Roman" w:hAnsi="Times New Roman" w:cs="Times New Roman" w:hint="eastAsia"/>
          <w:szCs w:val="21"/>
        </w:rPr>
        <w:t>Δ</w:t>
      </w:r>
      <w:r>
        <w:rPr>
          <w:rFonts w:ascii="Times New Roman" w:hAnsi="Times New Roman" w:cs="Times New Roman" w:hint="eastAsia"/>
          <w:szCs w:val="21"/>
        </w:rPr>
        <w:t>TK</w:t>
      </w:r>
      <w:r>
        <w:rPr>
          <w:rFonts w:ascii="Times New Roman" w:hAnsi="Times New Roman" w:cs="Times New Roman"/>
          <w:szCs w:val="21"/>
        </w:rPr>
        <w:t xml:space="preserve">. The Cl-CyH-009-PURO - δ TK was </w:t>
      </w:r>
      <w:r>
        <w:rPr>
          <w:rFonts w:ascii="Times New Roman" w:hAnsi="Times New Roman" w:cs="Times New Roman" w:hint="eastAsia"/>
          <w:szCs w:val="21"/>
        </w:rPr>
        <w:t>d</w:t>
      </w:r>
      <w:r>
        <w:rPr>
          <w:rFonts w:ascii="Times New Roman" w:hAnsi="Times New Roman" w:cs="Times New Roman"/>
          <w:szCs w:val="21"/>
        </w:rPr>
        <w:t>igest</w:t>
      </w:r>
      <w:r>
        <w:rPr>
          <w:rFonts w:ascii="Times New Roman" w:hAnsi="Times New Roman" w:cs="Times New Roman" w:hint="eastAsia"/>
          <w:szCs w:val="21"/>
        </w:rPr>
        <w:t>ed</w:t>
      </w:r>
      <w:r>
        <w:rPr>
          <w:rFonts w:ascii="Times New Roman" w:hAnsi="Times New Roman" w:cs="Times New Roman"/>
          <w:szCs w:val="21"/>
        </w:rPr>
        <w:t>. The CL-CYH-009</w:t>
      </w:r>
      <w:r>
        <w:rPr>
          <w:rFonts w:ascii="Times New Roman" w:hAnsi="Times New Roman" w:cs="Times New Roman" w:hint="eastAsia"/>
          <w:szCs w:val="21"/>
        </w:rPr>
        <w:t>-puro-</w:t>
      </w:r>
      <w:r>
        <w:rPr>
          <w:rFonts w:ascii="Times New Roman" w:hAnsi="Times New Roman" w:cs="Times New Roman" w:hint="eastAsia"/>
          <w:szCs w:val="21"/>
        </w:rPr>
        <w:t>Δ</w:t>
      </w:r>
      <w:r>
        <w:rPr>
          <w:rFonts w:ascii="Times New Roman" w:hAnsi="Times New Roman" w:cs="Times New Roman" w:hint="eastAsia"/>
          <w:szCs w:val="21"/>
        </w:rPr>
        <w:t>TK</w:t>
      </w: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hint="eastAsia"/>
          <w:szCs w:val="21"/>
        </w:rPr>
        <w:t>）</w:t>
      </w:r>
      <w:r>
        <w:rPr>
          <w:rFonts w:ascii="Times New Roman" w:hAnsi="Times New Roman" w:cs="Times New Roman"/>
          <w:szCs w:val="21"/>
        </w:rPr>
        <w:t xml:space="preserve"> was digested by SalI+Xhol, NcoI and Hind III +BamHI. Respectively. The length of the product was as expected ( 7944bp+ 2289bp, 5827bp+3536bp+870bp and 7660bp+2573bp)</w:t>
      </w:r>
      <w:r>
        <w:rPr>
          <w:rFonts w:ascii="Times New Roman" w:hAnsi="Times New Roman" w:cs="Times New Roman" w:hint="eastAsia"/>
          <w:szCs w:val="21"/>
        </w:rPr>
        <w:t xml:space="preserve"> </w:t>
      </w:r>
      <w:r>
        <w:rPr>
          <w:rFonts w:ascii="Times New Roman" w:hAnsi="Times New Roman" w:cs="Times New Roman"/>
          <w:szCs w:val="21"/>
        </w:rPr>
        <w:t>(</w:t>
      </w:r>
      <w:r>
        <w:rPr>
          <w:rFonts w:ascii="Times New Roman" w:hAnsi="Times New Roman" w:cs="Times New Roman" w:hint="eastAsia"/>
          <w:b/>
          <w:color w:val="000000"/>
          <w:szCs w:val="21"/>
        </w:rPr>
        <w:t>Figure</w:t>
      </w:r>
      <w:r>
        <w:rPr>
          <w:rFonts w:ascii="Times New Roman" w:hAnsi="Times New Roman" w:cs="Times New Roman"/>
          <w:b/>
          <w:color w:val="000000"/>
          <w:szCs w:val="21"/>
        </w:rPr>
        <w:t xml:space="preserve"> </w:t>
      </w:r>
      <w:r>
        <w:rPr>
          <w:rFonts w:ascii="Times New Roman" w:hAnsi="Times New Roman" w:cs="Times New Roman" w:hint="eastAsia"/>
          <w:b/>
          <w:color w:val="000000"/>
          <w:szCs w:val="21"/>
        </w:rPr>
        <w:t>S</w:t>
      </w:r>
      <w:r>
        <w:rPr>
          <w:rFonts w:ascii="Times New Roman" w:hAnsi="Times New Roman" w:cs="Times New Roman"/>
          <w:b/>
          <w:color w:val="000000"/>
          <w:szCs w:val="21"/>
        </w:rPr>
        <w:t>5</w:t>
      </w:r>
      <w:r>
        <w:rPr>
          <w:rFonts w:ascii="Times New Roman" w:hAnsi="Times New Roman" w:cs="Times New Roman"/>
          <w:szCs w:val="21"/>
        </w:rPr>
        <w:t>)</w:t>
      </w:r>
      <w:r>
        <w:rPr>
          <w:rFonts w:ascii="Times New Roman" w:hAnsi="Times New Roman" w:cs="Times New Roman" w:hint="eastAsia"/>
          <w:szCs w:val="21"/>
        </w:rPr>
        <w:t>.</w:t>
      </w:r>
    </w:p>
    <w:p w14:paraId="246CADD8" w14:textId="77777777" w:rsidR="00A077EE" w:rsidRDefault="00D76748">
      <w:pPr>
        <w:pStyle w:val="af1"/>
        <w:adjustRightInd w:val="0"/>
        <w:snapToGrid w:val="0"/>
        <w:spacing w:line="360" w:lineRule="auto"/>
        <w:ind w:firstLine="480"/>
        <w:jc w:val="center"/>
        <w:rPr>
          <w:rFonts w:ascii="Times New Roman" w:hAnsi="Times New Roman" w:cs="Times New Roman"/>
          <w:szCs w:val="21"/>
        </w:rPr>
      </w:pPr>
      <w:r>
        <w:rPr>
          <w:noProof/>
        </w:rPr>
        <w:lastRenderedPageBreak/>
        <w:drawing>
          <wp:inline distT="0" distB="0" distL="0" distR="0" wp14:anchorId="494DD718" wp14:editId="4A41993F">
            <wp:extent cx="1742440" cy="1522730"/>
            <wp:effectExtent l="0" t="0" r="1016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42440" cy="1522730"/>
                    </a:xfrm>
                    <a:prstGeom prst="rect">
                      <a:avLst/>
                    </a:prstGeom>
                  </pic:spPr>
                </pic:pic>
              </a:graphicData>
            </a:graphic>
          </wp:inline>
        </w:drawing>
      </w:r>
    </w:p>
    <w:p w14:paraId="78560F6E" w14:textId="77777777" w:rsidR="00A077EE" w:rsidRDefault="00D76748">
      <w:pPr>
        <w:pStyle w:val="af1"/>
        <w:adjustRightInd w:val="0"/>
        <w:snapToGrid w:val="0"/>
        <w:spacing w:line="360" w:lineRule="auto"/>
        <w:ind w:firstLine="428"/>
        <w:jc w:val="center"/>
        <w:rPr>
          <w:rFonts w:ascii="Times New Roman" w:hAnsi="Times New Roman" w:cs="Times New Roman"/>
          <w:b/>
          <w:sz w:val="21"/>
          <w:szCs w:val="18"/>
        </w:rPr>
      </w:pPr>
      <w:r>
        <w:rPr>
          <w:rFonts w:ascii="Times New Roman" w:hAnsi="Times New Roman" w:cs="Times New Roman" w:hint="eastAsia"/>
          <w:b/>
          <w:color w:val="000000"/>
          <w:sz w:val="21"/>
          <w:szCs w:val="18"/>
        </w:rPr>
        <w:t>Figure</w:t>
      </w:r>
      <w:r>
        <w:rPr>
          <w:rFonts w:ascii="Times New Roman" w:hAnsi="Times New Roman" w:cs="Times New Roman"/>
          <w:b/>
          <w:color w:val="000000"/>
          <w:sz w:val="21"/>
          <w:szCs w:val="18"/>
        </w:rPr>
        <w:t xml:space="preserve"> </w:t>
      </w:r>
      <w:r>
        <w:rPr>
          <w:rFonts w:ascii="Times New Roman" w:hAnsi="Times New Roman" w:cs="Times New Roman" w:hint="eastAsia"/>
          <w:b/>
          <w:color w:val="000000"/>
          <w:sz w:val="21"/>
          <w:szCs w:val="18"/>
        </w:rPr>
        <w:t>S</w:t>
      </w:r>
      <w:r>
        <w:rPr>
          <w:rFonts w:ascii="Times New Roman" w:hAnsi="Times New Roman" w:cs="Times New Roman"/>
          <w:b/>
          <w:color w:val="000000"/>
          <w:sz w:val="21"/>
          <w:szCs w:val="18"/>
        </w:rPr>
        <w:t xml:space="preserve">5 </w:t>
      </w:r>
      <w:r>
        <w:rPr>
          <w:rFonts w:ascii="Times New Roman" w:hAnsi="Times New Roman" w:cs="Times New Roman"/>
          <w:b/>
          <w:sz w:val="21"/>
          <w:szCs w:val="18"/>
        </w:rPr>
        <w:t xml:space="preserve">Digestion verification of </w:t>
      </w:r>
      <w:r>
        <w:rPr>
          <w:rFonts w:ascii="Times New Roman" w:hAnsi="Times New Roman" w:cs="Times New Roman" w:hint="eastAsia"/>
          <w:b/>
          <w:sz w:val="21"/>
          <w:szCs w:val="18"/>
        </w:rPr>
        <w:t>the</w:t>
      </w:r>
      <w:r>
        <w:rPr>
          <w:rFonts w:ascii="Times New Roman" w:hAnsi="Times New Roman" w:cs="Times New Roman"/>
          <w:b/>
          <w:sz w:val="21"/>
          <w:szCs w:val="18"/>
        </w:rPr>
        <w:t xml:space="preserve"> CL-CYH-009</w:t>
      </w:r>
      <w:r>
        <w:rPr>
          <w:rFonts w:ascii="Times New Roman" w:hAnsi="Times New Roman" w:cs="Times New Roman" w:hint="eastAsia"/>
          <w:b/>
          <w:sz w:val="21"/>
          <w:szCs w:val="18"/>
        </w:rPr>
        <w:t>-puro-</w:t>
      </w:r>
      <w:r>
        <w:rPr>
          <w:rFonts w:ascii="Times New Roman" w:hAnsi="Times New Roman" w:cs="Times New Roman" w:hint="eastAsia"/>
          <w:b/>
          <w:sz w:val="21"/>
          <w:szCs w:val="18"/>
        </w:rPr>
        <w:t>Δ</w:t>
      </w:r>
      <w:r>
        <w:rPr>
          <w:rFonts w:ascii="Times New Roman" w:hAnsi="Times New Roman" w:cs="Times New Roman" w:hint="eastAsia"/>
          <w:b/>
          <w:sz w:val="21"/>
          <w:szCs w:val="18"/>
        </w:rPr>
        <w:t>TK</w:t>
      </w:r>
    </w:p>
    <w:p w14:paraId="189AF89B" w14:textId="77777777" w:rsidR="00A077EE" w:rsidRDefault="00D76748" w:rsidP="0093527B">
      <w:pPr>
        <w:pStyle w:val="af1"/>
        <w:numPr>
          <w:ilvl w:val="2"/>
          <w:numId w:val="3"/>
        </w:numPr>
        <w:spacing w:line="360" w:lineRule="auto"/>
        <w:ind w:firstLineChars="0"/>
        <w:jc w:val="both"/>
        <w:rPr>
          <w:rFonts w:ascii="Times New Roman" w:hAnsi="Times New Roman" w:cs="Times New Roman"/>
          <w:szCs w:val="21"/>
        </w:rPr>
      </w:pPr>
      <w:r>
        <w:rPr>
          <w:rFonts w:ascii="Times New Roman" w:hAnsi="Times New Roman" w:cs="Times New Roman"/>
          <w:szCs w:val="21"/>
        </w:rPr>
        <w:t xml:space="preserve">Digestion verification of </w:t>
      </w:r>
      <w:r>
        <w:rPr>
          <w:rFonts w:ascii="Times New Roman" w:hAnsi="Times New Roman" w:cs="Times New Roman" w:hint="eastAsia"/>
          <w:szCs w:val="21"/>
        </w:rPr>
        <w:t>the</w:t>
      </w:r>
      <w:r>
        <w:rPr>
          <w:rFonts w:ascii="Times New Roman" w:hAnsi="Times New Roman" w:cs="Times New Roman"/>
          <w:szCs w:val="21"/>
        </w:rPr>
        <w:t xml:space="preserve"> CL-CYH-009</w:t>
      </w:r>
      <w:r>
        <w:rPr>
          <w:rFonts w:ascii="Times New Roman" w:hAnsi="Times New Roman" w:cs="Times New Roman" w:hint="eastAsia"/>
          <w:szCs w:val="21"/>
        </w:rPr>
        <w:t>-</w:t>
      </w:r>
      <w:r>
        <w:rPr>
          <w:rFonts w:ascii="Times New Roman" w:hAnsi="Times New Roman" w:cs="Times New Roman" w:hint="eastAsia"/>
          <w:szCs w:val="21"/>
        </w:rPr>
        <w:t>Δ</w:t>
      </w:r>
      <w:r>
        <w:rPr>
          <w:rFonts w:ascii="Times New Roman" w:hAnsi="Times New Roman" w:cs="Times New Roman" w:hint="eastAsia"/>
          <w:szCs w:val="21"/>
        </w:rPr>
        <w:t>TK</w:t>
      </w:r>
      <w:r>
        <w:rPr>
          <w:rFonts w:ascii="Times New Roman" w:hAnsi="Times New Roman" w:cs="Times New Roman"/>
          <w:szCs w:val="21"/>
        </w:rPr>
        <w:t>-P2A-neo</w:t>
      </w:r>
    </w:p>
    <w:p w14:paraId="0C401FB7" w14:textId="77777777" w:rsidR="00A077EE" w:rsidRDefault="00D76748">
      <w:pPr>
        <w:adjustRightInd w:val="0"/>
        <w:spacing w:line="360" w:lineRule="auto"/>
        <w:ind w:firstLine="420"/>
        <w:jc w:val="both"/>
        <w:rPr>
          <w:rFonts w:ascii="Times New Roman" w:hAnsi="Times New Roman" w:cs="Times New Roman"/>
          <w:sz w:val="21"/>
          <w:szCs w:val="21"/>
        </w:rPr>
      </w:pPr>
      <w:r>
        <w:rPr>
          <w:rFonts w:ascii="Times New Roman" w:hAnsi="Times New Roman" w:cs="Times New Roman"/>
          <w:szCs w:val="21"/>
        </w:rPr>
        <w:t xml:space="preserve">LR, RR and A were </w:t>
      </w:r>
      <w:r>
        <w:rPr>
          <w:rFonts w:ascii="Times New Roman" w:hAnsi="Times New Roman" w:cs="Times New Roman" w:hint="eastAsia"/>
          <w:szCs w:val="21"/>
        </w:rPr>
        <w:t>ligat</w:t>
      </w:r>
      <w:r>
        <w:rPr>
          <w:rFonts w:ascii="Times New Roman" w:hAnsi="Times New Roman" w:cs="Times New Roman"/>
          <w:szCs w:val="21"/>
        </w:rPr>
        <w:t>ed to LScKO-4G</w:t>
      </w:r>
      <w:r>
        <w:rPr>
          <w:rFonts w:ascii="Times New Roman" w:hAnsi="Times New Roman" w:cs="Times New Roman" w:hint="eastAsia"/>
          <w:szCs w:val="21"/>
        </w:rPr>
        <w:t>（Δ</w:t>
      </w:r>
      <w:r>
        <w:rPr>
          <w:rFonts w:ascii="Times New Roman" w:hAnsi="Times New Roman" w:cs="Times New Roman"/>
          <w:szCs w:val="21"/>
        </w:rPr>
        <w:t>TK-P2A-neo</w:t>
      </w:r>
      <w:r>
        <w:rPr>
          <w:rFonts w:ascii="Times New Roman" w:hAnsi="Times New Roman" w:cs="Times New Roman" w:hint="eastAsia"/>
          <w:szCs w:val="21"/>
        </w:rPr>
        <w:t>）</w:t>
      </w:r>
      <w:r>
        <w:rPr>
          <w:rFonts w:ascii="Times New Roman" w:hAnsi="Times New Roman" w:cs="Times New Roman"/>
          <w:szCs w:val="21"/>
        </w:rPr>
        <w:t xml:space="preserve">vector, to </w:t>
      </w:r>
      <w:r>
        <w:rPr>
          <w:rFonts w:ascii="Times New Roman" w:hAnsi="Times New Roman" w:cs="Times New Roman" w:hint="eastAsia"/>
          <w:szCs w:val="21"/>
        </w:rPr>
        <w:t>gain</w:t>
      </w:r>
      <w:r>
        <w:rPr>
          <w:rFonts w:ascii="Times New Roman" w:hAnsi="Times New Roman" w:cs="Times New Roman"/>
          <w:szCs w:val="21"/>
        </w:rPr>
        <w:t xml:space="preserve"> the final target</w:t>
      </w:r>
      <w:r>
        <w:rPr>
          <w:rFonts w:ascii="Times New Roman" w:hAnsi="Times New Roman" w:cs="Times New Roman" w:hint="eastAsia"/>
          <w:szCs w:val="21"/>
        </w:rPr>
        <w:t>ing</w:t>
      </w:r>
      <w:r>
        <w:rPr>
          <w:rFonts w:ascii="Times New Roman" w:hAnsi="Times New Roman" w:cs="Times New Roman"/>
          <w:szCs w:val="21"/>
        </w:rPr>
        <w:t xml:space="preserve"> vector CL-CYH-009-</w:t>
      </w:r>
      <w:r>
        <w:rPr>
          <w:rFonts w:ascii="Times New Roman" w:hAnsi="Times New Roman" w:cs="Times New Roman" w:hint="eastAsia"/>
          <w:szCs w:val="21"/>
        </w:rPr>
        <w:t>Δ</w:t>
      </w:r>
      <w:r>
        <w:rPr>
          <w:rFonts w:ascii="Times New Roman" w:hAnsi="Times New Roman" w:cs="Times New Roman"/>
          <w:szCs w:val="21"/>
        </w:rPr>
        <w:t>TK-P2A-neo, TheCL-CYH-009-</w:t>
      </w:r>
      <w:r>
        <w:rPr>
          <w:rFonts w:ascii="Times New Roman" w:hAnsi="Times New Roman" w:cs="Times New Roman" w:hint="eastAsia"/>
          <w:szCs w:val="21"/>
        </w:rPr>
        <w:t>Δ</w:t>
      </w:r>
      <w:r>
        <w:rPr>
          <w:rFonts w:ascii="Times New Roman" w:hAnsi="Times New Roman" w:cs="Times New Roman"/>
          <w:szCs w:val="21"/>
        </w:rPr>
        <w:t>TK-P2A-neo were digested by restriction endonuclease SalI+EcoR ⅴ, SacI and XbaI respectively. The length of the digested products were as expected (8388bp+ 2021bp+104bp, 8449bp+1573bp+483bp+8bp and 6250bp+2964bp+1299bp)(</w:t>
      </w:r>
      <w:r>
        <w:rPr>
          <w:rFonts w:ascii="Times New Roman" w:hAnsi="Times New Roman" w:cs="Times New Roman" w:hint="eastAsia"/>
          <w:b/>
          <w:color w:val="000000"/>
          <w:szCs w:val="21"/>
        </w:rPr>
        <w:t xml:space="preserve"> Figure</w:t>
      </w:r>
      <w:r>
        <w:rPr>
          <w:rFonts w:ascii="Times New Roman" w:hAnsi="Times New Roman" w:cs="Times New Roman"/>
          <w:b/>
          <w:color w:val="000000"/>
          <w:szCs w:val="21"/>
        </w:rPr>
        <w:t xml:space="preserve"> </w:t>
      </w:r>
      <w:r>
        <w:rPr>
          <w:rFonts w:ascii="Times New Roman" w:hAnsi="Times New Roman" w:cs="Times New Roman" w:hint="eastAsia"/>
          <w:b/>
          <w:color w:val="000000"/>
          <w:szCs w:val="21"/>
        </w:rPr>
        <w:t>S</w:t>
      </w:r>
      <w:r>
        <w:rPr>
          <w:rFonts w:ascii="Times New Roman" w:hAnsi="Times New Roman" w:cs="Times New Roman"/>
          <w:b/>
          <w:color w:val="000000"/>
          <w:szCs w:val="21"/>
        </w:rPr>
        <w:t>6</w:t>
      </w:r>
      <w:r>
        <w:rPr>
          <w:rFonts w:ascii="Times New Roman" w:hAnsi="Times New Roman" w:cs="Times New Roman"/>
          <w:szCs w:val="21"/>
        </w:rPr>
        <w:t xml:space="preserve"> ).</w:t>
      </w:r>
    </w:p>
    <w:p w14:paraId="130D54F3" w14:textId="77777777" w:rsidR="00A077EE" w:rsidRDefault="00D76748">
      <w:pPr>
        <w:pStyle w:val="af1"/>
        <w:adjustRightInd w:val="0"/>
        <w:snapToGrid w:val="0"/>
        <w:spacing w:line="360" w:lineRule="auto"/>
        <w:ind w:firstLineChars="0"/>
        <w:jc w:val="center"/>
        <w:rPr>
          <w:rFonts w:ascii="Times New Roman" w:hAnsi="Times New Roman" w:cs="Times New Roman"/>
          <w:b/>
          <w:szCs w:val="21"/>
        </w:rPr>
      </w:pPr>
      <w:r>
        <w:rPr>
          <w:noProof/>
        </w:rPr>
        <w:drawing>
          <wp:inline distT="0" distB="0" distL="0" distR="0" wp14:anchorId="51A0E472" wp14:editId="2468CC19">
            <wp:extent cx="1497965" cy="1954530"/>
            <wp:effectExtent l="0" t="0" r="6985"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97965" cy="1954530"/>
                    </a:xfrm>
                    <a:prstGeom prst="rect">
                      <a:avLst/>
                    </a:prstGeom>
                  </pic:spPr>
                </pic:pic>
              </a:graphicData>
            </a:graphic>
          </wp:inline>
        </w:drawing>
      </w:r>
    </w:p>
    <w:p w14:paraId="01809ADD" w14:textId="77777777" w:rsidR="00A077EE" w:rsidRDefault="00D76748">
      <w:pPr>
        <w:pStyle w:val="af1"/>
        <w:adjustRightInd w:val="0"/>
        <w:snapToGrid w:val="0"/>
        <w:spacing w:line="360" w:lineRule="auto"/>
        <w:ind w:firstLineChars="0" w:firstLine="0"/>
        <w:jc w:val="center"/>
        <w:rPr>
          <w:rFonts w:ascii="Times New Roman" w:hAnsi="Times New Roman" w:cs="Times New Roman"/>
          <w:b/>
          <w:sz w:val="21"/>
          <w:szCs w:val="18"/>
        </w:rPr>
      </w:pPr>
      <w:r>
        <w:rPr>
          <w:rFonts w:ascii="Times New Roman" w:hAnsi="Times New Roman" w:cs="Times New Roman" w:hint="eastAsia"/>
          <w:b/>
          <w:color w:val="000000"/>
          <w:sz w:val="21"/>
          <w:szCs w:val="18"/>
        </w:rPr>
        <w:t>Figure</w:t>
      </w:r>
      <w:r>
        <w:rPr>
          <w:rFonts w:ascii="Times New Roman" w:hAnsi="Times New Roman" w:cs="Times New Roman"/>
          <w:b/>
          <w:color w:val="000000"/>
          <w:sz w:val="21"/>
          <w:szCs w:val="18"/>
        </w:rPr>
        <w:t xml:space="preserve"> </w:t>
      </w:r>
      <w:r>
        <w:rPr>
          <w:rFonts w:ascii="Times New Roman" w:hAnsi="Times New Roman" w:cs="Times New Roman" w:hint="eastAsia"/>
          <w:b/>
          <w:color w:val="000000"/>
          <w:sz w:val="21"/>
          <w:szCs w:val="18"/>
        </w:rPr>
        <w:t>S</w:t>
      </w:r>
      <w:r>
        <w:rPr>
          <w:rFonts w:ascii="Times New Roman" w:hAnsi="Times New Roman" w:cs="Times New Roman"/>
          <w:b/>
          <w:color w:val="000000"/>
          <w:sz w:val="21"/>
          <w:szCs w:val="18"/>
        </w:rPr>
        <w:t xml:space="preserve">6. </w:t>
      </w:r>
      <w:r>
        <w:rPr>
          <w:rFonts w:ascii="Times New Roman" w:hAnsi="Times New Roman" w:cs="Times New Roman"/>
          <w:b/>
          <w:sz w:val="21"/>
          <w:szCs w:val="18"/>
        </w:rPr>
        <w:t xml:space="preserve">Digestion verification of </w:t>
      </w:r>
      <w:r>
        <w:rPr>
          <w:rFonts w:ascii="Times New Roman" w:hAnsi="Times New Roman" w:cs="Times New Roman" w:hint="eastAsia"/>
          <w:b/>
          <w:sz w:val="21"/>
          <w:szCs w:val="18"/>
        </w:rPr>
        <w:t>the</w:t>
      </w:r>
      <w:r>
        <w:rPr>
          <w:rFonts w:ascii="Times New Roman" w:hAnsi="Times New Roman" w:cs="Times New Roman"/>
          <w:b/>
          <w:sz w:val="21"/>
          <w:szCs w:val="18"/>
        </w:rPr>
        <w:t xml:space="preserve"> CL-CYH-009</w:t>
      </w:r>
      <w:r>
        <w:rPr>
          <w:rFonts w:ascii="Times New Roman" w:hAnsi="Times New Roman" w:cs="Times New Roman" w:hint="eastAsia"/>
          <w:b/>
          <w:sz w:val="21"/>
          <w:szCs w:val="18"/>
        </w:rPr>
        <w:t>-</w:t>
      </w:r>
      <w:r>
        <w:rPr>
          <w:rFonts w:ascii="Times New Roman" w:hAnsi="Times New Roman" w:cs="Times New Roman" w:hint="eastAsia"/>
          <w:b/>
          <w:sz w:val="21"/>
          <w:szCs w:val="18"/>
        </w:rPr>
        <w:t>Δ</w:t>
      </w:r>
      <w:r>
        <w:rPr>
          <w:rFonts w:ascii="Times New Roman" w:hAnsi="Times New Roman" w:cs="Times New Roman" w:hint="eastAsia"/>
          <w:b/>
          <w:sz w:val="21"/>
          <w:szCs w:val="18"/>
        </w:rPr>
        <w:t>TK</w:t>
      </w:r>
      <w:r>
        <w:rPr>
          <w:rFonts w:ascii="Times New Roman" w:hAnsi="Times New Roman" w:cs="Times New Roman"/>
          <w:b/>
          <w:sz w:val="21"/>
          <w:szCs w:val="18"/>
        </w:rPr>
        <w:t>-P2A-neo</w:t>
      </w:r>
    </w:p>
    <w:p w14:paraId="3DC1C6AF" w14:textId="77777777" w:rsidR="00A077EE" w:rsidRPr="0093527B" w:rsidRDefault="00A077EE" w:rsidP="0093527B">
      <w:pPr>
        <w:spacing w:line="360" w:lineRule="auto"/>
        <w:jc w:val="both"/>
        <w:rPr>
          <w:rFonts w:ascii="Times New Roman" w:hAnsi="Times New Roman" w:cs="Times New Roman"/>
          <w:b/>
          <w:szCs w:val="21"/>
        </w:rPr>
      </w:pPr>
    </w:p>
    <w:p w14:paraId="4DEFFC78" w14:textId="77777777" w:rsidR="00A077EE" w:rsidRDefault="00D76748">
      <w:pPr>
        <w:pStyle w:val="af1"/>
        <w:spacing w:line="360" w:lineRule="auto"/>
        <w:ind w:firstLineChars="0" w:firstLine="0"/>
        <w:jc w:val="center"/>
        <w:rPr>
          <w:rFonts w:ascii="Times New Roman" w:hAnsi="Times New Roman" w:cs="Times New Roman"/>
          <w:b/>
          <w:szCs w:val="21"/>
        </w:rPr>
      </w:pPr>
      <w:r>
        <w:rPr>
          <w:noProof/>
        </w:rPr>
        <w:drawing>
          <wp:inline distT="0" distB="0" distL="0" distR="0" wp14:anchorId="636A9706" wp14:editId="0B30A703">
            <wp:extent cx="2559050" cy="1940560"/>
            <wp:effectExtent l="0" t="0" r="1270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0" y="0"/>
                      <a:ext cx="2559050" cy="1940560"/>
                    </a:xfrm>
                    <a:prstGeom prst="rect">
                      <a:avLst/>
                    </a:prstGeom>
                    <a:noFill/>
                  </pic:spPr>
                </pic:pic>
              </a:graphicData>
            </a:graphic>
          </wp:inline>
        </w:drawing>
      </w:r>
    </w:p>
    <w:p w14:paraId="0AB5652F" w14:textId="77777777" w:rsidR="00A077EE" w:rsidRDefault="00D76748">
      <w:pPr>
        <w:pStyle w:val="af1"/>
        <w:spacing w:line="360" w:lineRule="auto"/>
        <w:ind w:firstLineChars="0" w:firstLine="0"/>
        <w:jc w:val="center"/>
        <w:rPr>
          <w:rFonts w:ascii="Times New Roman" w:hAnsi="Times New Roman" w:cs="Times New Roman"/>
          <w:b/>
          <w:sz w:val="21"/>
          <w:szCs w:val="18"/>
        </w:rPr>
      </w:pPr>
      <w:r>
        <w:rPr>
          <w:rFonts w:ascii="Times New Roman" w:hAnsi="Times New Roman" w:cs="Times New Roman" w:hint="eastAsia"/>
          <w:b/>
          <w:color w:val="000000"/>
          <w:sz w:val="21"/>
          <w:szCs w:val="18"/>
        </w:rPr>
        <w:t>Figure</w:t>
      </w:r>
      <w:r>
        <w:rPr>
          <w:rFonts w:ascii="Times New Roman" w:hAnsi="Times New Roman" w:cs="Times New Roman"/>
          <w:b/>
          <w:color w:val="000000"/>
          <w:sz w:val="21"/>
          <w:szCs w:val="18"/>
        </w:rPr>
        <w:t xml:space="preserve"> </w:t>
      </w:r>
      <w:r>
        <w:rPr>
          <w:rFonts w:ascii="Times New Roman" w:hAnsi="Times New Roman" w:cs="Times New Roman" w:hint="eastAsia"/>
          <w:b/>
          <w:color w:val="000000"/>
          <w:sz w:val="21"/>
          <w:szCs w:val="18"/>
        </w:rPr>
        <w:t>S7</w:t>
      </w:r>
      <w:r>
        <w:rPr>
          <w:rFonts w:ascii="Times New Roman" w:hAnsi="Times New Roman" w:cs="Times New Roman"/>
          <w:b/>
          <w:color w:val="000000"/>
          <w:sz w:val="21"/>
          <w:szCs w:val="18"/>
        </w:rPr>
        <w:t xml:space="preserve">. </w:t>
      </w:r>
      <w:r>
        <w:rPr>
          <w:rFonts w:ascii="Times New Roman" w:hAnsi="Times New Roman" w:cs="Times New Roman"/>
          <w:b/>
          <w:sz w:val="21"/>
          <w:szCs w:val="18"/>
        </w:rPr>
        <w:t xml:space="preserve">Map of </w:t>
      </w:r>
      <w:r>
        <w:rPr>
          <w:rFonts w:ascii="Times New Roman" w:hAnsi="Times New Roman" w:cs="Times New Roman" w:hint="eastAsia"/>
          <w:b/>
          <w:sz w:val="21"/>
          <w:szCs w:val="18"/>
        </w:rPr>
        <w:t>the</w:t>
      </w:r>
      <w:r>
        <w:rPr>
          <w:rFonts w:ascii="Times New Roman" w:hAnsi="Times New Roman" w:cs="Times New Roman"/>
          <w:b/>
          <w:sz w:val="21"/>
          <w:szCs w:val="18"/>
        </w:rPr>
        <w:t xml:space="preserve"> CL-CYH-009 targeting vector</w:t>
      </w:r>
    </w:p>
    <w:p w14:paraId="6BF76A87" w14:textId="77777777" w:rsidR="00A077EE" w:rsidRDefault="00D76748" w:rsidP="0093527B">
      <w:pPr>
        <w:pStyle w:val="af1"/>
        <w:numPr>
          <w:ilvl w:val="1"/>
          <w:numId w:val="3"/>
        </w:numPr>
        <w:adjustRightInd w:val="0"/>
        <w:snapToGrid w:val="0"/>
        <w:spacing w:line="360" w:lineRule="auto"/>
        <w:ind w:firstLineChars="0"/>
        <w:jc w:val="both"/>
        <w:rPr>
          <w:rFonts w:ascii="Times New Roman" w:hAnsi="Times New Roman" w:cs="Times New Roman"/>
          <w:bCs/>
        </w:rPr>
      </w:pPr>
      <w:r>
        <w:rPr>
          <w:rFonts w:ascii="Times New Roman" w:hAnsi="Times New Roman" w:cs="Times New Roman"/>
          <w:b/>
          <w:szCs w:val="21"/>
        </w:rPr>
        <w:lastRenderedPageBreak/>
        <w:t>Electroporation and Drug screening</w:t>
      </w:r>
    </w:p>
    <w:p w14:paraId="0DBEAE90" w14:textId="467D42BE" w:rsidR="00A077EE" w:rsidRDefault="00D76748">
      <w:pPr>
        <w:pStyle w:val="af1"/>
        <w:spacing w:line="360" w:lineRule="auto"/>
        <w:ind w:firstLineChars="0"/>
        <w:jc w:val="both"/>
        <w:rPr>
          <w:rFonts w:ascii="Times New Roman" w:hAnsi="Times New Roman" w:cs="Times New Roman"/>
          <w:sz w:val="21"/>
          <w:szCs w:val="21"/>
        </w:rPr>
      </w:pPr>
      <w:r>
        <w:rPr>
          <w:rFonts w:ascii="Times New Roman" w:hAnsi="Times New Roman" w:cs="Times New Roman"/>
          <w:szCs w:val="21"/>
        </w:rPr>
        <w:t xml:space="preserve">According to the </w:t>
      </w:r>
      <w:r w:rsidRPr="00FF1E79">
        <w:rPr>
          <w:rFonts w:ascii="Times New Roman" w:hAnsi="Times New Roman" w:cs="Times New Roman" w:hint="eastAsia"/>
          <w:bCs/>
          <w:szCs w:val="21"/>
        </w:rPr>
        <w:t>e</w:t>
      </w:r>
      <w:r w:rsidRPr="00FF1E79">
        <w:rPr>
          <w:rFonts w:ascii="Times New Roman" w:hAnsi="Times New Roman" w:cs="Times New Roman"/>
          <w:bCs/>
          <w:szCs w:val="21"/>
        </w:rPr>
        <w:t>lectroporation</w:t>
      </w:r>
      <w:r>
        <w:rPr>
          <w:rFonts w:ascii="Times New Roman" w:hAnsi="Times New Roman" w:cs="Times New Roman"/>
          <w:szCs w:val="21"/>
        </w:rPr>
        <w:t xml:space="preserve"> conditions </w:t>
      </w:r>
      <w:r>
        <w:rPr>
          <w:rFonts w:ascii="Times New Roman" w:hAnsi="Times New Roman" w:cs="Times New Roman" w:hint="eastAsia"/>
          <w:szCs w:val="21"/>
        </w:rPr>
        <w:t>of</w:t>
      </w:r>
      <w:r>
        <w:rPr>
          <w:rFonts w:ascii="Times New Roman" w:hAnsi="Times New Roman" w:cs="Times New Roman"/>
          <w:szCs w:val="21"/>
        </w:rPr>
        <w:t xml:space="preserve"> the pre</w:t>
      </w:r>
      <w:r w:rsidR="00FF1E79">
        <w:rPr>
          <w:rFonts w:ascii="Times New Roman" w:hAnsi="Times New Roman" w:cs="Times New Roman"/>
          <w:szCs w:val="21"/>
        </w:rPr>
        <w:t>liminary experiment</w:t>
      </w:r>
      <w:r>
        <w:rPr>
          <w:rFonts w:ascii="Times New Roman" w:hAnsi="Times New Roman" w:cs="Times New Roman" w:hint="eastAsia"/>
          <w:szCs w:val="21"/>
        </w:rPr>
        <w:t>，</w:t>
      </w:r>
      <w:r>
        <w:rPr>
          <w:rFonts w:ascii="Times New Roman" w:hAnsi="Times New Roman" w:cs="Times New Roman"/>
          <w:szCs w:val="21"/>
        </w:rPr>
        <w:t>SgRNA4, sgRNA16 and target</w:t>
      </w:r>
      <w:r>
        <w:rPr>
          <w:rFonts w:ascii="Times New Roman" w:hAnsi="Times New Roman" w:cs="Times New Roman" w:hint="eastAsia"/>
          <w:szCs w:val="21"/>
        </w:rPr>
        <w:t>ing</w:t>
      </w:r>
      <w:r>
        <w:rPr>
          <w:rFonts w:ascii="Times New Roman" w:hAnsi="Times New Roman" w:cs="Times New Roman"/>
          <w:szCs w:val="21"/>
        </w:rPr>
        <w:t xml:space="preserve"> vectors (Cl-CyH-009-PURO-δTK and/or Cl-CyH-009-δ TK-P2A-neo) were transferred into SW-13 cell</w:t>
      </w:r>
      <w:r>
        <w:rPr>
          <w:rFonts w:ascii="Times New Roman" w:hAnsi="Times New Roman" w:cs="Times New Roman" w:hint="eastAsia"/>
          <w:szCs w:val="21"/>
        </w:rPr>
        <w:t>, t</w:t>
      </w:r>
      <w:r>
        <w:rPr>
          <w:rFonts w:ascii="Times New Roman" w:hAnsi="Times New Roman" w:cs="Times New Roman"/>
          <w:szCs w:val="21"/>
        </w:rPr>
        <w:t>he hybrid clones were screened according to the concentration of Puro drug sieve explored in the pre experiment.</w:t>
      </w:r>
    </w:p>
    <w:p w14:paraId="673B84FB" w14:textId="77777777" w:rsidR="00A077EE" w:rsidRDefault="00A077EE">
      <w:pPr>
        <w:pStyle w:val="af1"/>
        <w:adjustRightInd w:val="0"/>
        <w:snapToGrid w:val="0"/>
        <w:spacing w:line="360" w:lineRule="auto"/>
        <w:ind w:left="360" w:firstLineChars="0" w:firstLine="0"/>
        <w:jc w:val="both"/>
        <w:rPr>
          <w:rFonts w:ascii="Times New Roman" w:hAnsi="Times New Roman" w:cs="Times New Roman"/>
          <w:bCs/>
        </w:rPr>
      </w:pPr>
    </w:p>
    <w:p w14:paraId="716973A3" w14:textId="77777777" w:rsidR="00A077EE" w:rsidRPr="0093527B" w:rsidRDefault="00D76748" w:rsidP="0093527B">
      <w:pPr>
        <w:pStyle w:val="af1"/>
        <w:numPr>
          <w:ilvl w:val="1"/>
          <w:numId w:val="3"/>
        </w:numPr>
        <w:adjustRightInd w:val="0"/>
        <w:snapToGrid w:val="0"/>
        <w:spacing w:line="360" w:lineRule="auto"/>
        <w:ind w:firstLineChars="0"/>
        <w:jc w:val="both"/>
        <w:rPr>
          <w:rFonts w:ascii="Times New Roman" w:hAnsi="Times New Roman" w:cs="Times New Roman"/>
          <w:szCs w:val="21"/>
        </w:rPr>
      </w:pPr>
      <w:r w:rsidRPr="0093527B">
        <w:rPr>
          <w:rFonts w:ascii="Times New Roman" w:hAnsi="Times New Roman" w:cs="Times New Roman"/>
          <w:b/>
          <w:szCs w:val="21"/>
        </w:rPr>
        <w:t>Primer design for hybrid clone detection</w:t>
      </w:r>
    </w:p>
    <w:p w14:paraId="758627FA" w14:textId="1DFED8F8" w:rsidR="00A077EE" w:rsidRPr="00FF1E79" w:rsidRDefault="00D76748" w:rsidP="00FF1E79">
      <w:pPr>
        <w:adjustRightInd w:val="0"/>
        <w:snapToGrid w:val="0"/>
        <w:spacing w:line="360" w:lineRule="auto"/>
        <w:ind w:left="360"/>
        <w:jc w:val="both"/>
        <w:rPr>
          <w:rFonts w:ascii="Times New Roman" w:hAnsi="Times New Roman" w:cs="Times New Roman"/>
          <w:bCs/>
        </w:rPr>
      </w:pPr>
      <w:r>
        <w:rPr>
          <w:noProof/>
        </w:rPr>
        <w:drawing>
          <wp:anchor distT="0" distB="0" distL="114300" distR="114300" simplePos="0" relativeHeight="251659264" behindDoc="0" locked="0" layoutInCell="1" allowOverlap="1" wp14:anchorId="6483CBCB" wp14:editId="2F2E234F">
            <wp:simplePos x="0" y="0"/>
            <wp:positionH relativeFrom="column">
              <wp:posOffset>-11430</wp:posOffset>
            </wp:positionH>
            <wp:positionV relativeFrom="paragraph">
              <wp:posOffset>1659255</wp:posOffset>
            </wp:positionV>
            <wp:extent cx="5274310" cy="1657985"/>
            <wp:effectExtent l="0" t="0" r="254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165798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180D4B25" wp14:editId="51087BD2">
            <wp:simplePos x="0" y="0"/>
            <wp:positionH relativeFrom="column">
              <wp:posOffset>-23495</wp:posOffset>
            </wp:positionH>
            <wp:positionV relativeFrom="paragraph">
              <wp:posOffset>10160</wp:posOffset>
            </wp:positionV>
            <wp:extent cx="5274310" cy="1650365"/>
            <wp:effectExtent l="0" t="0" r="2540" b="698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1650365"/>
                    </a:xfrm>
                    <a:prstGeom prst="rect">
                      <a:avLst/>
                    </a:prstGeom>
                    <a:noFill/>
                  </pic:spPr>
                </pic:pic>
              </a:graphicData>
            </a:graphic>
          </wp:anchor>
        </w:drawing>
      </w:r>
    </w:p>
    <w:p w14:paraId="36B89416" w14:textId="77777777" w:rsidR="00A077EE" w:rsidRDefault="00D76748" w:rsidP="0093527B">
      <w:pPr>
        <w:pStyle w:val="af1"/>
        <w:numPr>
          <w:ilvl w:val="1"/>
          <w:numId w:val="3"/>
        </w:numPr>
        <w:adjustRightInd w:val="0"/>
        <w:snapToGrid w:val="0"/>
        <w:spacing w:line="360" w:lineRule="auto"/>
        <w:ind w:firstLineChars="0"/>
        <w:jc w:val="both"/>
        <w:rPr>
          <w:rFonts w:ascii="Times New Roman" w:hAnsi="Times New Roman" w:cs="Times New Roman"/>
          <w:bCs/>
        </w:rPr>
      </w:pPr>
      <w:r>
        <w:rPr>
          <w:rFonts w:ascii="Times New Roman" w:hAnsi="Times New Roman" w:cs="Times New Roman"/>
          <w:b/>
          <w:szCs w:val="21"/>
        </w:rPr>
        <w:t>Hybrid clone detection</w:t>
      </w:r>
    </w:p>
    <w:p w14:paraId="6215E9FB" w14:textId="77777777" w:rsidR="00A077EE" w:rsidRDefault="00D76748">
      <w:pPr>
        <w:pStyle w:val="af1"/>
        <w:spacing w:line="360" w:lineRule="auto"/>
        <w:ind w:firstLineChars="0" w:firstLine="0"/>
        <w:jc w:val="both"/>
        <w:rPr>
          <w:rFonts w:ascii="Times New Roman" w:hAnsi="Times New Roman" w:cs="Times New Roman"/>
          <w:szCs w:val="21"/>
        </w:rPr>
      </w:pPr>
      <w:r>
        <w:rPr>
          <w:rFonts w:ascii="Times New Roman" w:hAnsi="Times New Roman" w:cs="Times New Roman"/>
          <w:szCs w:val="21"/>
        </w:rPr>
        <w:tab/>
        <w:t xml:space="preserve">PCR products were performed </w:t>
      </w:r>
      <w:r>
        <w:rPr>
          <w:rFonts w:ascii="Times New Roman" w:hAnsi="Times New Roman" w:cs="Times New Roman" w:hint="eastAsia"/>
          <w:szCs w:val="21"/>
        </w:rPr>
        <w:t>by</w:t>
      </w:r>
      <w:r>
        <w:rPr>
          <w:rFonts w:ascii="Times New Roman" w:hAnsi="Times New Roman" w:cs="Times New Roman"/>
          <w:szCs w:val="21"/>
        </w:rPr>
        <w:t xml:space="preserve"> </w:t>
      </w:r>
      <w:r>
        <w:rPr>
          <w:rFonts w:ascii="Times New Roman" w:hAnsi="Times New Roman" w:cs="Times New Roman" w:hint="eastAsia"/>
          <w:szCs w:val="21"/>
        </w:rPr>
        <w:t>a</w:t>
      </w:r>
      <w:r>
        <w:rPr>
          <w:rFonts w:ascii="Times New Roman" w:hAnsi="Times New Roman" w:cs="Times New Roman"/>
          <w:szCs w:val="21"/>
        </w:rPr>
        <w:t>garose gel electrophoresis and by the drug sieve, the targeting hybrid clone were obtained, and the results were in line with expectations(</w:t>
      </w:r>
      <w:r>
        <w:rPr>
          <w:rFonts w:ascii="Times New Roman" w:hAnsi="Times New Roman" w:cs="Times New Roman" w:hint="eastAsia"/>
          <w:b/>
          <w:color w:val="000000"/>
          <w:szCs w:val="21"/>
        </w:rPr>
        <w:t>Figure</w:t>
      </w:r>
      <w:r>
        <w:rPr>
          <w:rFonts w:ascii="Times New Roman" w:hAnsi="Times New Roman" w:cs="Times New Roman"/>
          <w:b/>
          <w:color w:val="000000"/>
          <w:szCs w:val="21"/>
        </w:rPr>
        <w:t xml:space="preserve"> </w:t>
      </w:r>
      <w:r>
        <w:rPr>
          <w:rFonts w:ascii="Times New Roman" w:hAnsi="Times New Roman" w:cs="Times New Roman" w:hint="eastAsia"/>
          <w:b/>
          <w:color w:val="000000"/>
          <w:szCs w:val="21"/>
        </w:rPr>
        <w:t>S</w:t>
      </w:r>
      <w:r>
        <w:rPr>
          <w:rFonts w:ascii="Times New Roman" w:hAnsi="Times New Roman" w:cs="Times New Roman"/>
          <w:b/>
          <w:color w:val="000000"/>
          <w:szCs w:val="21"/>
        </w:rPr>
        <w:t>8</w:t>
      </w:r>
      <w:r>
        <w:rPr>
          <w:rFonts w:ascii="Times New Roman" w:hAnsi="Times New Roman" w:cs="Times New Roman"/>
          <w:szCs w:val="21"/>
        </w:rPr>
        <w:t>).</w:t>
      </w:r>
    </w:p>
    <w:p w14:paraId="7DBE21CA" w14:textId="77777777" w:rsidR="00A077EE" w:rsidRDefault="00D76748">
      <w:pPr>
        <w:pStyle w:val="af1"/>
        <w:spacing w:line="360" w:lineRule="auto"/>
        <w:ind w:firstLineChars="0" w:firstLine="0"/>
        <w:jc w:val="both"/>
        <w:rPr>
          <w:rFonts w:ascii="Times New Roman" w:hAnsi="Times New Roman" w:cs="Times New Roman"/>
          <w:szCs w:val="21"/>
        </w:rPr>
      </w:pPr>
      <w:r>
        <w:rPr>
          <w:noProof/>
        </w:rPr>
        <w:lastRenderedPageBreak/>
        <w:drawing>
          <wp:inline distT="0" distB="0" distL="114300" distR="114300" wp14:anchorId="4D82F5AA" wp14:editId="34175473">
            <wp:extent cx="2522220" cy="237045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22220" cy="2370455"/>
                    </a:xfrm>
                    <a:prstGeom prst="rect">
                      <a:avLst/>
                    </a:prstGeom>
                  </pic:spPr>
                </pic:pic>
              </a:graphicData>
            </a:graphic>
          </wp:inline>
        </w:drawing>
      </w:r>
      <w:r>
        <w:rPr>
          <w:noProof/>
        </w:rPr>
        <w:drawing>
          <wp:inline distT="0" distB="0" distL="114300" distR="114300" wp14:anchorId="7E0F8382" wp14:editId="34351A39">
            <wp:extent cx="2212340" cy="2314575"/>
            <wp:effectExtent l="0" t="0" r="1651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212340" cy="2314575"/>
                    </a:xfrm>
                    <a:prstGeom prst="rect">
                      <a:avLst/>
                    </a:prstGeom>
                  </pic:spPr>
                </pic:pic>
              </a:graphicData>
            </a:graphic>
          </wp:inline>
        </w:drawing>
      </w:r>
      <w:r>
        <w:rPr>
          <w:noProof/>
        </w:rPr>
        <w:drawing>
          <wp:inline distT="0" distB="0" distL="114300" distR="114300" wp14:anchorId="743BCA41" wp14:editId="34CB1FBE">
            <wp:extent cx="2523490" cy="2070735"/>
            <wp:effectExtent l="0" t="0" r="1016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23490" cy="2070735"/>
                    </a:xfrm>
                    <a:prstGeom prst="rect">
                      <a:avLst/>
                    </a:prstGeom>
                  </pic:spPr>
                </pic:pic>
              </a:graphicData>
            </a:graphic>
          </wp:inline>
        </w:drawing>
      </w:r>
      <w:r>
        <w:rPr>
          <w:noProof/>
        </w:rPr>
        <w:drawing>
          <wp:inline distT="0" distB="0" distL="114300" distR="114300" wp14:anchorId="6F8D86E0" wp14:editId="237C2AD3">
            <wp:extent cx="2486025" cy="2143760"/>
            <wp:effectExtent l="0" t="0" r="9525"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486025" cy="2143760"/>
                    </a:xfrm>
                    <a:prstGeom prst="rect">
                      <a:avLst/>
                    </a:prstGeom>
                  </pic:spPr>
                </pic:pic>
              </a:graphicData>
            </a:graphic>
          </wp:inline>
        </w:drawing>
      </w:r>
    </w:p>
    <w:p w14:paraId="022339E6" w14:textId="77777777" w:rsidR="00A077EE" w:rsidRDefault="00D76748">
      <w:pPr>
        <w:adjustRightInd w:val="0"/>
        <w:snapToGrid w:val="0"/>
        <w:spacing w:line="360" w:lineRule="auto"/>
        <w:jc w:val="center"/>
        <w:rPr>
          <w:rFonts w:ascii="Times New Roman" w:hAnsi="Times New Roman" w:cs="Times New Roman"/>
          <w:bCs/>
          <w:sz w:val="21"/>
          <w:szCs w:val="21"/>
        </w:rPr>
      </w:pPr>
      <w:r>
        <w:rPr>
          <w:rFonts w:ascii="Times New Roman" w:hAnsi="Times New Roman" w:cs="Times New Roman" w:hint="eastAsia"/>
          <w:b/>
          <w:color w:val="000000"/>
          <w:sz w:val="21"/>
          <w:szCs w:val="18"/>
        </w:rPr>
        <w:t>Figure</w:t>
      </w:r>
      <w:r>
        <w:rPr>
          <w:rFonts w:ascii="Times New Roman" w:hAnsi="Times New Roman" w:cs="Times New Roman"/>
          <w:b/>
          <w:color w:val="000000"/>
          <w:sz w:val="21"/>
          <w:szCs w:val="18"/>
        </w:rPr>
        <w:t xml:space="preserve"> </w:t>
      </w:r>
      <w:r>
        <w:rPr>
          <w:rFonts w:ascii="Times New Roman" w:hAnsi="Times New Roman" w:cs="Times New Roman" w:hint="eastAsia"/>
          <w:b/>
          <w:color w:val="000000"/>
          <w:sz w:val="21"/>
          <w:szCs w:val="18"/>
        </w:rPr>
        <w:t>S8</w:t>
      </w:r>
      <w:r>
        <w:rPr>
          <w:rFonts w:ascii="Times New Roman" w:hAnsi="Times New Roman" w:cs="Times New Roman"/>
          <w:b/>
          <w:color w:val="000000"/>
          <w:sz w:val="21"/>
          <w:szCs w:val="18"/>
        </w:rPr>
        <w:t xml:space="preserve">.  </w:t>
      </w:r>
      <w:r>
        <w:rPr>
          <w:rFonts w:ascii="Times New Roman" w:hAnsi="Times New Roman" w:cs="Times New Roman"/>
          <w:b/>
          <w:sz w:val="21"/>
          <w:szCs w:val="18"/>
        </w:rPr>
        <w:t>Hybrid clone detection</w:t>
      </w:r>
    </w:p>
    <w:p w14:paraId="1C70D53E" w14:textId="77777777" w:rsidR="00A077EE" w:rsidRDefault="00A077EE">
      <w:pPr>
        <w:pStyle w:val="af1"/>
        <w:spacing w:line="360" w:lineRule="auto"/>
        <w:ind w:left="360" w:firstLineChars="0" w:firstLine="0"/>
        <w:jc w:val="both"/>
        <w:rPr>
          <w:rFonts w:ascii="Times New Roman" w:hAnsi="Times New Roman" w:cs="Times New Roman"/>
          <w:sz w:val="21"/>
          <w:szCs w:val="21"/>
        </w:rPr>
      </w:pPr>
    </w:p>
    <w:p w14:paraId="2FB17734" w14:textId="77777777" w:rsidR="00A077EE" w:rsidRDefault="00D76748" w:rsidP="0093527B">
      <w:pPr>
        <w:pStyle w:val="af1"/>
        <w:numPr>
          <w:ilvl w:val="1"/>
          <w:numId w:val="3"/>
        </w:numPr>
        <w:spacing w:line="360" w:lineRule="auto"/>
        <w:ind w:firstLineChars="0"/>
        <w:jc w:val="both"/>
        <w:rPr>
          <w:rFonts w:ascii="Times New Roman" w:hAnsi="Times New Roman" w:cs="Times New Roman"/>
          <w:b/>
          <w:szCs w:val="21"/>
          <w:lang w:bidi="ar"/>
        </w:rPr>
      </w:pPr>
      <w:r>
        <w:rPr>
          <w:rFonts w:ascii="Times New Roman" w:hAnsi="Times New Roman" w:cs="Times New Roman" w:hint="eastAsia"/>
          <w:b/>
          <w:szCs w:val="21"/>
          <w:lang w:bidi="ar"/>
        </w:rPr>
        <w:t>Monoclonal detection</w:t>
      </w:r>
    </w:p>
    <w:p w14:paraId="4636E1E7" w14:textId="753FAA1D" w:rsidR="00A077EE" w:rsidRDefault="00D76748">
      <w:pPr>
        <w:spacing w:line="360" w:lineRule="auto"/>
        <w:ind w:firstLineChars="200" w:firstLine="480"/>
        <w:jc w:val="both"/>
        <w:rPr>
          <w:rFonts w:ascii="Times New Roman" w:hAnsi="Times New Roman" w:cs="Times New Roman"/>
          <w:szCs w:val="21"/>
        </w:rPr>
      </w:pPr>
      <w:r>
        <w:rPr>
          <w:rFonts w:ascii="Times New Roman" w:hAnsi="Times New Roman" w:cs="Times New Roman"/>
          <w:szCs w:val="21"/>
        </w:rPr>
        <w:t xml:space="preserve">The monoclonal antibodies obtained from drug screening were detected by PCR, the PCR products were detected </w:t>
      </w:r>
      <w:r>
        <w:rPr>
          <w:rFonts w:ascii="Times New Roman" w:hAnsi="Times New Roman" w:cs="Times New Roman" w:hint="eastAsia"/>
          <w:szCs w:val="21"/>
        </w:rPr>
        <w:t>by</w:t>
      </w:r>
      <w:r>
        <w:rPr>
          <w:rFonts w:ascii="Times New Roman" w:hAnsi="Times New Roman" w:cs="Times New Roman"/>
          <w:szCs w:val="21"/>
        </w:rPr>
        <w:t xml:space="preserve"> </w:t>
      </w:r>
      <w:r>
        <w:rPr>
          <w:rFonts w:ascii="Times New Roman" w:hAnsi="Times New Roman" w:cs="Times New Roman" w:hint="eastAsia"/>
          <w:szCs w:val="21"/>
        </w:rPr>
        <w:t>a</w:t>
      </w:r>
      <w:r>
        <w:rPr>
          <w:rFonts w:ascii="Times New Roman" w:hAnsi="Times New Roman" w:cs="Times New Roman"/>
          <w:szCs w:val="21"/>
        </w:rPr>
        <w:t xml:space="preserve">garose gel </w:t>
      </w:r>
      <w:r w:rsidR="00FF1E79">
        <w:rPr>
          <w:rFonts w:ascii="Times New Roman" w:hAnsi="Times New Roman" w:cs="Times New Roman"/>
          <w:szCs w:val="21"/>
        </w:rPr>
        <w:t>electrophoresis, and</w:t>
      </w:r>
      <w:r>
        <w:rPr>
          <w:rFonts w:ascii="Times New Roman" w:hAnsi="Times New Roman" w:cs="Times New Roman"/>
          <w:szCs w:val="21"/>
        </w:rPr>
        <w:t xml:space="preserve"> the results were in line with expectations.</w:t>
      </w:r>
    </w:p>
    <w:tbl>
      <w:tblPr>
        <w:tblStyle w:val="ad"/>
        <w:tblW w:w="8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5"/>
        <w:gridCol w:w="4041"/>
      </w:tblGrid>
      <w:tr w:rsidR="00A077EE" w14:paraId="1ECFC823" w14:textId="77777777">
        <w:trPr>
          <w:trHeight w:val="454"/>
        </w:trPr>
        <w:tc>
          <w:tcPr>
            <w:tcW w:w="3995" w:type="dxa"/>
          </w:tcPr>
          <w:p w14:paraId="428536DB" w14:textId="77777777" w:rsidR="00A077EE" w:rsidRDefault="00D76748">
            <w:pPr>
              <w:spacing w:line="360" w:lineRule="auto"/>
              <w:jc w:val="both"/>
              <w:rPr>
                <w:rFonts w:ascii="Times New Roman" w:hAnsi="Times New Roman" w:cs="Times New Roman"/>
                <w:sz w:val="21"/>
                <w:szCs w:val="21"/>
              </w:rPr>
            </w:pPr>
            <w:r>
              <w:rPr>
                <w:rFonts w:ascii="Times New Roman" w:hAnsi="Times New Roman" w:cs="Times New Roman"/>
                <w:b/>
                <w:bCs/>
                <w:szCs w:val="21"/>
              </w:rPr>
              <w:t>CL-CYH-009-L-GT-F/PuΔTK-GT-F</w:t>
            </w:r>
          </w:p>
        </w:tc>
        <w:tc>
          <w:tcPr>
            <w:tcW w:w="4204" w:type="dxa"/>
          </w:tcPr>
          <w:p w14:paraId="0B964488" w14:textId="77777777" w:rsidR="00A077EE" w:rsidRDefault="00D76748">
            <w:pPr>
              <w:spacing w:line="360" w:lineRule="auto"/>
              <w:jc w:val="both"/>
              <w:rPr>
                <w:rFonts w:ascii="Times New Roman" w:hAnsi="Times New Roman" w:cs="Times New Roman"/>
                <w:b/>
                <w:bCs/>
                <w:szCs w:val="21"/>
                <w:lang w:bidi="ar"/>
              </w:rPr>
            </w:pPr>
            <w:r>
              <w:rPr>
                <w:rFonts w:ascii="Times New Roman" w:hAnsi="Times New Roman" w:cs="Times New Roman"/>
                <w:b/>
                <w:bCs/>
                <w:szCs w:val="21"/>
              </w:rPr>
              <w:t>Neo-GT-R/CL-CYH-009-R-GT-R</w:t>
            </w:r>
          </w:p>
        </w:tc>
      </w:tr>
      <w:tr w:rsidR="00A077EE" w14:paraId="4E7795FC" w14:textId="77777777">
        <w:trPr>
          <w:trHeight w:val="3023"/>
        </w:trPr>
        <w:tc>
          <w:tcPr>
            <w:tcW w:w="3995" w:type="dxa"/>
          </w:tcPr>
          <w:p w14:paraId="243D9912" w14:textId="77777777" w:rsidR="00A077EE" w:rsidRDefault="00D76748">
            <w:pPr>
              <w:spacing w:line="360" w:lineRule="auto"/>
              <w:jc w:val="both"/>
              <w:rPr>
                <w:rFonts w:ascii="Times New Roman" w:hAnsi="Times New Roman" w:cs="Times New Roman"/>
                <w:b/>
                <w:bCs/>
                <w:szCs w:val="21"/>
                <w:lang w:bidi="ar"/>
              </w:rPr>
            </w:pPr>
            <w:r>
              <w:rPr>
                <w:noProof/>
              </w:rPr>
              <w:drawing>
                <wp:inline distT="0" distB="0" distL="0" distR="0" wp14:anchorId="6D83A668" wp14:editId="6E93E81A">
                  <wp:extent cx="2714625" cy="1692910"/>
                  <wp:effectExtent l="9525" t="9525" r="19050" b="1206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9"/>
                          <a:srcRect/>
                          <a:stretch>
                            <a:fillRect/>
                          </a:stretch>
                        </pic:blipFill>
                        <pic:spPr>
                          <a:xfrm>
                            <a:off x="0" y="0"/>
                            <a:ext cx="2714625" cy="1692910"/>
                          </a:xfrm>
                          <a:prstGeom prst="rect">
                            <a:avLst/>
                          </a:prstGeom>
                          <a:noFill/>
                          <a:ln w="9525">
                            <a:solidFill>
                              <a:schemeClr val="bg1">
                                <a:lumMod val="65000"/>
                              </a:schemeClr>
                            </a:solidFill>
                            <a:miter lim="800000"/>
                            <a:headEnd/>
                            <a:tailEnd/>
                          </a:ln>
                        </pic:spPr>
                      </pic:pic>
                    </a:graphicData>
                  </a:graphic>
                </wp:inline>
              </w:drawing>
            </w:r>
          </w:p>
        </w:tc>
        <w:tc>
          <w:tcPr>
            <w:tcW w:w="4204" w:type="dxa"/>
          </w:tcPr>
          <w:p w14:paraId="6A25FD69" w14:textId="77777777" w:rsidR="00A077EE" w:rsidRDefault="00D76748">
            <w:pPr>
              <w:spacing w:line="360" w:lineRule="auto"/>
              <w:jc w:val="both"/>
              <w:rPr>
                <w:rFonts w:ascii="Times New Roman" w:hAnsi="Times New Roman" w:cs="Times New Roman"/>
                <w:b/>
                <w:bCs/>
                <w:szCs w:val="21"/>
                <w:lang w:bidi="ar"/>
              </w:rPr>
            </w:pPr>
            <w:r>
              <w:rPr>
                <w:noProof/>
              </w:rPr>
              <w:drawing>
                <wp:inline distT="0" distB="0" distL="0" distR="0" wp14:anchorId="3B3C2542" wp14:editId="0D6E198A">
                  <wp:extent cx="2562225" cy="1670050"/>
                  <wp:effectExtent l="9525" t="9525" r="19050" b="1587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20"/>
                          <a:srcRect/>
                          <a:stretch>
                            <a:fillRect/>
                          </a:stretch>
                        </pic:blipFill>
                        <pic:spPr>
                          <a:xfrm>
                            <a:off x="0" y="0"/>
                            <a:ext cx="2562225" cy="1670050"/>
                          </a:xfrm>
                          <a:prstGeom prst="rect">
                            <a:avLst/>
                          </a:prstGeom>
                          <a:noFill/>
                          <a:ln w="9525">
                            <a:solidFill>
                              <a:schemeClr val="bg1">
                                <a:lumMod val="65000"/>
                              </a:schemeClr>
                            </a:solidFill>
                            <a:miter lim="800000"/>
                            <a:headEnd/>
                            <a:tailEnd/>
                          </a:ln>
                        </pic:spPr>
                      </pic:pic>
                    </a:graphicData>
                  </a:graphic>
                </wp:inline>
              </w:drawing>
            </w:r>
          </w:p>
        </w:tc>
      </w:tr>
      <w:tr w:rsidR="00A077EE" w14:paraId="27EFC4C6" w14:textId="77777777">
        <w:trPr>
          <w:trHeight w:val="437"/>
        </w:trPr>
        <w:tc>
          <w:tcPr>
            <w:tcW w:w="3995" w:type="dxa"/>
          </w:tcPr>
          <w:p w14:paraId="5CC1D384" w14:textId="77777777" w:rsidR="00A077EE" w:rsidRDefault="00D76748">
            <w:pPr>
              <w:spacing w:line="360" w:lineRule="auto"/>
              <w:jc w:val="both"/>
              <w:rPr>
                <w:rFonts w:ascii="Times New Roman" w:hAnsi="Times New Roman" w:cs="Times New Roman"/>
                <w:szCs w:val="21"/>
              </w:rPr>
            </w:pPr>
            <w:r>
              <w:rPr>
                <w:rFonts w:ascii="Times New Roman" w:hAnsi="Times New Roman" w:cs="Times New Roman"/>
                <w:b/>
                <w:bCs/>
                <w:sz w:val="21"/>
                <w:szCs w:val="18"/>
              </w:rPr>
              <w:lastRenderedPageBreak/>
              <w:t>CL-CYH-009-L-GT-F/CL-CYH-009-L-GT-R</w:t>
            </w:r>
          </w:p>
        </w:tc>
        <w:tc>
          <w:tcPr>
            <w:tcW w:w="4204" w:type="dxa"/>
          </w:tcPr>
          <w:p w14:paraId="12DC492B" w14:textId="77777777" w:rsidR="00A077EE" w:rsidRDefault="00A077EE">
            <w:pPr>
              <w:spacing w:line="360" w:lineRule="auto"/>
              <w:jc w:val="both"/>
            </w:pPr>
          </w:p>
        </w:tc>
      </w:tr>
      <w:tr w:rsidR="00A077EE" w14:paraId="6127D094" w14:textId="77777777">
        <w:trPr>
          <w:trHeight w:val="3023"/>
        </w:trPr>
        <w:tc>
          <w:tcPr>
            <w:tcW w:w="8199" w:type="dxa"/>
            <w:gridSpan w:val="2"/>
          </w:tcPr>
          <w:p w14:paraId="345CA4B7" w14:textId="77777777" w:rsidR="00A077EE" w:rsidRDefault="00D76748">
            <w:pPr>
              <w:spacing w:line="360" w:lineRule="auto"/>
              <w:jc w:val="both"/>
            </w:pPr>
            <w:r>
              <w:rPr>
                <w:noProof/>
              </w:rPr>
              <w:drawing>
                <wp:inline distT="0" distB="0" distL="0" distR="0" wp14:anchorId="53D67E53" wp14:editId="66B92305">
                  <wp:extent cx="2541905" cy="1683385"/>
                  <wp:effectExtent l="9525" t="9525" r="20320" b="2159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21"/>
                          <a:srcRect/>
                          <a:stretch>
                            <a:fillRect/>
                          </a:stretch>
                        </pic:blipFill>
                        <pic:spPr>
                          <a:xfrm>
                            <a:off x="0" y="0"/>
                            <a:ext cx="2541905" cy="1683385"/>
                          </a:xfrm>
                          <a:prstGeom prst="rect">
                            <a:avLst/>
                          </a:prstGeom>
                          <a:noFill/>
                          <a:ln w="9525">
                            <a:solidFill>
                              <a:schemeClr val="bg1">
                                <a:lumMod val="65000"/>
                              </a:schemeClr>
                            </a:solidFill>
                            <a:miter lim="800000"/>
                            <a:headEnd/>
                            <a:tailEnd/>
                          </a:ln>
                        </pic:spPr>
                      </pic:pic>
                    </a:graphicData>
                  </a:graphic>
                </wp:inline>
              </w:drawing>
            </w:r>
            <w:r>
              <w:t xml:space="preserve">                                    </w:t>
            </w:r>
          </w:p>
        </w:tc>
      </w:tr>
    </w:tbl>
    <w:p w14:paraId="4F799E46" w14:textId="19D32710" w:rsidR="00A077EE" w:rsidRDefault="00D76748">
      <w:pPr>
        <w:adjustRightInd w:val="0"/>
        <w:snapToGrid w:val="0"/>
        <w:spacing w:line="360" w:lineRule="auto"/>
        <w:jc w:val="both"/>
        <w:rPr>
          <w:rFonts w:ascii="Times New Roman" w:hAnsi="Times New Roman" w:cs="Times New Roman"/>
          <w:b/>
          <w:color w:val="000000" w:themeColor="text1"/>
          <w:sz w:val="21"/>
          <w:szCs w:val="21"/>
        </w:rPr>
      </w:pPr>
      <w:r>
        <w:rPr>
          <w:rFonts w:ascii="Times New Roman" w:hAnsi="Times New Roman" w:cs="Times New Roman"/>
          <w:b/>
          <w:color w:val="000000"/>
          <w:sz w:val="21"/>
          <w:szCs w:val="21"/>
        </w:rPr>
        <w:t>Figure S</w:t>
      </w:r>
      <w:r w:rsidR="00FF1E79">
        <w:rPr>
          <w:rFonts w:ascii="Times New Roman" w:hAnsi="Times New Roman" w:cs="Times New Roman"/>
          <w:b/>
          <w:color w:val="000000"/>
          <w:sz w:val="21"/>
          <w:szCs w:val="21"/>
        </w:rPr>
        <w:t>9</w:t>
      </w:r>
      <w:r>
        <w:rPr>
          <w:rFonts w:ascii="Times New Roman" w:hAnsi="Times New Roman" w:cs="Times New Roman"/>
          <w:b/>
          <w:color w:val="000000"/>
          <w:sz w:val="21"/>
          <w:szCs w:val="21"/>
        </w:rPr>
        <w:t xml:space="preserve">. </w:t>
      </w:r>
      <w:r>
        <w:rPr>
          <w:rFonts w:ascii="Times New Roman" w:hAnsi="Times New Roman" w:cs="Times New Roman"/>
          <w:b/>
          <w:sz w:val="21"/>
          <w:szCs w:val="21"/>
        </w:rPr>
        <w:t>Monoclonal detection(CL-CYH-009-L-GT-F/PuΔTK-GT-F,</w:t>
      </w:r>
      <w:r>
        <w:rPr>
          <w:rFonts w:ascii="Times New Roman" w:hAnsi="Times New Roman" w:cs="Times New Roman"/>
          <w:b/>
          <w:color w:val="000000" w:themeColor="text1"/>
          <w:sz w:val="21"/>
          <w:szCs w:val="21"/>
        </w:rPr>
        <w:t xml:space="preserve"> Neo-GT-R/</w:t>
      </w:r>
    </w:p>
    <w:p w14:paraId="07B9BB79" w14:textId="77777777" w:rsidR="00A077EE" w:rsidRDefault="00D76748">
      <w:pPr>
        <w:adjustRightInd w:val="0"/>
        <w:snapToGrid w:val="0"/>
        <w:spacing w:line="360" w:lineRule="auto"/>
        <w:jc w:val="both"/>
        <w:rPr>
          <w:rFonts w:ascii="Times New Roman" w:hAnsi="Times New Roman" w:cs="Times New Roman"/>
          <w:b/>
          <w:sz w:val="21"/>
          <w:szCs w:val="21"/>
          <w:lang w:bidi="ar"/>
        </w:rPr>
      </w:pPr>
      <w:r>
        <w:rPr>
          <w:rFonts w:ascii="Times New Roman" w:hAnsi="Times New Roman" w:cs="Times New Roman"/>
          <w:b/>
          <w:color w:val="000000" w:themeColor="text1"/>
          <w:sz w:val="21"/>
          <w:szCs w:val="21"/>
        </w:rPr>
        <w:t>CL-CYH-009-R-GT-R,</w:t>
      </w:r>
      <w:r>
        <w:rPr>
          <w:rFonts w:ascii="Times New Roman" w:hAnsi="Times New Roman" w:cs="Times New Roman"/>
          <w:b/>
          <w:sz w:val="21"/>
          <w:szCs w:val="21"/>
        </w:rPr>
        <w:t xml:space="preserve"> CL-CYH-009-L-GT-F/CL-CYH-009-L-GT-R)</w:t>
      </w:r>
    </w:p>
    <w:p w14:paraId="7B59D4D7" w14:textId="77777777" w:rsidR="00A077EE" w:rsidRDefault="00A077EE">
      <w:pPr>
        <w:adjustRightInd w:val="0"/>
        <w:snapToGrid w:val="0"/>
        <w:spacing w:line="360" w:lineRule="auto"/>
        <w:ind w:firstLine="420"/>
        <w:jc w:val="both"/>
        <w:rPr>
          <w:rFonts w:ascii="Times New Roman" w:hAnsi="Times New Roman" w:cs="Times New Roman"/>
          <w:bCs/>
        </w:rPr>
      </w:pPr>
    </w:p>
    <w:p w14:paraId="40472BAD" w14:textId="77777777" w:rsidR="00A077EE" w:rsidRPr="0093527B" w:rsidRDefault="00D76748" w:rsidP="0093527B">
      <w:pPr>
        <w:pStyle w:val="af1"/>
        <w:numPr>
          <w:ilvl w:val="0"/>
          <w:numId w:val="3"/>
        </w:numPr>
        <w:adjustRightInd w:val="0"/>
        <w:snapToGrid w:val="0"/>
        <w:spacing w:line="360" w:lineRule="auto"/>
        <w:ind w:firstLineChars="0"/>
        <w:jc w:val="both"/>
        <w:rPr>
          <w:rFonts w:ascii="Times New Roman" w:hAnsi="Times New Roman" w:cs="Times New Roman"/>
          <w:b/>
        </w:rPr>
      </w:pPr>
      <w:r w:rsidRPr="0093527B">
        <w:rPr>
          <w:rFonts w:ascii="Times New Roman" w:hAnsi="Times New Roman" w:cs="Times New Roman"/>
          <w:b/>
        </w:rPr>
        <w:t>Cellular aldosterone content detection</w:t>
      </w:r>
    </w:p>
    <w:p w14:paraId="05635129" w14:textId="77777777"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t xml:space="preserve">Take the cell culture supernatant for aldosterone content detection. Double-antibody one-step sandwich enzyme-linked immunosorbent </w:t>
      </w:r>
      <w:r w:rsidRPr="0093527B">
        <w:rPr>
          <w:rFonts w:ascii="Times New Roman" w:hAnsi="Times New Roman" w:cs="Times New Roman"/>
          <w:bCs/>
        </w:rPr>
        <w:t>assay (Human ALD Elisa Kit</w:t>
      </w:r>
      <w:r w:rsidRPr="0093527B">
        <w:rPr>
          <w:rFonts w:ascii="Times New Roman" w:hAnsi="Times New Roman" w:cs="Times New Roman" w:hint="eastAsia"/>
          <w:bCs/>
        </w:rPr>
        <w:t>, SAIPEISEN Biotechnology Co., Ltd.</w:t>
      </w:r>
      <w:r w:rsidR="0093527B" w:rsidRPr="0093527B">
        <w:rPr>
          <w:rFonts w:ascii="Times New Roman" w:hAnsi="Times New Roman" w:cs="Times New Roman"/>
          <w:bCs/>
        </w:rPr>
        <w:t>, shanghai, China</w:t>
      </w:r>
      <w:r w:rsidRPr="0093527B">
        <w:rPr>
          <w:rFonts w:ascii="Times New Roman" w:hAnsi="Times New Roman" w:cs="Times New Roman"/>
          <w:bCs/>
        </w:rPr>
        <w:t>) was</w:t>
      </w:r>
      <w:r>
        <w:rPr>
          <w:rFonts w:ascii="Times New Roman" w:hAnsi="Times New Roman" w:cs="Times New Roman"/>
          <w:bCs/>
        </w:rPr>
        <w:t xml:space="preserve"> used. To the coated microwells pre-coated with human aldosterone (ALD) capture antibody, add the specimen, standard, and HRP-labeled detection antibody in sequence, incubate and wash thoroughly. The color is developed with the substrate TMB. TMB is converted into blue under the catalysis of peroxidase and into the final yellow under the action of acid. The intensity of the color is positively correlated with the human aldosterone (ALD) in the sample. Measure the absorbance (OD value) with a microplate reader at a wavelength of 450</w:t>
      </w:r>
      <w:r>
        <w:rPr>
          <w:rFonts w:ascii="Times New Roman" w:hAnsi="Times New Roman" w:cs="Times New Roman" w:hint="eastAsia"/>
          <w:bCs/>
        </w:rPr>
        <w:t xml:space="preserve"> </w:t>
      </w:r>
      <w:r>
        <w:rPr>
          <w:rFonts w:ascii="Times New Roman" w:hAnsi="Times New Roman" w:cs="Times New Roman"/>
          <w:bCs/>
        </w:rPr>
        <w:t>nm to calculate the sample concentration.The specific steps are as follows:</w:t>
      </w:r>
    </w:p>
    <w:p w14:paraId="4E2D460B" w14:textId="77777777"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t>1. Take out the required slats from the aluminum foil bag that has been equilibrated at room temperature for 20 minutes, and seal the remaining slats with a ziplock bag and put it back to 4°C.</w:t>
      </w:r>
    </w:p>
    <w:p w14:paraId="39E4FE05" w14:textId="77777777"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t>2. Set up standard wells and sample wells, add 50μL of standards of different concentrations to each of the standard wells;</w:t>
      </w:r>
    </w:p>
    <w:p w14:paraId="20F1E07B" w14:textId="77777777"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t>3. Add 50μL of the sample to be tested into the sample hole; do not add the blank hole.</w:t>
      </w:r>
    </w:p>
    <w:p w14:paraId="7A3DA047" w14:textId="77777777"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t>4. In addition to the blank wells, add 100μL of horseradish peroxidase (HRP)-labeled detection antibody to each well of the standard wells and sample wells, seal the reaction wells with a sealing film, and incubate in a 37°C water bath or incubator 60min.</w:t>
      </w:r>
    </w:p>
    <w:p w14:paraId="293ABC94" w14:textId="77777777"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lastRenderedPageBreak/>
        <w:t>5. Discard the liquid, pat dry on absorbent paper, fill each hole with washing solution (350μL), let stand for 1 min, shake off the washing solution, pat dry on absorbent paper, and repeat the plate washing 5 times (also can be washed with a plate washer) plate).</w:t>
      </w:r>
    </w:p>
    <w:p w14:paraId="4D614C1C" w14:textId="0D93DCEB"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t xml:space="preserve">6. Add 50μL each of Substrate A and B to each </w:t>
      </w:r>
      <w:r w:rsidR="00FF1E79">
        <w:rPr>
          <w:rFonts w:ascii="Times New Roman" w:hAnsi="Times New Roman" w:cs="Times New Roman"/>
          <w:bCs/>
        </w:rPr>
        <w:t>well and</w:t>
      </w:r>
      <w:r>
        <w:rPr>
          <w:rFonts w:ascii="Times New Roman" w:hAnsi="Times New Roman" w:cs="Times New Roman"/>
          <w:bCs/>
        </w:rPr>
        <w:t xml:space="preserve"> incubate at 37°C for 15min in the dark.</w:t>
      </w:r>
    </w:p>
    <w:p w14:paraId="28B1BFEA" w14:textId="698E9032"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t xml:space="preserve">7. Add 50μL of stop solution to each </w:t>
      </w:r>
      <w:r w:rsidR="00FF1E79">
        <w:rPr>
          <w:rFonts w:ascii="Times New Roman" w:hAnsi="Times New Roman" w:cs="Times New Roman"/>
          <w:bCs/>
        </w:rPr>
        <w:t>well and</w:t>
      </w:r>
      <w:r>
        <w:rPr>
          <w:rFonts w:ascii="Times New Roman" w:hAnsi="Times New Roman" w:cs="Times New Roman"/>
          <w:bCs/>
        </w:rPr>
        <w:t xml:space="preserve"> measure the OD value of each well at 450nm wavelength within 15min.</w:t>
      </w:r>
    </w:p>
    <w:p w14:paraId="461C4382" w14:textId="77777777"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t>Calculation of experimental results:</w:t>
      </w:r>
      <w:r>
        <w:rPr>
          <w:rFonts w:ascii="Times New Roman" w:hAnsi="Times New Roman" w:cs="Times New Roman" w:hint="eastAsia"/>
          <w:bCs/>
        </w:rPr>
        <w:t xml:space="preserve"> </w:t>
      </w:r>
      <w:r>
        <w:rPr>
          <w:rFonts w:ascii="Times New Roman" w:hAnsi="Times New Roman" w:cs="Times New Roman"/>
          <w:bCs/>
        </w:rPr>
        <w:t xml:space="preserve">Take the OD value of the measured standard product as the abscissa, and the concentration value of the standard product (the concentration of the standard product is: 400, 200, 100, 50, 25, 12.5 pg/mL) as the ordinate, on the graph paper or use the relevant The software draws the standard curve, and obtains the linear regression equation, substitutes the OD value of the sample into the equation, and calculates the concentration of the sample. </w:t>
      </w:r>
    </w:p>
    <w:p w14:paraId="4556A15A" w14:textId="77777777" w:rsidR="00A077EE" w:rsidRDefault="00A077EE">
      <w:pPr>
        <w:adjustRightInd w:val="0"/>
        <w:snapToGrid w:val="0"/>
        <w:spacing w:line="360" w:lineRule="auto"/>
        <w:jc w:val="both"/>
        <w:rPr>
          <w:rFonts w:ascii="Times New Roman" w:hAnsi="Times New Roman" w:cs="Times New Roman"/>
          <w:bCs/>
        </w:rPr>
      </w:pPr>
    </w:p>
    <w:p w14:paraId="2778CC58" w14:textId="40983876" w:rsidR="00A077EE" w:rsidRPr="0093527B" w:rsidRDefault="0093527B">
      <w:pPr>
        <w:adjustRightInd w:val="0"/>
        <w:snapToGrid w:val="0"/>
        <w:spacing w:line="360" w:lineRule="auto"/>
        <w:jc w:val="both"/>
        <w:rPr>
          <w:rFonts w:ascii="Times New Roman" w:hAnsi="Times New Roman" w:cs="Times New Roman"/>
          <w:b/>
        </w:rPr>
      </w:pPr>
      <w:r>
        <w:rPr>
          <w:rFonts w:ascii="Times New Roman" w:hAnsi="Times New Roman" w:cs="Times New Roman"/>
          <w:b/>
        </w:rPr>
        <w:t xml:space="preserve">4. </w:t>
      </w:r>
      <w:r w:rsidR="00D76748" w:rsidRPr="0093527B">
        <w:rPr>
          <w:rFonts w:ascii="Times New Roman" w:hAnsi="Times New Roman" w:cs="Times New Roman"/>
          <w:b/>
        </w:rPr>
        <w:t xml:space="preserve">Cellular </w:t>
      </w:r>
      <w:r w:rsidR="00FF1E79" w:rsidRPr="0093527B">
        <w:rPr>
          <w:rFonts w:ascii="Times New Roman" w:hAnsi="Times New Roman" w:cs="Times New Roman"/>
          <w:b/>
        </w:rPr>
        <w:t>pregn</w:t>
      </w:r>
      <w:r w:rsidR="00FF1E79">
        <w:rPr>
          <w:rFonts w:ascii="Times New Roman" w:hAnsi="Times New Roman" w:cs="Times New Roman"/>
          <w:b/>
        </w:rPr>
        <w:t>e</w:t>
      </w:r>
      <w:r w:rsidR="00FF1E79" w:rsidRPr="0093527B">
        <w:rPr>
          <w:rFonts w:ascii="Times New Roman" w:hAnsi="Times New Roman" w:cs="Times New Roman"/>
          <w:b/>
        </w:rPr>
        <w:t>nolone</w:t>
      </w:r>
      <w:r w:rsidR="00D76748" w:rsidRPr="0093527B">
        <w:rPr>
          <w:rFonts w:ascii="Times New Roman" w:hAnsi="Times New Roman" w:cs="Times New Roman" w:hint="eastAsia"/>
          <w:b/>
        </w:rPr>
        <w:t>/progesterone/ corticosterone/cholesterol</w:t>
      </w:r>
      <w:r w:rsidR="00D76748" w:rsidRPr="0093527B">
        <w:rPr>
          <w:rFonts w:ascii="Times New Roman" w:hAnsi="Times New Roman" w:cs="Times New Roman"/>
          <w:b/>
        </w:rPr>
        <w:t xml:space="preserve"> content detection</w:t>
      </w:r>
    </w:p>
    <w:p w14:paraId="60440CDB" w14:textId="75860637" w:rsidR="00A077EE" w:rsidRPr="0093527B" w:rsidRDefault="00D76748">
      <w:pPr>
        <w:adjustRightInd w:val="0"/>
        <w:snapToGrid w:val="0"/>
        <w:spacing w:line="360" w:lineRule="auto"/>
        <w:ind w:firstLine="420"/>
        <w:jc w:val="both"/>
        <w:rPr>
          <w:rFonts w:ascii="Times New Roman" w:hAnsi="Times New Roman" w:cs="Times New Roman"/>
          <w:bCs/>
        </w:rPr>
      </w:pPr>
      <w:r w:rsidRPr="0093527B">
        <w:rPr>
          <w:rFonts w:ascii="Times New Roman" w:hAnsi="Times New Roman" w:cs="Times New Roman" w:hint="eastAsia"/>
          <w:bCs/>
        </w:rPr>
        <w:t>The detection of pregn</w:t>
      </w:r>
      <w:r w:rsidR="00FF1E79">
        <w:rPr>
          <w:rFonts w:ascii="Times New Roman" w:hAnsi="Times New Roman" w:cs="Times New Roman"/>
          <w:bCs/>
        </w:rPr>
        <w:t>eno</w:t>
      </w:r>
      <w:r w:rsidRPr="0093527B">
        <w:rPr>
          <w:rFonts w:ascii="Times New Roman" w:hAnsi="Times New Roman" w:cs="Times New Roman" w:hint="eastAsia"/>
          <w:bCs/>
        </w:rPr>
        <w:t>lone/progesterone/corticosterone/cholesterol content in cells was carried out using a commercial double-antibody sandwich ELISA kit (SAIPEISEN Biotechnology</w:t>
      </w:r>
      <w:r w:rsidRPr="0093527B">
        <w:rPr>
          <w:rFonts w:ascii="Times New Roman" w:hAnsi="Times New Roman" w:cs="Times New Roman"/>
          <w:bCs/>
        </w:rPr>
        <w:t>, Shanghai, China</w:t>
      </w:r>
      <w:r w:rsidRPr="0093527B">
        <w:rPr>
          <w:rFonts w:ascii="Times New Roman" w:hAnsi="Times New Roman" w:cs="Times New Roman" w:hint="eastAsia"/>
          <w:bCs/>
        </w:rPr>
        <w:t>), and the specific operation method was the same as the aldosterone detection method.</w:t>
      </w:r>
    </w:p>
    <w:p w14:paraId="2DAE12F0" w14:textId="77777777" w:rsidR="00A077EE" w:rsidRDefault="00A077EE">
      <w:pPr>
        <w:adjustRightInd w:val="0"/>
        <w:snapToGrid w:val="0"/>
        <w:spacing w:line="360" w:lineRule="auto"/>
        <w:ind w:firstLine="420"/>
        <w:jc w:val="both"/>
        <w:rPr>
          <w:rFonts w:ascii="Times New Roman" w:hAnsi="Times New Roman" w:cs="Times New Roman"/>
          <w:bCs/>
        </w:rPr>
      </w:pPr>
    </w:p>
    <w:p w14:paraId="0A1951D0" w14:textId="77777777" w:rsidR="00A077EE" w:rsidRDefault="0093527B">
      <w:pPr>
        <w:adjustRightInd w:val="0"/>
        <w:snapToGrid w:val="0"/>
        <w:spacing w:line="360" w:lineRule="auto"/>
        <w:jc w:val="both"/>
        <w:rPr>
          <w:rFonts w:ascii="Times New Roman" w:hAnsi="Times New Roman" w:cs="Times New Roman"/>
          <w:b/>
        </w:rPr>
      </w:pPr>
      <w:r>
        <w:rPr>
          <w:rFonts w:ascii="Times New Roman" w:hAnsi="Times New Roman" w:cs="Times New Roman"/>
          <w:b/>
        </w:rPr>
        <w:t xml:space="preserve">5. </w:t>
      </w:r>
      <w:r w:rsidR="00D76748">
        <w:rPr>
          <w:rFonts w:ascii="Times New Roman" w:hAnsi="Times New Roman" w:cs="Times New Roman"/>
          <w:b/>
        </w:rPr>
        <w:t>Fluo-4 AM calcium ion fluorescent probe to detect intracellular calcium ion concentration</w:t>
      </w:r>
    </w:p>
    <w:p w14:paraId="08645D20" w14:textId="77777777"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t>The maximum excitation wavelength of Fluo-4 AM fluorescent probe combined with calcium ion is 494nm, and the maximum emission wavelength is 516nm. The changes in intracellular calcium ion levels can be detected by laser confocal microscope or flow cytometry. The specific experimental methods are as follows:</w:t>
      </w:r>
    </w:p>
    <w:p w14:paraId="0D554FD2" w14:textId="4257FAA3"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t>1</w:t>
      </w:r>
      <w:r>
        <w:rPr>
          <w:rFonts w:ascii="Times New Roman" w:hAnsi="Times New Roman" w:cs="Times New Roman" w:hint="eastAsia"/>
          <w:bCs/>
        </w:rPr>
        <w:t>)</w:t>
      </w:r>
      <w:r>
        <w:rPr>
          <w:rFonts w:ascii="Times New Roman" w:hAnsi="Times New Roman" w:cs="Times New Roman"/>
          <w:bCs/>
        </w:rPr>
        <w:t xml:space="preserve"> Prepare Pluronic F-127</w:t>
      </w:r>
      <w:r w:rsidR="00FF1E79">
        <w:rPr>
          <w:rFonts w:ascii="Times New Roman" w:hAnsi="Times New Roman" w:cs="Times New Roman"/>
          <w:bCs/>
        </w:rPr>
        <w:t xml:space="preserve"> stock solution</w:t>
      </w:r>
      <w:r>
        <w:rPr>
          <w:rFonts w:ascii="Times New Roman" w:hAnsi="Times New Roman" w:cs="Times New Roman"/>
          <w:bCs/>
        </w:rPr>
        <w:t>: Weigh Pluronic F-127 powder and add 500ul DMSO to 20% (W/V)</w:t>
      </w:r>
      <w:r>
        <w:rPr>
          <w:rFonts w:ascii="Times New Roman" w:hAnsi="Times New Roman" w:cs="Times New Roman" w:hint="eastAsia"/>
          <w:bCs/>
        </w:rPr>
        <w:t xml:space="preserve"> </w:t>
      </w:r>
      <w:r w:rsidR="00FF1E79">
        <w:rPr>
          <w:rFonts w:ascii="Times New Roman" w:hAnsi="Times New Roman" w:cs="Times New Roman"/>
          <w:bCs/>
        </w:rPr>
        <w:t>stock solution.</w:t>
      </w:r>
    </w:p>
    <w:p w14:paraId="1CE3F1CD" w14:textId="3080F1A4"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t>2</w:t>
      </w:r>
      <w:r>
        <w:rPr>
          <w:rFonts w:ascii="Times New Roman" w:hAnsi="Times New Roman" w:cs="Times New Roman" w:hint="eastAsia"/>
          <w:bCs/>
        </w:rPr>
        <w:t xml:space="preserve">) </w:t>
      </w:r>
      <w:r>
        <w:rPr>
          <w:rFonts w:ascii="Times New Roman" w:hAnsi="Times New Roman" w:cs="Times New Roman"/>
          <w:bCs/>
        </w:rPr>
        <w:t xml:space="preserve">Dissolve Fluo-4 with anhydrous DMSO and prepare 5mM stock solution with </w:t>
      </w:r>
      <w:r w:rsidR="00FF1E79">
        <w:rPr>
          <w:rFonts w:ascii="Times New Roman" w:hAnsi="Times New Roman" w:cs="Times New Roman"/>
          <w:bCs/>
        </w:rPr>
        <w:t>AM;</w:t>
      </w:r>
    </w:p>
    <w:p w14:paraId="6FBFF606" w14:textId="77777777"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lastRenderedPageBreak/>
        <w:t>3</w:t>
      </w:r>
      <w:r>
        <w:rPr>
          <w:rFonts w:ascii="Times New Roman" w:hAnsi="Times New Roman" w:cs="Times New Roman" w:hint="eastAsia"/>
          <w:bCs/>
        </w:rPr>
        <w:t>)</w:t>
      </w:r>
      <w:r>
        <w:rPr>
          <w:rFonts w:ascii="Times New Roman" w:hAnsi="Times New Roman" w:cs="Times New Roman"/>
          <w:bCs/>
        </w:rPr>
        <w:t xml:space="preserve"> Dilute the Fluo-4 AM+DMSO stock solution to 10uM working solution with PBS, add an appropriate amount of 20% Pluronic F-127 solution in advance to make the final concentration 0.02%</w:t>
      </w:r>
      <w:r>
        <w:rPr>
          <w:rFonts w:ascii="Times New Roman" w:hAnsi="Times New Roman" w:cs="Times New Roman" w:hint="eastAsia"/>
          <w:bCs/>
        </w:rPr>
        <w:t>;</w:t>
      </w:r>
    </w:p>
    <w:p w14:paraId="324E38FE" w14:textId="77777777"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t>4</w:t>
      </w:r>
      <w:r>
        <w:rPr>
          <w:rFonts w:ascii="Times New Roman" w:hAnsi="Times New Roman" w:cs="Times New Roman" w:hint="eastAsia"/>
          <w:bCs/>
        </w:rPr>
        <w:t>)</w:t>
      </w:r>
      <w:r>
        <w:rPr>
          <w:rFonts w:ascii="Times New Roman" w:hAnsi="Times New Roman" w:cs="Times New Roman"/>
          <w:bCs/>
        </w:rPr>
        <w:t xml:space="preserve"> Add the prepared Fluo-4 AM working solution to the cells, the amount added is subject to covering the cells. Incubate at 37℃ or room temperature for 1h</w:t>
      </w:r>
      <w:r>
        <w:rPr>
          <w:rFonts w:ascii="Times New Roman" w:hAnsi="Times New Roman" w:cs="Times New Roman" w:hint="eastAsia"/>
          <w:bCs/>
        </w:rPr>
        <w:t>;</w:t>
      </w:r>
    </w:p>
    <w:p w14:paraId="7DED4901" w14:textId="77777777"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t>5</w:t>
      </w:r>
      <w:r>
        <w:rPr>
          <w:rFonts w:ascii="Times New Roman" w:hAnsi="Times New Roman" w:cs="Times New Roman" w:hint="eastAsia"/>
          <w:bCs/>
        </w:rPr>
        <w:t>)</w:t>
      </w:r>
      <w:r>
        <w:rPr>
          <w:rFonts w:ascii="Times New Roman" w:hAnsi="Times New Roman" w:cs="Times New Roman"/>
          <w:bCs/>
        </w:rPr>
        <w:t xml:space="preserve"> Aspirate the staining working solution and wash with PBS 3 times to remove excess probes</w:t>
      </w:r>
      <w:r>
        <w:rPr>
          <w:rFonts w:ascii="Times New Roman" w:hAnsi="Times New Roman" w:cs="Times New Roman" w:hint="eastAsia"/>
          <w:bCs/>
        </w:rPr>
        <w:t>;</w:t>
      </w:r>
    </w:p>
    <w:p w14:paraId="13169850" w14:textId="77777777"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t>6</w:t>
      </w:r>
      <w:r>
        <w:rPr>
          <w:rFonts w:ascii="Times New Roman" w:hAnsi="Times New Roman" w:cs="Times New Roman" w:hint="eastAsia"/>
          <w:bCs/>
        </w:rPr>
        <w:t>)</w:t>
      </w:r>
      <w:r>
        <w:rPr>
          <w:rFonts w:ascii="Times New Roman" w:hAnsi="Times New Roman" w:cs="Times New Roman"/>
          <w:bCs/>
        </w:rPr>
        <w:t xml:space="preserve"> Use a fluorescence microscope to observe the intensity of intracellular fluorescence and/or quantitatively detect intracellular fluorescence intensity by flow cytometry. </w:t>
      </w:r>
    </w:p>
    <w:p w14:paraId="64DDECBB" w14:textId="0A793EC8" w:rsidR="00A077EE" w:rsidRDefault="00D76748">
      <w:pPr>
        <w:spacing w:line="360" w:lineRule="auto"/>
        <w:ind w:firstLine="420"/>
        <w:jc w:val="both"/>
        <w:rPr>
          <w:rFonts w:ascii="Times New Roman" w:hAnsi="Times New Roman" w:cs="Times New Roman"/>
        </w:rPr>
      </w:pPr>
      <w:r>
        <w:rPr>
          <w:rFonts w:ascii="Times New Roman" w:hAnsi="Times New Roman" w:cs="Times New Roman" w:hint="eastAsia"/>
        </w:rPr>
        <w:t>We</w:t>
      </w:r>
      <w:r>
        <w:rPr>
          <w:rFonts w:ascii="Times New Roman" w:hAnsi="Times New Roman" w:cs="Times New Roman"/>
        </w:rPr>
        <w:t xml:space="preserve"> target the mutant cell </w:t>
      </w:r>
      <w:r w:rsidR="00FF1E79">
        <w:rPr>
          <w:rFonts w:ascii="Times New Roman" w:hAnsi="Times New Roman" w:cs="Times New Roman"/>
        </w:rPr>
        <w:t>line,</w:t>
      </w:r>
      <w:r>
        <w:rPr>
          <w:rFonts w:ascii="Times New Roman" w:hAnsi="Times New Roman" w:cs="Times New Roman"/>
        </w:rPr>
        <w:t xml:space="preserve"> and the wild </w:t>
      </w:r>
      <w:r w:rsidR="00FF1E79">
        <w:rPr>
          <w:rFonts w:ascii="Times New Roman" w:hAnsi="Times New Roman" w:cs="Times New Roman"/>
        </w:rPr>
        <w:t xml:space="preserve">type </w:t>
      </w:r>
      <w:r>
        <w:rPr>
          <w:rFonts w:ascii="Times New Roman" w:hAnsi="Times New Roman" w:cs="Times New Roman"/>
        </w:rPr>
        <w:t xml:space="preserve">SW-13 cell line through normal culture (90% </w:t>
      </w:r>
      <w:r>
        <w:rPr>
          <w:rFonts w:ascii="Times New Roman" w:hAnsi="Times New Roman" w:cs="Times New Roman" w:hint="eastAsia"/>
        </w:rPr>
        <w:t>h</w:t>
      </w:r>
      <w:r>
        <w:rPr>
          <w:rFonts w:ascii="Times New Roman" w:hAnsi="Times New Roman" w:cs="Times New Roman"/>
        </w:rPr>
        <w:t xml:space="preserve">igh </w:t>
      </w:r>
      <w:r>
        <w:rPr>
          <w:rFonts w:ascii="Times New Roman" w:hAnsi="Times New Roman" w:cs="Times New Roman" w:hint="eastAsia"/>
        </w:rPr>
        <w:t>g</w:t>
      </w:r>
      <w:r>
        <w:rPr>
          <w:rFonts w:ascii="Times New Roman" w:hAnsi="Times New Roman" w:cs="Times New Roman"/>
        </w:rPr>
        <w:t>lucose DMEM+10%FBS+1% P/S) and high salt culture (</w:t>
      </w:r>
      <w:r>
        <w:rPr>
          <w:rFonts w:ascii="Times New Roman" w:hAnsi="Times New Roman" w:cs="Times New Roman" w:hint="eastAsia"/>
        </w:rPr>
        <w:t>h</w:t>
      </w:r>
      <w:r>
        <w:rPr>
          <w:rFonts w:ascii="Times New Roman" w:hAnsi="Times New Roman" w:cs="Times New Roman"/>
        </w:rPr>
        <w:t>igh K</w:t>
      </w:r>
      <w:r>
        <w:rPr>
          <w:rFonts w:ascii="Times New Roman" w:hAnsi="Times New Roman" w:cs="Times New Roman"/>
          <w:vertAlign w:val="superscript"/>
        </w:rPr>
        <w:t>+</w:t>
      </w:r>
      <w:r>
        <w:rPr>
          <w:rFonts w:ascii="Times New Roman" w:hAnsi="Times New Roman" w:cs="Times New Roman"/>
        </w:rPr>
        <w:t xml:space="preserve"> conditions: K</w:t>
      </w:r>
      <w:r>
        <w:rPr>
          <w:rFonts w:ascii="Times New Roman" w:hAnsi="Times New Roman" w:cs="Times New Roman"/>
          <w:vertAlign w:val="superscript"/>
        </w:rPr>
        <w:t>+</w:t>
      </w:r>
      <w:r>
        <w:rPr>
          <w:rFonts w:ascii="Times New Roman" w:hAnsi="Times New Roman" w:cs="Times New Roman"/>
        </w:rPr>
        <w:t xml:space="preserve"> concentration 7mM; </w:t>
      </w:r>
      <w:r>
        <w:rPr>
          <w:rFonts w:ascii="Times New Roman" w:hAnsi="Times New Roman" w:cs="Times New Roman" w:hint="eastAsia"/>
        </w:rPr>
        <w:t>h</w:t>
      </w:r>
      <w:r>
        <w:rPr>
          <w:rFonts w:ascii="Times New Roman" w:hAnsi="Times New Roman" w:cs="Times New Roman"/>
        </w:rPr>
        <w:t>igh Na</w:t>
      </w:r>
      <w:r>
        <w:rPr>
          <w:rFonts w:ascii="Times New Roman" w:hAnsi="Times New Roman" w:cs="Times New Roman"/>
          <w:vertAlign w:val="superscript"/>
        </w:rPr>
        <w:t>+</w:t>
      </w:r>
      <w:r>
        <w:rPr>
          <w:rFonts w:ascii="Times New Roman" w:hAnsi="Times New Roman" w:cs="Times New Roman"/>
        </w:rPr>
        <w:t xml:space="preserve"> conditions: Na</w:t>
      </w:r>
      <w:r>
        <w:rPr>
          <w:rFonts w:ascii="Times New Roman" w:hAnsi="Times New Roman" w:cs="Times New Roman"/>
          <w:vertAlign w:val="superscript"/>
        </w:rPr>
        <w:t>+</w:t>
      </w:r>
      <w:r>
        <w:rPr>
          <w:rFonts w:ascii="Times New Roman" w:hAnsi="Times New Roman" w:cs="Times New Roman"/>
        </w:rPr>
        <w:t xml:space="preserve"> concentration 200mM). In order to study the main mechanism of </w:t>
      </w:r>
      <w:r>
        <w:rPr>
          <w:rFonts w:ascii="Times New Roman" w:hAnsi="Times New Roman" w:cs="Times New Roman" w:hint="eastAsia"/>
          <w:i/>
        </w:rPr>
        <w:t>KCNJ5</w:t>
      </w:r>
      <w:r>
        <w:rPr>
          <w:rFonts w:ascii="Times New Roman" w:hAnsi="Times New Roman" w:cs="Times New Roman"/>
        </w:rPr>
        <w:t xml:space="preserve"> causing hypertension. </w:t>
      </w:r>
    </w:p>
    <w:p w14:paraId="30CFC090" w14:textId="77777777" w:rsidR="00A077EE" w:rsidRDefault="00A077EE">
      <w:pPr>
        <w:adjustRightInd w:val="0"/>
        <w:snapToGrid w:val="0"/>
        <w:spacing w:line="360" w:lineRule="auto"/>
        <w:ind w:firstLine="420"/>
        <w:jc w:val="both"/>
        <w:rPr>
          <w:rFonts w:ascii="Times New Roman" w:hAnsi="Times New Roman" w:cs="Times New Roman"/>
          <w:bCs/>
        </w:rPr>
      </w:pPr>
    </w:p>
    <w:p w14:paraId="2D1B2D1B" w14:textId="77777777" w:rsidR="00A077EE" w:rsidRPr="0093527B" w:rsidRDefault="00D76748" w:rsidP="0093527B">
      <w:pPr>
        <w:pStyle w:val="af1"/>
        <w:numPr>
          <w:ilvl w:val="0"/>
          <w:numId w:val="5"/>
        </w:numPr>
        <w:adjustRightInd w:val="0"/>
        <w:snapToGrid w:val="0"/>
        <w:spacing w:line="360" w:lineRule="auto"/>
        <w:ind w:firstLineChars="0"/>
        <w:jc w:val="both"/>
        <w:rPr>
          <w:rFonts w:ascii="Times New Roman" w:hAnsi="Times New Roman" w:cs="Times New Roman"/>
          <w:b/>
        </w:rPr>
      </w:pPr>
      <w:r w:rsidRPr="0093527B">
        <w:rPr>
          <w:rFonts w:ascii="Times New Roman" w:hAnsi="Times New Roman" w:cs="Times New Roman"/>
          <w:b/>
        </w:rPr>
        <w:t>SBFI AM sodium ion indicator probe to detect intracellular sodium ion concentration</w:t>
      </w:r>
    </w:p>
    <w:p w14:paraId="069E21A7" w14:textId="77777777" w:rsidR="00A077EE" w:rsidRDefault="00D76748">
      <w:pPr>
        <w:adjustRightInd w:val="0"/>
        <w:snapToGrid w:val="0"/>
        <w:spacing w:line="360" w:lineRule="auto"/>
        <w:jc w:val="both"/>
        <w:rPr>
          <w:rFonts w:ascii="Times New Roman" w:hAnsi="Times New Roman" w:cs="Times New Roman"/>
          <w:bCs/>
        </w:rPr>
      </w:pPr>
      <w:r>
        <w:rPr>
          <w:rFonts w:ascii="Times New Roman" w:hAnsi="Times New Roman" w:cs="Times New Roman"/>
          <w:bCs/>
        </w:rPr>
        <w:t xml:space="preserve">    SBFI (Sodium-binding Benzofuran Isophthalate) is a Na+ selective fluorescent indicator that can be used to predict purified mitochondrial Na+ gradients, detect intracellular Na+ levels, measure cellular Na+ outflow, and use it in combination with other fluorescent indicators to analyze Na+ and Ca+ Correlation with Mg2+ concentration, intracellular pH and membrane potential changes. The spectral response of SBFI after bound ions can be determined by the measurement of excitation light ratio. When the system contains physiological concentration of K+/Na+ (-135mM), the number of dissociation fields (Kd) of SBFI to Na+ is 11.3mM; there is no K+ The Kd for Na+ of the system is 3.8 Mm. The selectivity of SBFI to Na+ is about 18 times stronger than that of K+. The specific experimental methods are as follows:</w:t>
      </w:r>
    </w:p>
    <w:p w14:paraId="7B7DCA06" w14:textId="77777777" w:rsidR="00A077EE" w:rsidRDefault="00D76748">
      <w:pPr>
        <w:adjustRightInd w:val="0"/>
        <w:snapToGrid w:val="0"/>
        <w:spacing w:line="360" w:lineRule="auto"/>
        <w:jc w:val="both"/>
        <w:rPr>
          <w:rFonts w:ascii="Times New Roman" w:hAnsi="Times New Roman" w:cs="Times New Roman"/>
          <w:bCs/>
        </w:rPr>
      </w:pPr>
      <w:r>
        <w:rPr>
          <w:rFonts w:ascii="Times New Roman" w:hAnsi="Times New Roman" w:cs="Times New Roman"/>
          <w:bCs/>
        </w:rPr>
        <w:t xml:space="preserve">   1) Configure 5Mm SBFI AM storage solution: Take 50μg of SBFI AM and place it at room temperature for 20 minutes, centrifuge at low speed and add 8.8723μl of anhydrous DMSO to the tube to fully dissolve it, and prepare a 5mM storage solution</w:t>
      </w:r>
      <w:r>
        <w:rPr>
          <w:rFonts w:ascii="Times New Roman" w:hAnsi="Times New Roman" w:cs="Times New Roman" w:hint="eastAsia"/>
          <w:bCs/>
        </w:rPr>
        <w:t>;</w:t>
      </w:r>
    </w:p>
    <w:p w14:paraId="23BC3786" w14:textId="77777777"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t>2) Preparation of Pluronic F-127 mother liquor: Weigh Pluronic F-127 powder and add 500ul DMSO to prepare 20% (W/V) mother liquor</w:t>
      </w:r>
      <w:r>
        <w:rPr>
          <w:rFonts w:ascii="Times New Roman" w:hAnsi="Times New Roman" w:cs="Times New Roman" w:hint="eastAsia"/>
          <w:bCs/>
        </w:rPr>
        <w:t>;</w:t>
      </w:r>
    </w:p>
    <w:p w14:paraId="06AAE687" w14:textId="20361811"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lastRenderedPageBreak/>
        <w:t xml:space="preserve">3) Mix the 5Mm SBFI AM stock solution with 20% Pluronic F-127 stock solution in equal </w:t>
      </w:r>
      <w:r w:rsidR="00FF1E79">
        <w:rPr>
          <w:rFonts w:ascii="Times New Roman" w:hAnsi="Times New Roman" w:cs="Times New Roman"/>
          <w:bCs/>
        </w:rPr>
        <w:t>volume and</w:t>
      </w:r>
      <w:r>
        <w:rPr>
          <w:rFonts w:ascii="Times New Roman" w:hAnsi="Times New Roman" w:cs="Times New Roman"/>
          <w:bCs/>
        </w:rPr>
        <w:t xml:space="preserve"> add an appropriate amount of PBS to reach the required working concentration (10μM), and add the probe to the cell for labeling. The incubation temperature is 37 degrees </w:t>
      </w:r>
      <w:r w:rsidR="00FF1E79">
        <w:rPr>
          <w:rFonts w:ascii="Times New Roman" w:hAnsi="Times New Roman" w:cs="Times New Roman"/>
          <w:bCs/>
        </w:rPr>
        <w:t>Celsius,</w:t>
      </w:r>
      <w:r>
        <w:rPr>
          <w:rFonts w:ascii="Times New Roman" w:hAnsi="Times New Roman" w:cs="Times New Roman"/>
          <w:bCs/>
        </w:rPr>
        <w:t xml:space="preserve"> and the time is 4h</w:t>
      </w:r>
      <w:r>
        <w:rPr>
          <w:rFonts w:ascii="Times New Roman" w:hAnsi="Times New Roman" w:cs="Times New Roman" w:hint="eastAsia"/>
          <w:bCs/>
        </w:rPr>
        <w:t>;</w:t>
      </w:r>
    </w:p>
    <w:p w14:paraId="655A6A29" w14:textId="77777777"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t>4) At the end of the incubation, add PBS and incubate for an additional hour to ensure that the cells completely esterase SBFI AM</w:t>
      </w:r>
      <w:r>
        <w:rPr>
          <w:rFonts w:ascii="Times New Roman" w:hAnsi="Times New Roman" w:cs="Times New Roman" w:hint="eastAsia"/>
          <w:bCs/>
        </w:rPr>
        <w:t>;</w:t>
      </w:r>
    </w:p>
    <w:p w14:paraId="58A78BAC" w14:textId="77777777"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t>5) Wash the cells 2-3 times with PBS to reduce the extracellular background fluorescence. Use flow cytometry to detect intracellular fluorescence intensity.</w:t>
      </w:r>
    </w:p>
    <w:p w14:paraId="2EA62B17" w14:textId="77777777" w:rsidR="00A077EE" w:rsidRDefault="00A077EE">
      <w:pPr>
        <w:adjustRightInd w:val="0"/>
        <w:snapToGrid w:val="0"/>
        <w:spacing w:line="360" w:lineRule="auto"/>
        <w:jc w:val="both"/>
        <w:rPr>
          <w:rFonts w:ascii="Times New Roman" w:hAnsi="Times New Roman" w:cs="Times New Roman"/>
          <w:bCs/>
        </w:rPr>
      </w:pPr>
    </w:p>
    <w:p w14:paraId="37CFD085" w14:textId="77777777" w:rsidR="00A077EE" w:rsidRPr="0093527B" w:rsidRDefault="00D76748" w:rsidP="0093527B">
      <w:pPr>
        <w:pStyle w:val="af1"/>
        <w:numPr>
          <w:ilvl w:val="0"/>
          <w:numId w:val="5"/>
        </w:numPr>
        <w:adjustRightInd w:val="0"/>
        <w:snapToGrid w:val="0"/>
        <w:spacing w:line="360" w:lineRule="auto"/>
        <w:ind w:firstLineChars="0"/>
        <w:jc w:val="both"/>
        <w:rPr>
          <w:rFonts w:ascii="Times New Roman" w:hAnsi="Times New Roman" w:cs="Times New Roman"/>
          <w:b/>
        </w:rPr>
      </w:pPr>
      <w:r w:rsidRPr="0093527B">
        <w:rPr>
          <w:rFonts w:ascii="Times New Roman" w:hAnsi="Times New Roman" w:cs="Times New Roman"/>
          <w:b/>
        </w:rPr>
        <w:t>PBFI AM potassium ion indicator probe to detect the intracellular potassium ion concentration</w:t>
      </w:r>
    </w:p>
    <w:p w14:paraId="3A7F5CE0" w14:textId="77777777"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t>PBFI (Potassium-binding benzofuran isophthalate) is a K+ sensitive fluorescent probe used to measure the K+ level changes in cells and intracellular compartments. The dissociation constant of PBFI to K+ is very dependent on the presence or absence of Na+. In the system without Na+, the Kd value of PBFI to K+ is 5.1 mM; and in the solution system containing the total concentration of K+/Na+ (about physiological ionic strength), the Kd value of PBFI to K+ is 44 mM; Na+ was replaced by tetramethylammonium chloride, and the Kd value of PBFI to K+ was 11 mM; choline chloride and nitrogen methyl glucosamine were the other two compounds that could replace Na+ in the medium. Although the selectivity of PBFI for K+ is only 1.5 times stronger than that of Na+, this selective ability is sufficient to meet the monitoring needs, because the intracellular K+ is about 10 times higher than Na+ under normal circumstances.</w:t>
      </w:r>
      <w:r>
        <w:rPr>
          <w:rFonts w:ascii="Times New Roman" w:hAnsi="Times New Roman" w:cs="Times New Roman" w:hint="eastAsia"/>
          <w:bCs/>
        </w:rPr>
        <w:t xml:space="preserve"> </w:t>
      </w:r>
      <w:r>
        <w:rPr>
          <w:rFonts w:ascii="Times New Roman" w:hAnsi="Times New Roman" w:cs="Times New Roman"/>
          <w:bCs/>
        </w:rPr>
        <w:t xml:space="preserve">The specific detection method is the same as the SBFI AM probe. </w:t>
      </w:r>
    </w:p>
    <w:p w14:paraId="431AE00E" w14:textId="77777777" w:rsidR="00A077EE" w:rsidRDefault="00A077EE">
      <w:pPr>
        <w:jc w:val="both"/>
        <w:rPr>
          <w:rFonts w:ascii="Times New Roman" w:hAnsi="Times New Roman" w:cs="Times New Roman"/>
          <w:b/>
          <w:bCs/>
          <w:sz w:val="28"/>
          <w:szCs w:val="28"/>
        </w:rPr>
      </w:pPr>
    </w:p>
    <w:p w14:paraId="79125B64" w14:textId="77777777" w:rsidR="00A077EE" w:rsidRDefault="00D76748">
      <w:pPr>
        <w:jc w:val="both"/>
        <w:rPr>
          <w:rFonts w:ascii="Times New Roman" w:hAnsi="Times New Roman" w:cs="Times New Roman"/>
          <w:b/>
          <w:bCs/>
          <w:sz w:val="28"/>
          <w:szCs w:val="28"/>
        </w:rPr>
      </w:pPr>
      <w:r>
        <w:rPr>
          <w:rFonts w:ascii="Times New Roman" w:hAnsi="Times New Roman" w:cs="Times New Roman"/>
          <w:b/>
          <w:bCs/>
          <w:sz w:val="28"/>
          <w:szCs w:val="28"/>
        </w:rPr>
        <w:t>Results</w:t>
      </w:r>
    </w:p>
    <w:p w14:paraId="5048F128" w14:textId="77777777" w:rsidR="00A077EE" w:rsidRDefault="00A077EE">
      <w:pPr>
        <w:jc w:val="both"/>
        <w:rPr>
          <w:rFonts w:ascii="Times New Roman" w:hAnsi="Times New Roman" w:cs="Times New Roman"/>
          <w:b/>
          <w:bCs/>
          <w:szCs w:val="21"/>
        </w:rPr>
      </w:pPr>
    </w:p>
    <w:p w14:paraId="19585FAE" w14:textId="77777777" w:rsidR="00A077EE" w:rsidRPr="0093527B" w:rsidRDefault="00D76748" w:rsidP="0093527B">
      <w:pPr>
        <w:pStyle w:val="af1"/>
        <w:numPr>
          <w:ilvl w:val="0"/>
          <w:numId w:val="4"/>
        </w:numPr>
        <w:spacing w:line="360" w:lineRule="auto"/>
        <w:ind w:firstLineChars="0"/>
        <w:jc w:val="both"/>
        <w:rPr>
          <w:rFonts w:ascii="Times New Roman" w:hAnsi="Times New Roman" w:cs="Times New Roman"/>
          <w:b/>
          <w:bCs/>
          <w:color w:val="000000" w:themeColor="text1"/>
        </w:rPr>
      </w:pPr>
      <w:r w:rsidRPr="0093527B">
        <w:rPr>
          <w:rFonts w:ascii="Times New Roman" w:hAnsi="Times New Roman" w:cs="Times New Roman"/>
          <w:b/>
          <w:bCs/>
          <w:color w:val="000000" w:themeColor="text1"/>
        </w:rPr>
        <w:t xml:space="preserve">Effect of </w:t>
      </w:r>
      <w:r w:rsidRPr="0093527B">
        <w:rPr>
          <w:rFonts w:ascii="Times New Roman" w:hAnsi="Times New Roman" w:cs="Times New Roman" w:hint="eastAsia"/>
          <w:b/>
          <w:bCs/>
          <w:i/>
          <w:color w:val="000000" w:themeColor="text1"/>
        </w:rPr>
        <w:t>KCNJ5</w:t>
      </w:r>
      <w:r w:rsidRPr="0093527B">
        <w:rPr>
          <w:rFonts w:ascii="Times New Roman" w:hAnsi="Times New Roman" w:cs="Times New Roman"/>
          <w:b/>
          <w:bCs/>
          <w:color w:val="000000" w:themeColor="text1"/>
        </w:rPr>
        <w:t xml:space="preserve"> gene mutation on cell proliferation</w:t>
      </w:r>
    </w:p>
    <w:p w14:paraId="6E5B4903" w14:textId="696A7B2E" w:rsidR="00A077EE" w:rsidRDefault="00D76748">
      <w:pPr>
        <w:spacing w:line="360" w:lineRule="auto"/>
        <w:ind w:firstLine="420"/>
        <w:jc w:val="both"/>
        <w:rPr>
          <w:rFonts w:ascii="Times New Roman" w:hAnsi="Times New Roman" w:cs="Times New Roman"/>
          <w:color w:val="000000" w:themeColor="text1"/>
        </w:rPr>
      </w:pPr>
      <w:r>
        <w:rPr>
          <w:rFonts w:ascii="Times New Roman" w:hAnsi="Times New Roman" w:cs="Times New Roman" w:hint="eastAsia"/>
          <w:bCs/>
        </w:rPr>
        <w:t xml:space="preserve">Take the cells in the logarithmic growth phase to prepare a certain concentration of cell </w:t>
      </w:r>
      <w:r w:rsidR="00FF1E79">
        <w:rPr>
          <w:rFonts w:ascii="Times New Roman" w:hAnsi="Times New Roman" w:cs="Times New Roman"/>
          <w:bCs/>
        </w:rPr>
        <w:t>suspension and</w:t>
      </w:r>
      <w:r>
        <w:rPr>
          <w:rFonts w:ascii="Times New Roman" w:hAnsi="Times New Roman" w:cs="Times New Roman" w:hint="eastAsia"/>
          <w:bCs/>
        </w:rPr>
        <w:t xml:space="preserve"> add 100 ul per well to a 96-well cell culture plate. For cell proliferation experiments, 2</w:t>
      </w:r>
      <w:r>
        <w:rPr>
          <w:rFonts w:ascii="Times New Roman" w:hAnsi="Times New Roman" w:cs="Times New Roman" w:hint="eastAsia"/>
          <w:bCs/>
        </w:rPr>
        <w:t>×</w:t>
      </w:r>
      <w:r>
        <w:rPr>
          <w:rFonts w:ascii="Times New Roman" w:hAnsi="Times New Roman" w:cs="Times New Roman" w:hint="eastAsia"/>
          <w:bCs/>
        </w:rPr>
        <w:t>10</w:t>
      </w:r>
      <w:r>
        <w:rPr>
          <w:rFonts w:ascii="Times New Roman" w:hAnsi="Times New Roman" w:cs="Times New Roman" w:hint="eastAsia"/>
          <w:bCs/>
          <w:vertAlign w:val="superscript"/>
        </w:rPr>
        <w:t>3</w:t>
      </w:r>
      <w:r>
        <w:rPr>
          <w:rFonts w:ascii="Times New Roman" w:hAnsi="Times New Roman" w:cs="Times New Roman" w:hint="eastAsia"/>
          <w:bCs/>
        </w:rPr>
        <w:t xml:space="preserve"> cells/100ul cells were added to each well. After plating, perform pre-incubation in a 37</w:t>
      </w:r>
      <w:r>
        <w:rPr>
          <w:rFonts w:ascii="Times New Roman" w:hAnsi="Times New Roman" w:cs="Times New Roman"/>
          <w:bCs/>
        </w:rPr>
        <w:t>°</w:t>
      </w:r>
      <w:r>
        <w:rPr>
          <w:rFonts w:ascii="Times New Roman" w:hAnsi="Times New Roman" w:cs="Times New Roman" w:hint="eastAsia"/>
          <w:bCs/>
        </w:rPr>
        <w:t xml:space="preserve">C incubator for 4 hours and wait for the cells to adhere to the wall before starting the experiment. At 0, 24, 48, 72, 96 hours, add 10ul of CCK-8 solution to 96-well cell culture plate, and continue to incubate for 1 hour in </w:t>
      </w:r>
      <w:r>
        <w:rPr>
          <w:rFonts w:ascii="Times New Roman" w:hAnsi="Times New Roman" w:cs="Times New Roman" w:hint="eastAsia"/>
          <w:bCs/>
        </w:rPr>
        <w:lastRenderedPageBreak/>
        <w:t>a 3</w:t>
      </w:r>
      <w:r>
        <w:rPr>
          <w:rFonts w:ascii="Times New Roman" w:hAnsi="Times New Roman" w:cs="Times New Roman"/>
          <w:bCs/>
        </w:rPr>
        <w:t>7°C incubator</w:t>
      </w:r>
      <w:r>
        <w:rPr>
          <w:rFonts w:ascii="Times New Roman" w:hAnsi="Times New Roman" w:cs="Times New Roman" w:hint="eastAsia"/>
          <w:bCs/>
        </w:rPr>
        <w:t xml:space="preserve">. Use a microplate reader to detect the absorbance of the culture supernatant at a wavelength of 450 nm. </w:t>
      </w:r>
      <w:r>
        <w:rPr>
          <w:rFonts w:ascii="Times New Roman" w:hAnsi="Times New Roman" w:cs="Times New Roman"/>
          <w:color w:val="000000" w:themeColor="text1"/>
        </w:rPr>
        <w:t>Compared with the wild-type control group SW-13, the cell growth rate of the mutant group had no significant difference (Figure S</w:t>
      </w:r>
      <w:r w:rsidR="00170302">
        <w:rPr>
          <w:rFonts w:ascii="Times New Roman" w:hAnsi="Times New Roman" w:cs="Times New Roman"/>
          <w:color w:val="000000" w:themeColor="text1"/>
        </w:rPr>
        <w:t>10</w:t>
      </w:r>
      <w:r>
        <w:rPr>
          <w:rFonts w:ascii="Times New Roman" w:hAnsi="Times New Roman" w:cs="Times New Roman"/>
          <w:color w:val="000000" w:themeColor="text1"/>
        </w:rPr>
        <w:t>).</w:t>
      </w:r>
    </w:p>
    <w:p w14:paraId="3F0CD7C6" w14:textId="77777777" w:rsidR="00A077EE" w:rsidRDefault="0045216D">
      <w:pPr>
        <w:spacing w:line="360" w:lineRule="auto"/>
        <w:jc w:val="center"/>
      </w:pPr>
      <w:r>
        <w:rPr>
          <w:noProof/>
        </w:rPr>
        <w:object w:dxaOrig="5596" w:dyaOrig="3794" w14:anchorId="67817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80.55pt;height:189.85pt;mso-width-percent:0;mso-height-percent:0;mso-width-percent:0;mso-height-percent:0" o:ole="">
            <v:imagedata r:id="rId22" o:title=""/>
          </v:shape>
          <o:OLEObject Type="Embed" ProgID="Prism9.Document" ShapeID="_x0000_i1028" DrawAspect="Content" ObjectID="_1801901285" r:id="rId23"/>
        </w:object>
      </w:r>
    </w:p>
    <w:p w14:paraId="6ABE9F1E" w14:textId="20BECF49" w:rsidR="00A077EE" w:rsidRDefault="00D76748">
      <w:pPr>
        <w:spacing w:line="360" w:lineRule="auto"/>
        <w:jc w:val="center"/>
        <w:rPr>
          <w:rFonts w:ascii="Times New Roman" w:hAnsi="Times New Roman" w:cs="Times New Roman"/>
          <w:b/>
          <w:bCs/>
          <w:sz w:val="21"/>
          <w:szCs w:val="18"/>
        </w:rPr>
      </w:pPr>
      <w:r>
        <w:rPr>
          <w:rFonts w:ascii="Times New Roman" w:hAnsi="Times New Roman" w:cs="Times New Roman" w:hint="eastAsia"/>
          <w:b/>
          <w:bCs/>
          <w:sz w:val="21"/>
          <w:szCs w:val="18"/>
        </w:rPr>
        <w:t>Figur</w:t>
      </w:r>
      <w:r>
        <w:rPr>
          <w:rFonts w:ascii="Times New Roman" w:hAnsi="Times New Roman" w:cs="Times New Roman"/>
          <w:b/>
          <w:bCs/>
          <w:sz w:val="21"/>
          <w:szCs w:val="18"/>
        </w:rPr>
        <w:t>e S</w:t>
      </w:r>
      <w:r w:rsidR="00170302">
        <w:rPr>
          <w:rFonts w:ascii="Times New Roman" w:hAnsi="Times New Roman" w:cs="Times New Roman"/>
          <w:b/>
          <w:bCs/>
          <w:sz w:val="21"/>
          <w:szCs w:val="18"/>
        </w:rPr>
        <w:t>10</w:t>
      </w:r>
      <w:r>
        <w:rPr>
          <w:rFonts w:ascii="Times New Roman" w:hAnsi="Times New Roman" w:cs="Times New Roman"/>
          <w:b/>
          <w:bCs/>
          <w:sz w:val="21"/>
          <w:szCs w:val="18"/>
        </w:rPr>
        <w:t xml:space="preserve"> Investigation on the proliferation of wild-type and mutant SW-13 cells</w:t>
      </w:r>
    </w:p>
    <w:p w14:paraId="2DEB3A16" w14:textId="77777777" w:rsidR="00A077EE" w:rsidRDefault="00A077EE">
      <w:pPr>
        <w:spacing w:line="360" w:lineRule="auto"/>
        <w:jc w:val="both"/>
        <w:rPr>
          <w:rFonts w:ascii="Times New Roman" w:hAnsi="Times New Roman" w:cs="Times New Roman"/>
          <w:b/>
          <w:bCs/>
          <w:szCs w:val="21"/>
        </w:rPr>
      </w:pPr>
    </w:p>
    <w:p w14:paraId="34201EF5" w14:textId="77777777" w:rsidR="00A077EE" w:rsidRPr="0093527B" w:rsidRDefault="00D76748" w:rsidP="0093527B">
      <w:pPr>
        <w:pStyle w:val="af1"/>
        <w:numPr>
          <w:ilvl w:val="0"/>
          <w:numId w:val="4"/>
        </w:numPr>
        <w:spacing w:line="360" w:lineRule="auto"/>
        <w:ind w:firstLineChars="0"/>
        <w:jc w:val="both"/>
        <w:rPr>
          <w:rFonts w:ascii="Times New Roman" w:hAnsi="Times New Roman" w:cs="Times New Roman"/>
          <w:b/>
          <w:bCs/>
        </w:rPr>
      </w:pPr>
      <w:r w:rsidRPr="0093527B">
        <w:rPr>
          <w:rFonts w:ascii="Times New Roman" w:hAnsi="Times New Roman" w:cs="Times New Roman"/>
          <w:b/>
          <w:bCs/>
        </w:rPr>
        <w:t>Detection of intracellular potassium/calcium/sodium ion concentration</w:t>
      </w:r>
    </w:p>
    <w:p w14:paraId="4F5062FC" w14:textId="77777777" w:rsidR="00A077EE" w:rsidRDefault="00D76748">
      <w:pPr>
        <w:spacing w:line="360" w:lineRule="auto"/>
        <w:ind w:firstLine="420"/>
        <w:jc w:val="both"/>
        <w:rPr>
          <w:rFonts w:ascii="Times New Roman" w:hAnsi="Times New Roman" w:cs="Times New Roman"/>
          <w:color w:val="000000" w:themeColor="text1"/>
        </w:rPr>
      </w:pPr>
      <w:r>
        <w:rPr>
          <w:rFonts w:ascii="Times New Roman" w:hAnsi="Times New Roman" w:cs="Times New Roman"/>
          <w:color w:val="000000" w:themeColor="text1"/>
        </w:rPr>
        <w:t>The average fluorescence intensity of the intracellular PBFI/Fluo-4/SBFI probe was detected by flow cytometry, which reflects the concentration of potassium/calcium/sodium ions. The results showed that compared with the wild-type control group, the potassium ion content in the mutant cell lines did not change significantly; the calcium ion content in the cells of the B7, C5, and D3 groups increased significantly; the sodium ion content of the four groups of mutant cell lines increased significantly compared with the wild type.</w:t>
      </w:r>
    </w:p>
    <w:p w14:paraId="59F25069" w14:textId="77777777" w:rsidR="00A077EE" w:rsidRDefault="0045216D">
      <w:pPr>
        <w:spacing w:line="360" w:lineRule="auto"/>
        <w:jc w:val="both"/>
        <w:rPr>
          <w:b/>
          <w:szCs w:val="28"/>
        </w:rPr>
      </w:pPr>
      <w:r>
        <w:rPr>
          <w:b/>
          <w:noProof/>
          <w:szCs w:val="28"/>
        </w:rPr>
        <w:object w:dxaOrig="2613" w:dyaOrig="2259" w14:anchorId="6C4FB188">
          <v:shape id="_x0000_i1027" type="#_x0000_t75" alt="" style="width:130.15pt;height:113.05pt;mso-width-percent:0;mso-height-percent:0;mso-width-percent:0;mso-height-percent:0" o:ole="">
            <v:imagedata r:id="rId24" o:title=""/>
          </v:shape>
          <o:OLEObject Type="Embed" ProgID="Prism6.Document" ShapeID="_x0000_i1027" DrawAspect="Content" ObjectID="_1801901286" r:id="rId25"/>
        </w:object>
      </w:r>
      <w:r>
        <w:rPr>
          <w:b/>
          <w:noProof/>
          <w:szCs w:val="28"/>
        </w:rPr>
        <w:object w:dxaOrig="2621" w:dyaOrig="2259" w14:anchorId="485A8F10">
          <v:shape id="_x0000_i1026" type="#_x0000_t75" alt="" style="width:131.2pt;height:113.05pt;mso-width-percent:0;mso-height-percent:0;mso-width-percent:0;mso-height-percent:0" o:ole="">
            <v:imagedata r:id="rId26" o:title=""/>
          </v:shape>
          <o:OLEObject Type="Embed" ProgID="Prism6.Document" ShapeID="_x0000_i1026" DrawAspect="Content" ObjectID="_1801901287" r:id="rId27"/>
        </w:object>
      </w:r>
      <w:r>
        <w:rPr>
          <w:b/>
          <w:noProof/>
          <w:szCs w:val="28"/>
        </w:rPr>
        <w:object w:dxaOrig="2647" w:dyaOrig="2259" w14:anchorId="552F3EF0">
          <v:shape id="_x0000_i1025" type="#_x0000_t75" alt="" style="width:132.25pt;height:113.05pt;mso-width-percent:0;mso-height-percent:0;mso-width-percent:0;mso-height-percent:0" o:ole="">
            <v:imagedata r:id="rId28" o:title=""/>
          </v:shape>
          <o:OLEObject Type="Embed" ProgID="Prism6.Document" ShapeID="_x0000_i1025" DrawAspect="Content" ObjectID="_1801901288" r:id="rId29"/>
        </w:object>
      </w:r>
    </w:p>
    <w:p w14:paraId="4003B771" w14:textId="651A0FE7" w:rsidR="00A077EE" w:rsidRDefault="00D76748">
      <w:pPr>
        <w:spacing w:line="360" w:lineRule="auto"/>
        <w:jc w:val="both"/>
        <w:rPr>
          <w:rFonts w:ascii="Times New Roman" w:hAnsi="Times New Roman" w:cs="Times New Roman"/>
          <w:b/>
          <w:bCs/>
          <w:sz w:val="21"/>
          <w:szCs w:val="18"/>
        </w:rPr>
      </w:pPr>
      <w:r>
        <w:rPr>
          <w:rFonts w:ascii="Times New Roman" w:hAnsi="Times New Roman" w:cs="Times New Roman" w:hint="eastAsia"/>
          <w:b/>
          <w:bCs/>
          <w:sz w:val="21"/>
          <w:szCs w:val="18"/>
        </w:rPr>
        <w:t>F</w:t>
      </w:r>
      <w:r>
        <w:rPr>
          <w:rFonts w:ascii="Times New Roman" w:hAnsi="Times New Roman" w:cs="Times New Roman"/>
          <w:b/>
          <w:bCs/>
          <w:sz w:val="21"/>
          <w:szCs w:val="18"/>
        </w:rPr>
        <w:t xml:space="preserve">igure </w:t>
      </w:r>
      <w:r>
        <w:rPr>
          <w:rFonts w:ascii="Times New Roman" w:hAnsi="Times New Roman" w:cs="Times New Roman" w:hint="eastAsia"/>
          <w:b/>
          <w:bCs/>
          <w:sz w:val="21"/>
          <w:szCs w:val="18"/>
        </w:rPr>
        <w:t>S</w:t>
      </w:r>
      <w:r w:rsidR="00170302">
        <w:rPr>
          <w:rFonts w:ascii="Times New Roman" w:hAnsi="Times New Roman" w:cs="Times New Roman"/>
          <w:b/>
          <w:bCs/>
          <w:sz w:val="21"/>
          <w:szCs w:val="18"/>
        </w:rPr>
        <w:t>11</w:t>
      </w:r>
      <w:r>
        <w:rPr>
          <w:rFonts w:ascii="Times New Roman" w:hAnsi="Times New Roman" w:cs="Times New Roman"/>
          <w:b/>
          <w:bCs/>
          <w:sz w:val="21"/>
          <w:szCs w:val="18"/>
        </w:rPr>
        <w:t xml:space="preserve"> Investigation of potassium/calcium/sodium ion content in wild-type and mutant SW-13 cells (** is</w:t>
      </w:r>
      <w:r>
        <w:rPr>
          <w:rFonts w:ascii="Times New Roman" w:hAnsi="Times New Roman" w:cs="Times New Roman"/>
          <w:b/>
          <w:bCs/>
          <w:i/>
          <w:iCs/>
          <w:sz w:val="21"/>
          <w:szCs w:val="18"/>
        </w:rPr>
        <w:t xml:space="preserve"> P</w:t>
      </w:r>
      <w:r>
        <w:rPr>
          <w:rFonts w:ascii="Times New Roman" w:hAnsi="Times New Roman" w:cs="Times New Roman"/>
          <w:b/>
          <w:bCs/>
          <w:sz w:val="21"/>
          <w:szCs w:val="18"/>
        </w:rPr>
        <w:t>&lt;0.05)</w:t>
      </w:r>
    </w:p>
    <w:p w14:paraId="69A14815" w14:textId="77777777" w:rsidR="00A077EE" w:rsidRDefault="00A077EE">
      <w:pPr>
        <w:spacing w:line="360" w:lineRule="auto"/>
        <w:jc w:val="both"/>
        <w:rPr>
          <w:rFonts w:ascii="Times New Roman" w:hAnsi="Times New Roman" w:cs="Times New Roman"/>
        </w:rPr>
      </w:pPr>
    </w:p>
    <w:p w14:paraId="6B574C41" w14:textId="77777777" w:rsidR="00A077EE" w:rsidRPr="0093527B" w:rsidRDefault="00D76748" w:rsidP="0093527B">
      <w:pPr>
        <w:pStyle w:val="af1"/>
        <w:numPr>
          <w:ilvl w:val="0"/>
          <w:numId w:val="4"/>
        </w:numPr>
        <w:spacing w:line="360" w:lineRule="auto"/>
        <w:ind w:firstLineChars="0"/>
        <w:jc w:val="both"/>
        <w:rPr>
          <w:rFonts w:ascii="Times New Roman" w:hAnsi="Times New Roman" w:cs="Times New Roman"/>
          <w:b/>
          <w:bCs/>
        </w:rPr>
      </w:pPr>
      <w:r w:rsidRPr="0093527B">
        <w:rPr>
          <w:rFonts w:ascii="Times New Roman" w:hAnsi="Times New Roman" w:cs="Times New Roman"/>
          <w:b/>
          <w:bCs/>
        </w:rPr>
        <w:t>Influence of potassium ion concentration in culture system on intracellular ion concentration</w:t>
      </w:r>
    </w:p>
    <w:p w14:paraId="0F1558C5" w14:textId="1A948CF4" w:rsidR="00A077EE" w:rsidRDefault="00D76748">
      <w:pPr>
        <w:spacing w:line="360" w:lineRule="auto"/>
        <w:ind w:firstLine="480"/>
        <w:jc w:val="both"/>
        <w:rPr>
          <w:rFonts w:ascii="Times New Roman" w:hAnsi="Times New Roman" w:cs="Times New Roman"/>
        </w:rPr>
      </w:pPr>
      <w:r>
        <w:rPr>
          <w:rFonts w:ascii="Times New Roman" w:hAnsi="Times New Roman" w:cs="Times New Roman"/>
        </w:rPr>
        <w:t>Under normal circumstances, the intracellular potassium ion concentration is about 150mM, the extracellular concentration is about 5mM; the intracellular sodium ion concentration is about 15mM, and the extracellular concentration is 150mM. When the potassium ion concentration in the culture system was increased from 5.4 mM to 7 mM, the changes in the concentration of potassium, calcium, and sodium ions in wild-type and mutant cells were investigated. Taking the culture group under normal conditions as a control, the relative fluorescence intensity of fluorescent probes was used to reflect the changes in intracellular ion concentration. The results are shown in Figure S</w:t>
      </w:r>
      <w:r w:rsidR="00170302">
        <w:rPr>
          <w:rFonts w:ascii="Times New Roman" w:hAnsi="Times New Roman" w:cs="Times New Roman"/>
        </w:rPr>
        <w:t>12</w:t>
      </w:r>
      <w:r>
        <w:rPr>
          <w:rFonts w:ascii="Times New Roman" w:hAnsi="Times New Roman" w:cs="Times New Roman"/>
        </w:rPr>
        <w:t xml:space="preserve"> below. The results showed that when the potassium ion concentration in the extracellular environment was increased, the potassium ion concentration in the wild-type cells increased significantly, the sodium ion concentration decreased significantly, and the calcium ion concentration remained unchanged; while the intracellular concentrations of the three ions in the mutant B7 cell line were lower There is no significant change. For normal cells, when the extracellular potassium ion concentration increases, the potassium influx increases, causing the resting potential to shift upward. According to the Nernst equation, the cell will depolarize, and the voltage-sensitive sodium ion channel will continue to depolarize due to the cell's continuous depolarization. Chemical inactivation leads to the closure of the sodium ion channel, which is the block</w:t>
      </w:r>
      <w:r w:rsidR="00FF1E79">
        <w:rPr>
          <w:rFonts w:ascii="Times New Roman" w:hAnsi="Times New Roman" w:cs="Times New Roman"/>
        </w:rPr>
        <w:t>age</w:t>
      </w:r>
      <w:r>
        <w:rPr>
          <w:rFonts w:ascii="Times New Roman" w:hAnsi="Times New Roman" w:cs="Times New Roman"/>
        </w:rPr>
        <w:t xml:space="preserve"> of the sodium ion channel, which inhibits the influx of sodium ions. The mutant cell line did not show this phenomenon.</w:t>
      </w:r>
    </w:p>
    <w:p w14:paraId="40FB3A7C" w14:textId="77777777" w:rsidR="00A077EE" w:rsidRDefault="00D76748">
      <w:pPr>
        <w:spacing w:line="360" w:lineRule="auto"/>
        <w:jc w:val="both"/>
        <w:rPr>
          <w:rFonts w:ascii="Times New Roman" w:hAnsi="Times New Roman" w:cs="Times New Roman"/>
        </w:rPr>
      </w:pPr>
      <w:r>
        <w:rPr>
          <w:noProof/>
          <w:szCs w:val="28"/>
        </w:rPr>
        <w:drawing>
          <wp:inline distT="0" distB="0" distL="0" distR="0" wp14:anchorId="108E6D22" wp14:editId="42FD7310">
            <wp:extent cx="5274310" cy="1534160"/>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1534160"/>
                    </a:xfrm>
                    <a:prstGeom prst="rect">
                      <a:avLst/>
                    </a:prstGeom>
                  </pic:spPr>
                </pic:pic>
              </a:graphicData>
            </a:graphic>
          </wp:inline>
        </w:drawing>
      </w:r>
    </w:p>
    <w:p w14:paraId="00FF7461" w14:textId="10C76BBA" w:rsidR="00A077EE" w:rsidRDefault="00D76748">
      <w:pPr>
        <w:spacing w:line="360" w:lineRule="auto"/>
        <w:jc w:val="both"/>
        <w:rPr>
          <w:rFonts w:ascii="Times New Roman" w:hAnsi="Times New Roman" w:cs="Times New Roman"/>
          <w:b/>
          <w:bCs/>
          <w:sz w:val="21"/>
          <w:szCs w:val="18"/>
        </w:rPr>
      </w:pPr>
      <w:r>
        <w:rPr>
          <w:rFonts w:ascii="Times New Roman" w:hAnsi="Times New Roman" w:cs="Times New Roman"/>
          <w:b/>
          <w:bCs/>
          <w:sz w:val="21"/>
          <w:szCs w:val="18"/>
        </w:rPr>
        <w:lastRenderedPageBreak/>
        <w:t>Figure S</w:t>
      </w:r>
      <w:r w:rsidR="00170302">
        <w:rPr>
          <w:rFonts w:ascii="Times New Roman" w:hAnsi="Times New Roman" w:cs="Times New Roman"/>
          <w:b/>
          <w:bCs/>
          <w:sz w:val="21"/>
          <w:szCs w:val="18"/>
        </w:rPr>
        <w:t>12</w:t>
      </w:r>
      <w:r>
        <w:rPr>
          <w:rFonts w:ascii="Times New Roman" w:hAnsi="Times New Roman" w:cs="Times New Roman"/>
          <w:b/>
          <w:bCs/>
          <w:sz w:val="21"/>
          <w:szCs w:val="18"/>
        </w:rPr>
        <w:t xml:space="preserve"> Investigation on the concentration of potassium, sodium and calcium ions in wild-type and mutant-type cells under high potassium ion culture conditions</w:t>
      </w:r>
    </w:p>
    <w:p w14:paraId="63204BBB" w14:textId="77777777" w:rsidR="00A077EE" w:rsidRDefault="00A077EE">
      <w:pPr>
        <w:spacing w:line="360" w:lineRule="auto"/>
        <w:jc w:val="both"/>
        <w:rPr>
          <w:rFonts w:ascii="Times New Roman" w:hAnsi="Times New Roman" w:cs="Times New Roman"/>
          <w:b/>
          <w:bCs/>
          <w:szCs w:val="21"/>
        </w:rPr>
      </w:pPr>
    </w:p>
    <w:p w14:paraId="6906425D" w14:textId="77777777" w:rsidR="00A077EE" w:rsidRPr="0093527B" w:rsidRDefault="00D76748" w:rsidP="0093527B">
      <w:pPr>
        <w:pStyle w:val="af1"/>
        <w:numPr>
          <w:ilvl w:val="0"/>
          <w:numId w:val="4"/>
        </w:numPr>
        <w:spacing w:line="360" w:lineRule="auto"/>
        <w:ind w:firstLineChars="0"/>
        <w:jc w:val="both"/>
        <w:rPr>
          <w:rFonts w:ascii="Times New Roman" w:hAnsi="Times New Roman" w:cs="Times New Roman"/>
          <w:b/>
          <w:bCs/>
        </w:rPr>
      </w:pPr>
      <w:r w:rsidRPr="0093527B">
        <w:rPr>
          <w:rFonts w:ascii="Times New Roman" w:hAnsi="Times New Roman" w:cs="Times New Roman"/>
          <w:b/>
          <w:bCs/>
        </w:rPr>
        <w:t>Influence of sodium ion concentration in culture system on intracellular ion concentration</w:t>
      </w:r>
    </w:p>
    <w:p w14:paraId="302CD1A3" w14:textId="0CA6D8B3" w:rsidR="00A077EE" w:rsidRDefault="00D76748">
      <w:pPr>
        <w:spacing w:line="360" w:lineRule="auto"/>
        <w:ind w:firstLine="420"/>
        <w:jc w:val="both"/>
        <w:rPr>
          <w:rFonts w:ascii="Times New Roman" w:hAnsi="Times New Roman" w:cs="Times New Roman"/>
        </w:rPr>
      </w:pPr>
      <w:r>
        <w:rPr>
          <w:rFonts w:ascii="Times New Roman" w:hAnsi="Times New Roman" w:cs="Times New Roman"/>
        </w:rPr>
        <w:t>When the concentration of sodium ions in the culture system was increased from 140 mM to 200 mM, the changes in the concentration of potassium, calcium, and sodium ions in wild-type and mutant cells were investigated. The result is shown in Figure S</w:t>
      </w:r>
      <w:r w:rsidR="00801234">
        <w:rPr>
          <w:rFonts w:ascii="Times New Roman" w:hAnsi="Times New Roman" w:cs="Times New Roman"/>
        </w:rPr>
        <w:t>13</w:t>
      </w:r>
      <w:r>
        <w:rPr>
          <w:rFonts w:ascii="Times New Roman" w:hAnsi="Times New Roman" w:cs="Times New Roman"/>
        </w:rPr>
        <w:t xml:space="preserve">. It can be seen that when the extracellular sodium ion concentration increases, the intracellular sodium ion content of SW-13 wild-type and mutant cell line B7 both </w:t>
      </w:r>
      <w:r w:rsidR="00FF1E79">
        <w:rPr>
          <w:rFonts w:ascii="Times New Roman" w:hAnsi="Times New Roman" w:cs="Times New Roman"/>
        </w:rPr>
        <w:t>increases</w:t>
      </w:r>
      <w:r>
        <w:rPr>
          <w:rFonts w:ascii="Times New Roman" w:hAnsi="Times New Roman" w:cs="Times New Roman"/>
        </w:rPr>
        <w:t>, and the increase rate is basically similar. The reason for the analysis may be that when the concentration of extracellular sodium ions is high, sodium ions will enter the intracellular fluid due to the increase of sodium gradient, so the concentration of sodium ions in the intracellular fluid also increases. The changes in intracellular potassium and calcium ion concentrations were not significant.</w:t>
      </w:r>
    </w:p>
    <w:p w14:paraId="42732A9D" w14:textId="77777777" w:rsidR="00A077EE" w:rsidRDefault="00D76748">
      <w:pPr>
        <w:spacing w:line="360" w:lineRule="auto"/>
        <w:jc w:val="both"/>
        <w:rPr>
          <w:rFonts w:ascii="Times New Roman" w:hAnsi="Times New Roman" w:cs="Times New Roman"/>
        </w:rPr>
      </w:pPr>
      <w:r>
        <w:rPr>
          <w:noProof/>
          <w:szCs w:val="28"/>
        </w:rPr>
        <w:drawing>
          <wp:inline distT="0" distB="0" distL="0" distR="0" wp14:anchorId="1034121E" wp14:editId="38A7D28E">
            <wp:extent cx="5274310" cy="153479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1534795"/>
                    </a:xfrm>
                    <a:prstGeom prst="rect">
                      <a:avLst/>
                    </a:prstGeom>
                  </pic:spPr>
                </pic:pic>
              </a:graphicData>
            </a:graphic>
          </wp:inline>
        </w:drawing>
      </w:r>
    </w:p>
    <w:p w14:paraId="57369F0D" w14:textId="4ED98B76" w:rsidR="00A077EE" w:rsidRDefault="00D76748">
      <w:pPr>
        <w:spacing w:line="360" w:lineRule="auto"/>
        <w:jc w:val="both"/>
        <w:rPr>
          <w:rFonts w:ascii="Times New Roman" w:hAnsi="Times New Roman" w:cs="Times New Roman"/>
          <w:b/>
          <w:bCs/>
          <w:sz w:val="21"/>
          <w:szCs w:val="18"/>
        </w:rPr>
      </w:pPr>
      <w:r>
        <w:rPr>
          <w:rFonts w:ascii="Times New Roman" w:hAnsi="Times New Roman" w:cs="Times New Roman"/>
          <w:b/>
          <w:bCs/>
          <w:sz w:val="21"/>
          <w:szCs w:val="18"/>
        </w:rPr>
        <w:t>Figure S</w:t>
      </w:r>
      <w:r w:rsidR="00801234">
        <w:rPr>
          <w:rFonts w:ascii="Times New Roman" w:hAnsi="Times New Roman" w:cs="Times New Roman"/>
          <w:b/>
          <w:bCs/>
          <w:sz w:val="21"/>
          <w:szCs w:val="18"/>
        </w:rPr>
        <w:t>13</w:t>
      </w:r>
      <w:r>
        <w:rPr>
          <w:rFonts w:ascii="Times New Roman" w:hAnsi="Times New Roman" w:cs="Times New Roman"/>
          <w:b/>
          <w:bCs/>
          <w:sz w:val="21"/>
          <w:szCs w:val="18"/>
        </w:rPr>
        <w:t xml:space="preserve"> Investigation on the concentration of potassium, sodium and calcium ions in wild-type and mutant-type cells under high sodium ion culture conditions</w:t>
      </w:r>
    </w:p>
    <w:p w14:paraId="6580A3A4" w14:textId="77777777" w:rsidR="00A077EE" w:rsidRDefault="00A077EE">
      <w:pPr>
        <w:spacing w:line="360" w:lineRule="auto"/>
        <w:jc w:val="both"/>
        <w:rPr>
          <w:rFonts w:ascii="Times New Roman" w:hAnsi="Times New Roman" w:cs="Times New Roman"/>
          <w:b/>
          <w:bCs/>
          <w:szCs w:val="21"/>
        </w:rPr>
      </w:pPr>
    </w:p>
    <w:p w14:paraId="24570027" w14:textId="77777777" w:rsidR="00A05114" w:rsidRDefault="00A05114">
      <w:pPr>
        <w:spacing w:line="360" w:lineRule="auto"/>
        <w:jc w:val="both"/>
        <w:rPr>
          <w:rFonts w:ascii="Times New Roman" w:hAnsi="Times New Roman" w:cs="Times New Roman"/>
          <w:b/>
          <w:bCs/>
          <w:szCs w:val="21"/>
        </w:rPr>
      </w:pPr>
    </w:p>
    <w:p w14:paraId="1312B654" w14:textId="77777777" w:rsidR="00A077EE" w:rsidRPr="0093527B" w:rsidRDefault="00D76748" w:rsidP="0093527B">
      <w:pPr>
        <w:pStyle w:val="af1"/>
        <w:numPr>
          <w:ilvl w:val="0"/>
          <w:numId w:val="4"/>
        </w:numPr>
        <w:adjustRightInd w:val="0"/>
        <w:snapToGrid w:val="0"/>
        <w:spacing w:line="360" w:lineRule="auto"/>
        <w:ind w:firstLineChars="0"/>
        <w:jc w:val="both"/>
        <w:rPr>
          <w:rFonts w:ascii="Times New Roman" w:hAnsi="Times New Roman" w:cs="Times New Roman"/>
          <w:b/>
        </w:rPr>
      </w:pPr>
      <w:r w:rsidRPr="0093527B">
        <w:rPr>
          <w:rFonts w:ascii="Times New Roman" w:hAnsi="Times New Roman" w:cs="Times New Roman"/>
          <w:b/>
        </w:rPr>
        <w:t>Multi-omics bioinformatics analysis</w:t>
      </w:r>
    </w:p>
    <w:p w14:paraId="4F86B121" w14:textId="11D1765E" w:rsidR="00F61FB5" w:rsidRDefault="00D76748" w:rsidP="003F511B">
      <w:pPr>
        <w:spacing w:line="360" w:lineRule="auto"/>
        <w:ind w:firstLine="420"/>
        <w:jc w:val="both"/>
        <w:rPr>
          <w:rFonts w:ascii="Times New Roman" w:hAnsi="Times New Roman" w:cs="Times New Roman"/>
        </w:rPr>
      </w:pPr>
      <w:r>
        <w:rPr>
          <w:rFonts w:ascii="Times New Roman" w:hAnsi="Times New Roman" w:cs="Times New Roman" w:hint="eastAsia"/>
        </w:rPr>
        <w:t xml:space="preserve">We studied the mutant cell lines at the WGS, WTS and WGBS levels, respectively, and the analysis software refers to </w:t>
      </w:r>
      <w:r w:rsidRPr="005D5534">
        <w:rPr>
          <w:rFonts w:ascii="Times New Roman" w:hAnsi="Times New Roman" w:cs="Times New Roman" w:hint="eastAsia"/>
        </w:rPr>
        <w:t>Table S1.</w:t>
      </w:r>
    </w:p>
    <w:p w14:paraId="18FEBA29" w14:textId="29F9F62E" w:rsidR="003F511B" w:rsidRPr="003F511B" w:rsidRDefault="003F511B" w:rsidP="003F511B">
      <w:pPr>
        <w:rPr>
          <w:rFonts w:ascii="Times New Roman" w:hAnsi="Times New Roman" w:cs="Times New Roman"/>
          <w:b/>
          <w:bCs/>
          <w:szCs w:val="21"/>
        </w:rPr>
      </w:pPr>
      <w:r>
        <w:rPr>
          <w:rFonts w:ascii="Times New Roman" w:hAnsi="Times New Roman" w:cs="Times New Roman" w:hint="eastAsia"/>
          <w:b/>
          <w:bCs/>
          <w:szCs w:val="21"/>
        </w:rPr>
        <w:t xml:space="preserve">Table </w:t>
      </w:r>
      <w:r>
        <w:rPr>
          <w:rFonts w:ascii="Times New Roman" w:hAnsi="Times New Roman" w:cs="Times New Roman"/>
          <w:b/>
          <w:bCs/>
          <w:szCs w:val="21"/>
        </w:rPr>
        <w:t>S1</w:t>
      </w:r>
      <w:r>
        <w:rPr>
          <w:rFonts w:ascii="Times New Roman" w:hAnsi="Times New Roman" w:cs="Times New Roman" w:hint="eastAsia"/>
          <w:b/>
          <w:bCs/>
          <w:szCs w:val="21"/>
        </w:rPr>
        <w:t xml:space="preserve"> </w:t>
      </w:r>
      <w:r>
        <w:rPr>
          <w:rFonts w:ascii="Times New Roman" w:hAnsi="Times New Roman" w:cs="Times New Roman"/>
        </w:rPr>
        <w:t>S</w:t>
      </w:r>
      <w:r>
        <w:rPr>
          <w:rFonts w:ascii="Times New Roman" w:hAnsi="Times New Roman" w:cs="Times New Roman" w:hint="eastAsia"/>
        </w:rPr>
        <w:t>oftware</w:t>
      </w:r>
      <w:r>
        <w:rPr>
          <w:rFonts w:ascii="Times New Roman" w:hAnsi="Times New Roman" w:cs="Times New Roman"/>
        </w:rPr>
        <w:t xml:space="preserve"> of analysis for WGS, WTS and WGBS.</w:t>
      </w:r>
    </w:p>
    <w:tbl>
      <w:tblPr>
        <w:tblW w:w="2560" w:type="pct"/>
        <w:tblBorders>
          <w:top w:val="single" w:sz="12" w:space="0" w:color="auto"/>
          <w:bottom w:val="single" w:sz="12" w:space="0" w:color="auto"/>
        </w:tblBorders>
        <w:tblLook w:val="04A0" w:firstRow="1" w:lastRow="0" w:firstColumn="1" w:lastColumn="0" w:noHBand="0" w:noVBand="1"/>
      </w:tblPr>
      <w:tblGrid>
        <w:gridCol w:w="1176"/>
        <w:gridCol w:w="1377"/>
        <w:gridCol w:w="1297"/>
        <w:gridCol w:w="1096"/>
      </w:tblGrid>
      <w:tr w:rsidR="00974678" w:rsidRPr="003F3C03" w14:paraId="574D7A55" w14:textId="77777777" w:rsidTr="00974678">
        <w:trPr>
          <w:trHeight w:val="300"/>
        </w:trPr>
        <w:tc>
          <w:tcPr>
            <w:tcW w:w="1437" w:type="pct"/>
            <w:tcBorders>
              <w:top w:val="single" w:sz="12" w:space="0" w:color="auto"/>
              <w:bottom w:val="single" w:sz="4" w:space="0" w:color="auto"/>
            </w:tcBorders>
          </w:tcPr>
          <w:p w14:paraId="033343EE" w14:textId="7184857D" w:rsidR="00974678" w:rsidRPr="003F3C03" w:rsidRDefault="00974678" w:rsidP="00974678">
            <w:pPr>
              <w:jc w:val="center"/>
              <w:rPr>
                <w:rFonts w:ascii="Times New Roman" w:hAnsi="Times New Roman" w:cs="Times New Roman"/>
                <w:color w:val="000000"/>
              </w:rPr>
            </w:pPr>
            <w:r w:rsidRPr="003F3C03">
              <w:rPr>
                <w:rFonts w:ascii="Times New Roman" w:hAnsi="Times New Roman" w:cs="Times New Roman"/>
                <w:color w:val="000000"/>
              </w:rPr>
              <w:lastRenderedPageBreak/>
              <w:t>S</w:t>
            </w:r>
            <w:r w:rsidRPr="003F3C03">
              <w:rPr>
                <w:rFonts w:ascii="Times New Roman" w:hAnsi="Times New Roman" w:cs="Times New Roman" w:hint="eastAsia"/>
                <w:color w:val="000000"/>
              </w:rPr>
              <w:t>oftware</w:t>
            </w:r>
          </w:p>
        </w:tc>
        <w:tc>
          <w:tcPr>
            <w:tcW w:w="1207" w:type="pct"/>
            <w:tcBorders>
              <w:top w:val="single" w:sz="12" w:space="0" w:color="auto"/>
              <w:bottom w:val="single" w:sz="4" w:space="0" w:color="auto"/>
            </w:tcBorders>
            <w:shd w:val="clear" w:color="auto" w:fill="auto"/>
            <w:noWrap/>
            <w:vAlign w:val="center"/>
          </w:tcPr>
          <w:p w14:paraId="60C1C007" w14:textId="30D287B9" w:rsidR="00974678" w:rsidRPr="003F3C03" w:rsidRDefault="00974678" w:rsidP="00974678">
            <w:pPr>
              <w:jc w:val="center"/>
              <w:rPr>
                <w:rFonts w:ascii="Times New Roman" w:hAnsi="Times New Roman" w:cs="Times New Roman"/>
                <w:color w:val="000000"/>
              </w:rPr>
            </w:pPr>
            <w:r w:rsidRPr="003F3C03">
              <w:rPr>
                <w:rFonts w:ascii="Times New Roman" w:hAnsi="Times New Roman" w:cs="Times New Roman" w:hint="eastAsia"/>
                <w:color w:val="000000"/>
              </w:rPr>
              <w:t>WGS</w:t>
            </w:r>
          </w:p>
        </w:tc>
        <w:tc>
          <w:tcPr>
            <w:tcW w:w="1234" w:type="pct"/>
            <w:tcBorders>
              <w:top w:val="single" w:sz="12" w:space="0" w:color="auto"/>
              <w:bottom w:val="single" w:sz="4" w:space="0" w:color="auto"/>
            </w:tcBorders>
            <w:shd w:val="clear" w:color="auto" w:fill="auto"/>
            <w:noWrap/>
            <w:vAlign w:val="center"/>
          </w:tcPr>
          <w:p w14:paraId="03F0B0B9" w14:textId="57918A16" w:rsidR="00974678" w:rsidRPr="003F3C03" w:rsidRDefault="00974678" w:rsidP="00974678">
            <w:pPr>
              <w:jc w:val="center"/>
              <w:rPr>
                <w:rFonts w:ascii="Times New Roman" w:hAnsi="Times New Roman" w:cs="Times New Roman"/>
                <w:color w:val="000000"/>
              </w:rPr>
            </w:pPr>
            <w:r w:rsidRPr="003F3C03">
              <w:rPr>
                <w:rFonts w:ascii="Times New Roman" w:hAnsi="Times New Roman" w:cs="Times New Roman" w:hint="eastAsia"/>
                <w:color w:val="000000"/>
              </w:rPr>
              <w:t>WGBS</w:t>
            </w:r>
          </w:p>
        </w:tc>
        <w:tc>
          <w:tcPr>
            <w:tcW w:w="1122" w:type="pct"/>
            <w:tcBorders>
              <w:top w:val="single" w:sz="12" w:space="0" w:color="auto"/>
              <w:bottom w:val="single" w:sz="4" w:space="0" w:color="auto"/>
            </w:tcBorders>
            <w:shd w:val="clear" w:color="auto" w:fill="auto"/>
            <w:noWrap/>
            <w:vAlign w:val="center"/>
          </w:tcPr>
          <w:p w14:paraId="43B84F6C" w14:textId="693B72CB" w:rsidR="00974678" w:rsidRPr="003F3C03" w:rsidRDefault="00974678" w:rsidP="00974678">
            <w:pPr>
              <w:jc w:val="center"/>
              <w:rPr>
                <w:rFonts w:ascii="Times New Roman" w:hAnsi="Times New Roman" w:cs="Times New Roman"/>
                <w:color w:val="000000"/>
              </w:rPr>
            </w:pPr>
            <w:r w:rsidRPr="003F3C03">
              <w:rPr>
                <w:rFonts w:ascii="Times New Roman" w:hAnsi="Times New Roman" w:cs="Times New Roman" w:hint="eastAsia"/>
                <w:color w:val="000000"/>
              </w:rPr>
              <w:t>WTS</w:t>
            </w:r>
          </w:p>
        </w:tc>
      </w:tr>
      <w:tr w:rsidR="00974678" w:rsidRPr="003F3C03" w14:paraId="561F6383" w14:textId="77777777" w:rsidTr="00974678">
        <w:trPr>
          <w:trHeight w:val="285"/>
        </w:trPr>
        <w:tc>
          <w:tcPr>
            <w:tcW w:w="1437" w:type="pct"/>
            <w:tcBorders>
              <w:top w:val="single" w:sz="4" w:space="0" w:color="auto"/>
            </w:tcBorders>
          </w:tcPr>
          <w:p w14:paraId="525AE473" w14:textId="258B085A" w:rsidR="00974678" w:rsidRPr="003F3C03" w:rsidRDefault="00974678" w:rsidP="00AE287E">
            <w:pPr>
              <w:jc w:val="both"/>
              <w:rPr>
                <w:rFonts w:ascii="Times New Roman" w:hAnsi="Times New Roman" w:cs="Times New Roman"/>
                <w:color w:val="000000"/>
              </w:rPr>
            </w:pPr>
            <w:r w:rsidRPr="003F3C03">
              <w:rPr>
                <w:rFonts w:ascii="Times New Roman" w:hAnsi="Times New Roman" w:cs="Times New Roman"/>
                <w:color w:val="000000"/>
              </w:rPr>
              <w:t>Cleaning data</w:t>
            </w:r>
          </w:p>
        </w:tc>
        <w:tc>
          <w:tcPr>
            <w:tcW w:w="1207" w:type="pct"/>
            <w:tcBorders>
              <w:top w:val="single" w:sz="4" w:space="0" w:color="auto"/>
            </w:tcBorders>
            <w:shd w:val="clear" w:color="auto" w:fill="auto"/>
            <w:noWrap/>
            <w:vAlign w:val="center"/>
          </w:tcPr>
          <w:p w14:paraId="03FADF5B" w14:textId="64022B54" w:rsidR="00974678" w:rsidRPr="003F3C03" w:rsidRDefault="00974678" w:rsidP="00974678">
            <w:pPr>
              <w:jc w:val="center"/>
              <w:rPr>
                <w:rFonts w:ascii="Times New Roman" w:hAnsi="Times New Roman" w:cs="Times New Roman"/>
                <w:color w:val="000000"/>
              </w:rPr>
            </w:pPr>
            <w:r w:rsidRPr="003F3C03">
              <w:rPr>
                <w:rFonts w:ascii="Times New Roman" w:hAnsi="Times New Roman" w:cs="Times New Roman"/>
                <w:color w:val="000000"/>
              </w:rPr>
              <w:t>SOAPnuke</w:t>
            </w:r>
            <w:sdt>
              <w:sdtPr>
                <w:rPr>
                  <w:rFonts w:ascii="Times New Roman" w:hAnsi="Times New Roman" w:cs="Times New Roman"/>
                  <w:color w:val="000000"/>
                  <w:vertAlign w:val="superscript"/>
                </w:rPr>
                <w:tag w:val="MENDELEY_CITATION_v3_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"/>
                <w:id w:val="1360089836"/>
                <w:placeholder>
                  <w:docPart w:val="DefaultPlaceholder_-1854013440"/>
                </w:placeholder>
              </w:sdtPr>
              <w:sdtContent>
                <w:r w:rsidR="00E9463D" w:rsidRPr="00E9463D">
                  <w:rPr>
                    <w:rFonts w:ascii="Times New Roman" w:hAnsi="Times New Roman" w:cs="Times New Roman"/>
                    <w:color w:val="000000"/>
                    <w:vertAlign w:val="superscript"/>
                  </w:rPr>
                  <w:t>1</w:t>
                </w:r>
              </w:sdtContent>
            </w:sdt>
          </w:p>
        </w:tc>
        <w:tc>
          <w:tcPr>
            <w:tcW w:w="1234" w:type="pct"/>
            <w:tcBorders>
              <w:top w:val="single" w:sz="4" w:space="0" w:color="auto"/>
            </w:tcBorders>
            <w:shd w:val="clear" w:color="auto" w:fill="auto"/>
            <w:noWrap/>
            <w:vAlign w:val="center"/>
          </w:tcPr>
          <w:p w14:paraId="4A5755CA" w14:textId="3D0F7D3A" w:rsidR="00974678" w:rsidRPr="003F3C03" w:rsidRDefault="00974678" w:rsidP="00974678">
            <w:pPr>
              <w:jc w:val="center"/>
              <w:rPr>
                <w:rFonts w:ascii="Times New Roman" w:hAnsi="Times New Roman" w:cs="Times New Roman"/>
                <w:color w:val="000000"/>
              </w:rPr>
            </w:pPr>
            <w:r w:rsidRPr="003F3C03">
              <w:rPr>
                <w:rFonts w:ascii="Times New Roman" w:hAnsi="Times New Roman" w:cs="Times New Roman"/>
                <w:color w:val="000000"/>
              </w:rPr>
              <w:t>SMAP</w:t>
            </w:r>
            <w:sdt>
              <w:sdtPr>
                <w:rPr>
                  <w:rFonts w:ascii="Times New Roman" w:hAnsi="Times New Roman" w:cs="Times New Roman"/>
                  <w:color w:val="000000"/>
                  <w:vertAlign w:val="superscript"/>
                </w:rPr>
                <w:tag w:val="MENDELEY_CITATION_v3_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"/>
                <w:id w:val="573011927"/>
                <w:placeholder>
                  <w:docPart w:val="DefaultPlaceholder_-1854013440"/>
                </w:placeholder>
              </w:sdtPr>
              <w:sdtContent>
                <w:r w:rsidR="00E9463D" w:rsidRPr="00E9463D">
                  <w:rPr>
                    <w:rFonts w:ascii="Times New Roman" w:hAnsi="Times New Roman" w:cs="Times New Roman"/>
                    <w:color w:val="000000"/>
                    <w:vertAlign w:val="superscript"/>
                  </w:rPr>
                  <w:t>2</w:t>
                </w:r>
              </w:sdtContent>
            </w:sdt>
          </w:p>
        </w:tc>
        <w:tc>
          <w:tcPr>
            <w:tcW w:w="1122" w:type="pct"/>
            <w:tcBorders>
              <w:top w:val="single" w:sz="4" w:space="0" w:color="auto"/>
            </w:tcBorders>
            <w:shd w:val="clear" w:color="auto" w:fill="auto"/>
            <w:noWrap/>
            <w:vAlign w:val="center"/>
          </w:tcPr>
          <w:p w14:paraId="1382F4E9" w14:textId="3D40A148" w:rsidR="00974678" w:rsidRPr="003F3C03" w:rsidRDefault="00974678" w:rsidP="00974678">
            <w:pPr>
              <w:jc w:val="center"/>
              <w:rPr>
                <w:rFonts w:ascii="Times New Roman" w:hAnsi="Times New Roman" w:cs="Times New Roman"/>
                <w:color w:val="000000"/>
              </w:rPr>
            </w:pPr>
            <w:r w:rsidRPr="003F3C03">
              <w:rPr>
                <w:rFonts w:ascii="Times New Roman" w:hAnsi="Times New Roman" w:cs="Times New Roman"/>
                <w:color w:val="000000"/>
              </w:rPr>
              <w:t>Fastp</w:t>
            </w:r>
            <w:sdt>
              <w:sdtPr>
                <w:rPr>
                  <w:rFonts w:ascii="Times New Roman" w:hAnsi="Times New Roman" w:cs="Times New Roman"/>
                  <w:color w:val="000000"/>
                  <w:vertAlign w:val="superscript"/>
                </w:rPr>
                <w:tag w:val="MENDELEY_CITATION_v3_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"/>
                <w:id w:val="-117773224"/>
                <w:placeholder>
                  <w:docPart w:val="DefaultPlaceholder_-1854013440"/>
                </w:placeholder>
              </w:sdtPr>
              <w:sdtContent>
                <w:r w:rsidR="00E9463D" w:rsidRPr="00E9463D">
                  <w:rPr>
                    <w:rFonts w:ascii="Times New Roman" w:hAnsi="Times New Roman" w:cs="Times New Roman"/>
                    <w:color w:val="000000"/>
                    <w:vertAlign w:val="superscript"/>
                  </w:rPr>
                  <w:t>3</w:t>
                </w:r>
              </w:sdtContent>
            </w:sdt>
          </w:p>
        </w:tc>
      </w:tr>
      <w:tr w:rsidR="00974678" w:rsidRPr="003F3C03" w14:paraId="70DC0893" w14:textId="77777777" w:rsidTr="00974678">
        <w:trPr>
          <w:trHeight w:val="285"/>
        </w:trPr>
        <w:tc>
          <w:tcPr>
            <w:tcW w:w="1437" w:type="pct"/>
          </w:tcPr>
          <w:p w14:paraId="0D398EE8" w14:textId="64457C4D" w:rsidR="00974678" w:rsidRPr="003F3C03" w:rsidRDefault="00974678" w:rsidP="00AE287E">
            <w:pPr>
              <w:jc w:val="both"/>
              <w:rPr>
                <w:rFonts w:ascii="Times New Roman" w:hAnsi="Times New Roman" w:cs="Times New Roman"/>
                <w:color w:val="000000"/>
              </w:rPr>
            </w:pPr>
            <w:r w:rsidRPr="003F3C03">
              <w:rPr>
                <w:rFonts w:ascii="Times New Roman" w:hAnsi="Times New Roman" w:cs="Times New Roman"/>
                <w:color w:val="000000"/>
              </w:rPr>
              <w:t>alignment</w:t>
            </w:r>
          </w:p>
        </w:tc>
        <w:tc>
          <w:tcPr>
            <w:tcW w:w="1207" w:type="pct"/>
            <w:shd w:val="clear" w:color="auto" w:fill="auto"/>
            <w:noWrap/>
            <w:vAlign w:val="center"/>
          </w:tcPr>
          <w:p w14:paraId="742C067C" w14:textId="131E87B3" w:rsidR="00974678" w:rsidRPr="003F3C03" w:rsidRDefault="00974678" w:rsidP="00974678">
            <w:pPr>
              <w:jc w:val="center"/>
              <w:rPr>
                <w:rFonts w:ascii="Times New Roman" w:hAnsi="Times New Roman" w:cs="Times New Roman"/>
                <w:color w:val="000000"/>
              </w:rPr>
            </w:pPr>
            <w:r w:rsidRPr="003F3C03">
              <w:rPr>
                <w:rFonts w:ascii="Times New Roman" w:hAnsi="Times New Roman" w:cs="Times New Roman"/>
                <w:color w:val="000000"/>
              </w:rPr>
              <w:t>BWA</w:t>
            </w:r>
            <w:sdt>
              <w:sdtPr>
                <w:rPr>
                  <w:rFonts w:ascii="Times New Roman" w:hAnsi="Times New Roman" w:cs="Times New Roman"/>
                  <w:color w:val="000000"/>
                  <w:vertAlign w:val="superscript"/>
                </w:rPr>
                <w:tag w:val="MENDELEY_CITATION_v3_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"/>
                <w:id w:val="190194767"/>
                <w:placeholder>
                  <w:docPart w:val="DefaultPlaceholder_-1854013440"/>
                </w:placeholder>
              </w:sdtPr>
              <w:sdtContent>
                <w:r w:rsidR="00E9463D" w:rsidRPr="00E9463D">
                  <w:rPr>
                    <w:rFonts w:ascii="Times New Roman" w:hAnsi="Times New Roman" w:cs="Times New Roman"/>
                    <w:color w:val="000000"/>
                    <w:vertAlign w:val="superscript"/>
                  </w:rPr>
                  <w:t>4</w:t>
                </w:r>
              </w:sdtContent>
            </w:sdt>
          </w:p>
        </w:tc>
        <w:tc>
          <w:tcPr>
            <w:tcW w:w="1234" w:type="pct"/>
            <w:shd w:val="clear" w:color="auto" w:fill="auto"/>
            <w:noWrap/>
            <w:vAlign w:val="center"/>
          </w:tcPr>
          <w:p w14:paraId="5801C9B1" w14:textId="200F7FDF" w:rsidR="00974678" w:rsidRPr="003F3C03" w:rsidRDefault="00974678" w:rsidP="00974678">
            <w:pPr>
              <w:jc w:val="center"/>
              <w:rPr>
                <w:rFonts w:ascii="Times New Roman" w:hAnsi="Times New Roman" w:cs="Times New Roman"/>
                <w:color w:val="000000"/>
              </w:rPr>
            </w:pPr>
            <w:r w:rsidRPr="003F3C03">
              <w:rPr>
                <w:rFonts w:ascii="Times New Roman" w:hAnsi="Times New Roman" w:cs="Times New Roman"/>
                <w:color w:val="000000"/>
              </w:rPr>
              <w:t>BSMAP</w:t>
            </w:r>
            <w:sdt>
              <w:sdtPr>
                <w:rPr>
                  <w:rFonts w:ascii="Times New Roman" w:hAnsi="Times New Roman" w:cs="Times New Roman"/>
                  <w:color w:val="000000"/>
                  <w:vertAlign w:val="superscript"/>
                </w:rPr>
                <w:tag w:val="MENDELEY_CITATION_v3_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"/>
                <w:id w:val="-863598351"/>
                <w:placeholder>
                  <w:docPart w:val="DefaultPlaceholder_-1854013440"/>
                </w:placeholder>
              </w:sdtPr>
              <w:sdtContent>
                <w:r w:rsidR="00E9463D" w:rsidRPr="00E9463D">
                  <w:rPr>
                    <w:rFonts w:ascii="Times New Roman" w:hAnsi="Times New Roman" w:cs="Times New Roman"/>
                    <w:color w:val="000000"/>
                    <w:vertAlign w:val="superscript"/>
                  </w:rPr>
                  <w:t>2</w:t>
                </w:r>
              </w:sdtContent>
            </w:sdt>
          </w:p>
        </w:tc>
        <w:tc>
          <w:tcPr>
            <w:tcW w:w="1122" w:type="pct"/>
            <w:shd w:val="clear" w:color="auto" w:fill="auto"/>
            <w:noWrap/>
            <w:vAlign w:val="center"/>
          </w:tcPr>
          <w:p w14:paraId="57A374E0" w14:textId="346AFD85" w:rsidR="00974678" w:rsidRPr="003F3C03" w:rsidRDefault="00974678" w:rsidP="00974678">
            <w:pPr>
              <w:jc w:val="center"/>
              <w:rPr>
                <w:rFonts w:ascii="Times New Roman" w:hAnsi="Times New Roman" w:cs="Times New Roman"/>
                <w:color w:val="000000"/>
              </w:rPr>
            </w:pPr>
            <w:r w:rsidRPr="003F3C03">
              <w:rPr>
                <w:rFonts w:ascii="Times New Roman" w:hAnsi="Times New Roman" w:cs="Times New Roman"/>
                <w:color w:val="000000"/>
              </w:rPr>
              <w:t>Hisat2</w:t>
            </w:r>
            <w:sdt>
              <w:sdtPr>
                <w:rPr>
                  <w:rFonts w:ascii="Times New Roman" w:hAnsi="Times New Roman" w:cs="Times New Roman"/>
                  <w:color w:val="000000"/>
                  <w:vertAlign w:val="superscript"/>
                </w:rPr>
                <w:tag w:val="MENDELEY_CITATION_v3_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"/>
                <w:id w:val="1305654512"/>
                <w:placeholder>
                  <w:docPart w:val="DefaultPlaceholder_-1854013440"/>
                </w:placeholder>
              </w:sdtPr>
              <w:sdtContent>
                <w:r w:rsidR="00E9463D" w:rsidRPr="00E9463D">
                  <w:rPr>
                    <w:rFonts w:ascii="Times New Roman" w:hAnsi="Times New Roman" w:cs="Times New Roman"/>
                    <w:color w:val="000000"/>
                    <w:vertAlign w:val="superscript"/>
                  </w:rPr>
                  <w:t>5</w:t>
                </w:r>
              </w:sdtContent>
            </w:sdt>
          </w:p>
        </w:tc>
      </w:tr>
      <w:tr w:rsidR="00974678" w:rsidRPr="003F3C03" w14:paraId="0917BA47" w14:textId="77777777" w:rsidTr="00974678">
        <w:trPr>
          <w:trHeight w:val="285"/>
        </w:trPr>
        <w:tc>
          <w:tcPr>
            <w:tcW w:w="1437" w:type="pct"/>
          </w:tcPr>
          <w:p w14:paraId="4441E9C3" w14:textId="66D72D22" w:rsidR="00974678" w:rsidRPr="003F3C03" w:rsidRDefault="00974678" w:rsidP="00AE287E">
            <w:pPr>
              <w:jc w:val="both"/>
              <w:rPr>
                <w:rFonts w:ascii="Times New Roman" w:hAnsi="Times New Roman" w:cs="Times New Roman"/>
                <w:color w:val="000000"/>
              </w:rPr>
            </w:pPr>
            <w:r w:rsidRPr="003F3C03">
              <w:rPr>
                <w:rFonts w:ascii="Times New Roman" w:hAnsi="Times New Roman" w:cs="Times New Roman"/>
                <w:color w:val="000000"/>
              </w:rPr>
              <w:t>SNP calling</w:t>
            </w:r>
          </w:p>
        </w:tc>
        <w:tc>
          <w:tcPr>
            <w:tcW w:w="1207" w:type="pct"/>
            <w:shd w:val="clear" w:color="auto" w:fill="auto"/>
            <w:noWrap/>
            <w:vAlign w:val="center"/>
          </w:tcPr>
          <w:p w14:paraId="2FB1A925" w14:textId="67369592" w:rsidR="00974678" w:rsidRPr="003F3C03" w:rsidRDefault="00974678" w:rsidP="00974678">
            <w:pPr>
              <w:jc w:val="center"/>
              <w:rPr>
                <w:rFonts w:ascii="Times New Roman" w:hAnsi="Times New Roman" w:cs="Times New Roman"/>
                <w:color w:val="000000"/>
              </w:rPr>
            </w:pPr>
            <w:r w:rsidRPr="003F3C03">
              <w:rPr>
                <w:rFonts w:ascii="Times New Roman" w:hAnsi="Times New Roman" w:cs="Times New Roman"/>
                <w:color w:val="000000"/>
              </w:rPr>
              <w:t>GATK</w:t>
            </w:r>
            <w:sdt>
              <w:sdtPr>
                <w:rPr>
                  <w:rFonts w:ascii="Times New Roman" w:hAnsi="Times New Roman" w:cs="Times New Roman"/>
                  <w:color w:val="000000"/>
                  <w:vertAlign w:val="superscript"/>
                </w:rPr>
                <w:tag w:val="MENDELEY_CITATION_v3_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"/>
                <w:id w:val="127204022"/>
                <w:placeholder>
                  <w:docPart w:val="DefaultPlaceholder_-1854013440"/>
                </w:placeholder>
              </w:sdtPr>
              <w:sdtContent>
                <w:r w:rsidR="00E9463D" w:rsidRPr="00E9463D">
                  <w:rPr>
                    <w:rFonts w:ascii="Times New Roman" w:hAnsi="Times New Roman" w:cs="Times New Roman"/>
                    <w:color w:val="000000"/>
                    <w:vertAlign w:val="superscript"/>
                  </w:rPr>
                  <w:t>6</w:t>
                </w:r>
              </w:sdtContent>
            </w:sdt>
          </w:p>
        </w:tc>
        <w:tc>
          <w:tcPr>
            <w:tcW w:w="1234" w:type="pct"/>
            <w:shd w:val="clear" w:color="auto" w:fill="auto"/>
            <w:noWrap/>
            <w:vAlign w:val="center"/>
          </w:tcPr>
          <w:p w14:paraId="4DB2B8F9" w14:textId="2DE6313F" w:rsidR="00974678" w:rsidRPr="003F3C03" w:rsidRDefault="00974678" w:rsidP="00974678">
            <w:pPr>
              <w:jc w:val="center"/>
              <w:rPr>
                <w:rFonts w:ascii="Times New Roman" w:hAnsi="Times New Roman" w:cs="Times New Roman"/>
                <w:color w:val="000000"/>
              </w:rPr>
            </w:pPr>
            <w:r w:rsidRPr="003F3C03">
              <w:rPr>
                <w:rFonts w:ascii="Times New Roman" w:hAnsi="Times New Roman" w:cs="Times New Roman"/>
                <w:color w:val="000000"/>
              </w:rPr>
              <w:t>BS-SNPer</w:t>
            </w:r>
            <w:sdt>
              <w:sdtPr>
                <w:rPr>
                  <w:rFonts w:ascii="Times New Roman" w:hAnsi="Times New Roman" w:cs="Times New Roman"/>
                  <w:color w:val="000000"/>
                  <w:vertAlign w:val="superscript"/>
                </w:rPr>
                <w:tag w:val="MENDELEY_CITATION_v3_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"/>
                <w:id w:val="1998689490"/>
                <w:placeholder>
                  <w:docPart w:val="DefaultPlaceholder_-1854013440"/>
                </w:placeholder>
              </w:sdtPr>
              <w:sdtContent>
                <w:r w:rsidR="00E9463D" w:rsidRPr="00E9463D">
                  <w:rPr>
                    <w:rFonts w:ascii="Times New Roman" w:hAnsi="Times New Roman" w:cs="Times New Roman"/>
                    <w:color w:val="000000"/>
                    <w:vertAlign w:val="superscript"/>
                  </w:rPr>
                  <w:t>7</w:t>
                </w:r>
              </w:sdtContent>
            </w:sdt>
          </w:p>
        </w:tc>
        <w:tc>
          <w:tcPr>
            <w:tcW w:w="1122" w:type="pct"/>
            <w:shd w:val="clear" w:color="auto" w:fill="auto"/>
            <w:noWrap/>
            <w:vAlign w:val="center"/>
          </w:tcPr>
          <w:p w14:paraId="5C6EFBB3" w14:textId="1599A85C" w:rsidR="00974678" w:rsidRPr="003F3C03" w:rsidRDefault="00974678" w:rsidP="00974678">
            <w:pPr>
              <w:jc w:val="center"/>
              <w:rPr>
                <w:rFonts w:ascii="Times New Roman" w:hAnsi="Times New Roman" w:cs="Times New Roman"/>
                <w:color w:val="000000"/>
              </w:rPr>
            </w:pPr>
            <w:r w:rsidRPr="003F3C03">
              <w:rPr>
                <w:rFonts w:ascii="Times New Roman" w:hAnsi="Times New Roman" w:cs="Times New Roman"/>
                <w:color w:val="000000"/>
              </w:rPr>
              <w:t>GATK</w:t>
            </w:r>
            <w:sdt>
              <w:sdtPr>
                <w:rPr>
                  <w:rFonts w:ascii="Times New Roman" w:hAnsi="Times New Roman" w:cs="Times New Roman"/>
                  <w:color w:val="000000"/>
                  <w:vertAlign w:val="superscript"/>
                </w:rPr>
                <w:tag w:val="MENDELEY_CITATION_v3_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"/>
                <w:id w:val="1310899512"/>
                <w:placeholder>
                  <w:docPart w:val="DefaultPlaceholder_-1854013440"/>
                </w:placeholder>
              </w:sdtPr>
              <w:sdtContent>
                <w:r w:rsidR="00E9463D" w:rsidRPr="00E9463D">
                  <w:rPr>
                    <w:rFonts w:ascii="Times New Roman" w:hAnsi="Times New Roman" w:cs="Times New Roman"/>
                    <w:color w:val="000000"/>
                    <w:vertAlign w:val="superscript"/>
                  </w:rPr>
                  <w:t>6</w:t>
                </w:r>
              </w:sdtContent>
            </w:sdt>
          </w:p>
        </w:tc>
      </w:tr>
      <w:tr w:rsidR="00974678" w:rsidRPr="003F3C03" w14:paraId="681873F6" w14:textId="77777777" w:rsidTr="00974678">
        <w:trPr>
          <w:trHeight w:val="285"/>
        </w:trPr>
        <w:tc>
          <w:tcPr>
            <w:tcW w:w="1437" w:type="pct"/>
          </w:tcPr>
          <w:p w14:paraId="3DDBE4C0" w14:textId="30CAD156" w:rsidR="00974678" w:rsidRPr="003F3C03" w:rsidRDefault="00974678" w:rsidP="00AE287E">
            <w:pPr>
              <w:jc w:val="both"/>
              <w:rPr>
                <w:rFonts w:ascii="Times New Roman" w:hAnsi="Times New Roman" w:cs="Times New Roman"/>
                <w:color w:val="000000"/>
              </w:rPr>
            </w:pPr>
            <w:r w:rsidRPr="003F3C03">
              <w:rPr>
                <w:rFonts w:ascii="Times New Roman" w:hAnsi="Times New Roman" w:cs="Times New Roman"/>
                <w:color w:val="000000"/>
              </w:rPr>
              <w:t>DMR analysis</w:t>
            </w:r>
          </w:p>
        </w:tc>
        <w:tc>
          <w:tcPr>
            <w:tcW w:w="1207" w:type="pct"/>
            <w:shd w:val="clear" w:color="auto" w:fill="auto"/>
            <w:noWrap/>
            <w:vAlign w:val="center"/>
          </w:tcPr>
          <w:p w14:paraId="37E37ED4" w14:textId="6F2CC4AE" w:rsidR="00974678" w:rsidRPr="003F3C03" w:rsidRDefault="00974678" w:rsidP="00974678">
            <w:pPr>
              <w:jc w:val="center"/>
              <w:rPr>
                <w:rFonts w:ascii="Times New Roman" w:hAnsi="Times New Roman" w:cs="Times New Roman"/>
                <w:color w:val="000000"/>
              </w:rPr>
            </w:pPr>
            <w:r w:rsidRPr="003F3C03">
              <w:rPr>
                <w:rFonts w:ascii="Times New Roman" w:hAnsi="Times New Roman" w:cs="Times New Roman"/>
                <w:color w:val="000000"/>
              </w:rPr>
              <w:t>-</w:t>
            </w:r>
          </w:p>
        </w:tc>
        <w:tc>
          <w:tcPr>
            <w:tcW w:w="1234" w:type="pct"/>
            <w:shd w:val="clear" w:color="auto" w:fill="auto"/>
            <w:noWrap/>
            <w:vAlign w:val="center"/>
          </w:tcPr>
          <w:p w14:paraId="2D856621" w14:textId="35C00ACA" w:rsidR="00974678" w:rsidRPr="003F3C03" w:rsidRDefault="00974678" w:rsidP="00974678">
            <w:pPr>
              <w:jc w:val="center"/>
              <w:rPr>
                <w:rFonts w:ascii="Times New Roman" w:hAnsi="Times New Roman" w:cs="Times New Roman"/>
                <w:color w:val="000000"/>
              </w:rPr>
            </w:pPr>
            <w:r w:rsidRPr="003F3C03">
              <w:rPr>
                <w:rFonts w:ascii="Times New Roman" w:hAnsi="Times New Roman" w:cs="Times New Roman"/>
                <w:color w:val="000000"/>
              </w:rPr>
              <w:t>SMAP</w:t>
            </w:r>
            <w:sdt>
              <w:sdtPr>
                <w:rPr>
                  <w:rFonts w:ascii="Times New Roman" w:hAnsi="Times New Roman" w:cs="Times New Roman"/>
                  <w:color w:val="000000"/>
                  <w:vertAlign w:val="superscript"/>
                </w:rPr>
                <w:tag w:val="MENDELEY_CITATION_v3_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"/>
                <w:id w:val="-1073812915"/>
                <w:placeholder>
                  <w:docPart w:val="DefaultPlaceholder_-1854013440"/>
                </w:placeholder>
              </w:sdtPr>
              <w:sdtContent>
                <w:r w:rsidR="00E9463D" w:rsidRPr="00E9463D">
                  <w:rPr>
                    <w:rFonts w:ascii="Times New Roman" w:hAnsi="Times New Roman" w:cs="Times New Roman"/>
                    <w:color w:val="000000"/>
                    <w:vertAlign w:val="superscript"/>
                  </w:rPr>
                  <w:t>2</w:t>
                </w:r>
              </w:sdtContent>
            </w:sdt>
          </w:p>
        </w:tc>
        <w:tc>
          <w:tcPr>
            <w:tcW w:w="1122" w:type="pct"/>
            <w:shd w:val="clear" w:color="auto" w:fill="auto"/>
            <w:noWrap/>
            <w:vAlign w:val="center"/>
          </w:tcPr>
          <w:p w14:paraId="71ABD507" w14:textId="5276D1DD" w:rsidR="00974678" w:rsidRPr="003F3C03" w:rsidRDefault="00974678" w:rsidP="00974678">
            <w:pPr>
              <w:jc w:val="center"/>
              <w:rPr>
                <w:rFonts w:ascii="Times New Roman" w:hAnsi="Times New Roman" w:cs="Times New Roman"/>
                <w:color w:val="000000"/>
              </w:rPr>
            </w:pPr>
            <w:r w:rsidRPr="003F3C03">
              <w:rPr>
                <w:rFonts w:ascii="Times New Roman" w:hAnsi="Times New Roman" w:cs="Times New Roman"/>
                <w:color w:val="000000"/>
              </w:rPr>
              <w:t>-</w:t>
            </w:r>
          </w:p>
        </w:tc>
      </w:tr>
      <w:tr w:rsidR="00974678" w:rsidRPr="003F3C03" w14:paraId="076E823B" w14:textId="77777777" w:rsidTr="00974678">
        <w:trPr>
          <w:trHeight w:val="285"/>
        </w:trPr>
        <w:tc>
          <w:tcPr>
            <w:tcW w:w="1437" w:type="pct"/>
          </w:tcPr>
          <w:p w14:paraId="6A394740" w14:textId="4C10AEEA" w:rsidR="00974678" w:rsidRPr="003F3C03" w:rsidRDefault="00974678" w:rsidP="00AE287E">
            <w:pPr>
              <w:jc w:val="both"/>
              <w:rPr>
                <w:rFonts w:ascii="Times New Roman" w:hAnsi="Times New Roman" w:cs="Times New Roman"/>
                <w:color w:val="000000"/>
              </w:rPr>
            </w:pPr>
            <w:r w:rsidRPr="003F3C03">
              <w:rPr>
                <w:rFonts w:ascii="Times New Roman" w:hAnsi="Times New Roman" w:cs="Times New Roman"/>
                <w:color w:val="000000"/>
              </w:rPr>
              <w:t>DGE analysis</w:t>
            </w:r>
          </w:p>
        </w:tc>
        <w:tc>
          <w:tcPr>
            <w:tcW w:w="1207" w:type="pct"/>
            <w:shd w:val="clear" w:color="auto" w:fill="auto"/>
            <w:noWrap/>
            <w:vAlign w:val="center"/>
          </w:tcPr>
          <w:p w14:paraId="326F5484" w14:textId="725D1794" w:rsidR="00974678" w:rsidRPr="003F3C03" w:rsidRDefault="00974678" w:rsidP="00974678">
            <w:pPr>
              <w:jc w:val="center"/>
              <w:rPr>
                <w:rFonts w:ascii="Times New Roman" w:hAnsi="Times New Roman" w:cs="Times New Roman"/>
                <w:color w:val="000000"/>
              </w:rPr>
            </w:pPr>
            <w:r w:rsidRPr="003F3C03">
              <w:rPr>
                <w:rFonts w:ascii="Times New Roman" w:hAnsi="Times New Roman" w:cs="Times New Roman"/>
                <w:color w:val="000000"/>
              </w:rPr>
              <w:t>-</w:t>
            </w:r>
          </w:p>
        </w:tc>
        <w:tc>
          <w:tcPr>
            <w:tcW w:w="1234" w:type="pct"/>
            <w:shd w:val="clear" w:color="auto" w:fill="auto"/>
            <w:noWrap/>
            <w:vAlign w:val="center"/>
          </w:tcPr>
          <w:p w14:paraId="740A25DD" w14:textId="4032420B" w:rsidR="00974678" w:rsidRPr="003F3C03" w:rsidRDefault="00974678" w:rsidP="00974678">
            <w:pPr>
              <w:jc w:val="center"/>
              <w:rPr>
                <w:rFonts w:ascii="Times New Roman" w:hAnsi="Times New Roman" w:cs="Times New Roman"/>
                <w:color w:val="000000"/>
              </w:rPr>
            </w:pPr>
            <w:r w:rsidRPr="003F3C03">
              <w:rPr>
                <w:rFonts w:ascii="Times New Roman" w:hAnsi="Times New Roman" w:cs="Times New Roman"/>
                <w:color w:val="000000"/>
              </w:rPr>
              <w:t>-</w:t>
            </w:r>
          </w:p>
        </w:tc>
        <w:tc>
          <w:tcPr>
            <w:tcW w:w="1122" w:type="pct"/>
            <w:shd w:val="clear" w:color="auto" w:fill="auto"/>
            <w:noWrap/>
            <w:vAlign w:val="center"/>
          </w:tcPr>
          <w:p w14:paraId="445B8E4A" w14:textId="60D9B1A7" w:rsidR="00974678" w:rsidRPr="003F3C03" w:rsidRDefault="00974678" w:rsidP="00974678">
            <w:pPr>
              <w:jc w:val="center"/>
              <w:rPr>
                <w:rFonts w:ascii="Times New Roman" w:hAnsi="Times New Roman" w:cs="Times New Roman"/>
                <w:color w:val="000000"/>
              </w:rPr>
            </w:pPr>
            <w:r w:rsidRPr="003F3C03">
              <w:rPr>
                <w:rFonts w:ascii="Times New Roman" w:hAnsi="Times New Roman" w:cs="Times New Roman"/>
                <w:color w:val="000000"/>
              </w:rPr>
              <w:t>DESeq2</w:t>
            </w:r>
            <w:sdt>
              <w:sdtPr>
                <w:rPr>
                  <w:rFonts w:ascii="Times New Roman" w:hAnsi="Times New Roman" w:cs="Times New Roman"/>
                  <w:color w:val="000000"/>
                  <w:vertAlign w:val="superscript"/>
                </w:rPr>
                <w:tag w:val="MENDELEY_CITATION_v3_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"/>
                <w:id w:val="1213157403"/>
                <w:placeholder>
                  <w:docPart w:val="DefaultPlaceholder_-1854013440"/>
                </w:placeholder>
              </w:sdtPr>
              <w:sdtContent>
                <w:r w:rsidR="00E9463D" w:rsidRPr="00E9463D">
                  <w:rPr>
                    <w:rFonts w:ascii="Times New Roman" w:hAnsi="Times New Roman" w:cs="Times New Roman"/>
                    <w:color w:val="000000"/>
                    <w:vertAlign w:val="superscript"/>
                  </w:rPr>
                  <w:t>8</w:t>
                </w:r>
              </w:sdtContent>
            </w:sdt>
          </w:p>
        </w:tc>
      </w:tr>
    </w:tbl>
    <w:p w14:paraId="02C964F9" w14:textId="77777777" w:rsidR="00974678" w:rsidRPr="00F61FB5" w:rsidRDefault="00974678" w:rsidP="00974678">
      <w:pPr>
        <w:spacing w:line="360" w:lineRule="auto"/>
        <w:jc w:val="both"/>
        <w:rPr>
          <w:rFonts w:ascii="Times New Roman" w:hAnsi="Times New Roman" w:cs="Times New Roman"/>
        </w:rPr>
      </w:pPr>
    </w:p>
    <w:p w14:paraId="496C7FC1" w14:textId="77777777" w:rsidR="00A077EE" w:rsidRDefault="00D76748">
      <w:pPr>
        <w:pStyle w:val="3"/>
        <w:numPr>
          <w:ilvl w:val="0"/>
          <w:numId w:val="2"/>
        </w:numPr>
        <w:spacing w:before="140" w:after="0"/>
        <w:rPr>
          <w:rFonts w:ascii="Times New Roman" w:hAnsi="Times New Roman" w:cs="Times New Roman"/>
          <w:kern w:val="0"/>
          <w:sz w:val="24"/>
        </w:rPr>
      </w:pPr>
      <w:r>
        <w:rPr>
          <w:rFonts w:ascii="Times New Roman" w:hAnsi="Times New Roman" w:cs="Times New Roman"/>
          <w:b w:val="0"/>
          <w:bCs w:val="0"/>
          <w:kern w:val="0"/>
          <w:sz w:val="24"/>
        </w:rPr>
        <w:t>Whole genome sequencing data analysis</w:t>
      </w:r>
    </w:p>
    <w:p w14:paraId="626DEA26" w14:textId="77777777" w:rsidR="00A077EE" w:rsidRDefault="00D76748">
      <w:pPr>
        <w:snapToGrid w:val="0"/>
        <w:spacing w:line="360" w:lineRule="auto"/>
        <w:ind w:firstLine="420"/>
        <w:jc w:val="both"/>
        <w:rPr>
          <w:rFonts w:ascii="Times New Roman" w:hAnsi="Times New Roman" w:cs="Times New Roman"/>
        </w:rPr>
      </w:pPr>
      <w:r>
        <w:rPr>
          <w:rFonts w:ascii="Times New Roman" w:hAnsi="Times New Roman" w:cs="Times New Roman"/>
        </w:rPr>
        <w:t>Through the three cell lines we obtained, the wild-type wild and mutant strains were sequenced, the WGS sequencing of the three samples reached more than 30x. The specific sequencing depth is shown in Supplementary Table S</w:t>
      </w:r>
      <w:r>
        <w:rPr>
          <w:rFonts w:ascii="Times New Roman" w:hAnsi="Times New Roman" w:cs="Times New Roman" w:hint="eastAsia"/>
        </w:rPr>
        <w:t>2</w:t>
      </w:r>
      <w:r>
        <w:rPr>
          <w:rFonts w:ascii="Times New Roman" w:hAnsi="Times New Roman" w:cs="Times New Roman"/>
        </w:rPr>
        <w:t xml:space="preserve">. The study found that the target </w:t>
      </w:r>
      <w:r>
        <w:rPr>
          <w:rFonts w:ascii="Times New Roman" w:hAnsi="Times New Roman" w:cs="Times New Roman" w:hint="eastAsia"/>
          <w:i/>
        </w:rPr>
        <w:t>KCNJ5</w:t>
      </w:r>
      <w:r>
        <w:rPr>
          <w:rFonts w:ascii="Times New Roman" w:hAnsi="Times New Roman" w:cs="Times New Roman"/>
        </w:rPr>
        <w:t xml:space="preserve"> mutation was successful, all of which were pure and mutations. In addition, it was found that the sites where non-synonymous mutations occurred in the mutant cell line did not overlap, and there was no significant difference in the number of mutations generated according to the passage theory. Therefore, there is no off-target effect in the cas9 experiment, which can be used to analyze the subsequent data normally (Table S</w:t>
      </w:r>
      <w:r>
        <w:rPr>
          <w:rFonts w:ascii="Times New Roman" w:hAnsi="Times New Roman" w:cs="Times New Roman" w:hint="eastAsia"/>
        </w:rPr>
        <w:t>3</w:t>
      </w:r>
      <w:r>
        <w:rPr>
          <w:rFonts w:ascii="Times New Roman" w:hAnsi="Times New Roman" w:cs="Times New Roman"/>
        </w:rPr>
        <w:t>).</w:t>
      </w:r>
    </w:p>
    <w:p w14:paraId="2DBCA83F" w14:textId="77777777" w:rsidR="00A077EE" w:rsidRDefault="00D76748">
      <w:pPr>
        <w:jc w:val="center"/>
        <w:rPr>
          <w:rFonts w:ascii="Times New Roman" w:hAnsi="Times New Roman" w:cs="Times New Roman"/>
          <w:b/>
          <w:bCs/>
          <w:szCs w:val="21"/>
        </w:rPr>
      </w:pPr>
      <w:r>
        <w:rPr>
          <w:rFonts w:ascii="Times New Roman" w:hAnsi="Times New Roman" w:cs="Times New Roman" w:hint="eastAsia"/>
          <w:b/>
          <w:bCs/>
          <w:szCs w:val="21"/>
        </w:rPr>
        <w:t xml:space="preserve">Table </w:t>
      </w:r>
      <w:r>
        <w:rPr>
          <w:rFonts w:ascii="Times New Roman" w:hAnsi="Times New Roman" w:cs="Times New Roman"/>
          <w:b/>
          <w:bCs/>
          <w:szCs w:val="21"/>
        </w:rPr>
        <w:t>S</w:t>
      </w:r>
      <w:r>
        <w:rPr>
          <w:rFonts w:ascii="Times New Roman" w:hAnsi="Times New Roman" w:cs="Times New Roman" w:hint="eastAsia"/>
          <w:b/>
          <w:bCs/>
          <w:szCs w:val="21"/>
        </w:rPr>
        <w:t>2 Whole-genome sequencing quality control results</w:t>
      </w:r>
    </w:p>
    <w:tbl>
      <w:tblPr>
        <w:tblW w:w="5000" w:type="pct"/>
        <w:tblBorders>
          <w:top w:val="single" w:sz="12" w:space="0" w:color="auto"/>
          <w:bottom w:val="single" w:sz="12" w:space="0" w:color="auto"/>
        </w:tblBorders>
        <w:tblLook w:val="04A0" w:firstRow="1" w:lastRow="0" w:firstColumn="1" w:lastColumn="0" w:noHBand="0" w:noVBand="1"/>
      </w:tblPr>
      <w:tblGrid>
        <w:gridCol w:w="1275"/>
        <w:gridCol w:w="1911"/>
        <w:gridCol w:w="981"/>
        <w:gridCol w:w="931"/>
        <w:gridCol w:w="1666"/>
        <w:gridCol w:w="771"/>
        <w:gridCol w:w="771"/>
      </w:tblGrid>
      <w:tr w:rsidR="00A077EE" w14:paraId="4B52BB6C" w14:textId="77777777">
        <w:trPr>
          <w:trHeight w:val="300"/>
        </w:trPr>
        <w:tc>
          <w:tcPr>
            <w:tcW w:w="768" w:type="pct"/>
            <w:tcBorders>
              <w:top w:val="single" w:sz="12" w:space="0" w:color="auto"/>
              <w:bottom w:val="single" w:sz="4" w:space="0" w:color="auto"/>
            </w:tcBorders>
          </w:tcPr>
          <w:p w14:paraId="398F36B4"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Sample ID</w:t>
            </w:r>
          </w:p>
        </w:tc>
        <w:tc>
          <w:tcPr>
            <w:tcW w:w="1150" w:type="pct"/>
            <w:tcBorders>
              <w:top w:val="single" w:sz="12" w:space="0" w:color="auto"/>
              <w:bottom w:val="single" w:sz="4" w:space="0" w:color="auto"/>
            </w:tcBorders>
            <w:shd w:val="clear" w:color="auto" w:fill="auto"/>
            <w:noWrap/>
            <w:vAlign w:val="center"/>
          </w:tcPr>
          <w:p w14:paraId="46326B9C"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Platform</w:t>
            </w:r>
          </w:p>
        </w:tc>
        <w:tc>
          <w:tcPr>
            <w:tcW w:w="591" w:type="pct"/>
            <w:tcBorders>
              <w:top w:val="single" w:sz="12" w:space="0" w:color="auto"/>
              <w:bottom w:val="single" w:sz="4" w:space="0" w:color="auto"/>
            </w:tcBorders>
            <w:shd w:val="clear" w:color="auto" w:fill="auto"/>
            <w:noWrap/>
            <w:vAlign w:val="center"/>
          </w:tcPr>
          <w:p w14:paraId="17571FCF"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Reads (M)</w:t>
            </w:r>
          </w:p>
        </w:tc>
        <w:tc>
          <w:tcPr>
            <w:tcW w:w="560" w:type="pct"/>
            <w:tcBorders>
              <w:top w:val="single" w:sz="12" w:space="0" w:color="auto"/>
              <w:bottom w:val="single" w:sz="4" w:space="0" w:color="auto"/>
            </w:tcBorders>
            <w:shd w:val="clear" w:color="auto" w:fill="auto"/>
            <w:noWrap/>
            <w:vAlign w:val="center"/>
          </w:tcPr>
          <w:p w14:paraId="046BFD67"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Bases (G)</w:t>
            </w:r>
          </w:p>
        </w:tc>
        <w:tc>
          <w:tcPr>
            <w:tcW w:w="1003" w:type="pct"/>
            <w:tcBorders>
              <w:top w:val="single" w:sz="12" w:space="0" w:color="auto"/>
              <w:bottom w:val="single" w:sz="4" w:space="0" w:color="auto"/>
            </w:tcBorders>
            <w:shd w:val="clear" w:color="auto" w:fill="auto"/>
            <w:noWrap/>
            <w:vAlign w:val="center"/>
          </w:tcPr>
          <w:p w14:paraId="3DE50A8C"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ReadLength</w:t>
            </w:r>
            <w:r>
              <w:rPr>
                <w:rFonts w:ascii="Times New Roman" w:hAnsi="Times New Roman" w:cs="Times New Roman"/>
                <w:color w:val="000000"/>
                <w:sz w:val="18"/>
                <w:szCs w:val="18"/>
              </w:rPr>
              <w:t>（</w:t>
            </w:r>
            <w:r>
              <w:rPr>
                <w:rFonts w:ascii="Times New Roman" w:hAnsi="Times New Roman" w:cs="Times New Roman"/>
                <w:color w:val="000000"/>
                <w:sz w:val="18"/>
                <w:szCs w:val="18"/>
              </w:rPr>
              <w:t>PE</w:t>
            </w:r>
            <w:r>
              <w:rPr>
                <w:rFonts w:ascii="Times New Roman" w:hAnsi="Times New Roman" w:cs="Times New Roman"/>
                <w:color w:val="000000"/>
                <w:sz w:val="18"/>
                <w:szCs w:val="18"/>
              </w:rPr>
              <w:t>）</w:t>
            </w:r>
          </w:p>
        </w:tc>
        <w:tc>
          <w:tcPr>
            <w:tcW w:w="464" w:type="pct"/>
            <w:tcBorders>
              <w:top w:val="single" w:sz="12" w:space="0" w:color="auto"/>
              <w:bottom w:val="single" w:sz="4" w:space="0" w:color="auto"/>
            </w:tcBorders>
            <w:shd w:val="clear" w:color="auto" w:fill="auto"/>
            <w:noWrap/>
            <w:vAlign w:val="center"/>
          </w:tcPr>
          <w:p w14:paraId="16D26432"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Q20</w:t>
            </w:r>
          </w:p>
        </w:tc>
        <w:tc>
          <w:tcPr>
            <w:tcW w:w="464" w:type="pct"/>
            <w:tcBorders>
              <w:top w:val="single" w:sz="12" w:space="0" w:color="auto"/>
              <w:bottom w:val="single" w:sz="4" w:space="0" w:color="auto"/>
            </w:tcBorders>
            <w:shd w:val="clear" w:color="auto" w:fill="auto"/>
            <w:noWrap/>
            <w:vAlign w:val="center"/>
          </w:tcPr>
          <w:p w14:paraId="205A82A5"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GC</w:t>
            </w:r>
          </w:p>
        </w:tc>
      </w:tr>
      <w:tr w:rsidR="00A077EE" w14:paraId="10E330FD" w14:textId="77777777">
        <w:trPr>
          <w:trHeight w:val="285"/>
        </w:trPr>
        <w:tc>
          <w:tcPr>
            <w:tcW w:w="768" w:type="pct"/>
            <w:tcBorders>
              <w:top w:val="single" w:sz="4" w:space="0" w:color="auto"/>
            </w:tcBorders>
          </w:tcPr>
          <w:p w14:paraId="3FED0303"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Wild</w:t>
            </w:r>
          </w:p>
        </w:tc>
        <w:tc>
          <w:tcPr>
            <w:tcW w:w="1150" w:type="pct"/>
            <w:tcBorders>
              <w:top w:val="single" w:sz="4" w:space="0" w:color="auto"/>
            </w:tcBorders>
            <w:shd w:val="clear" w:color="auto" w:fill="auto"/>
            <w:noWrap/>
            <w:vAlign w:val="center"/>
          </w:tcPr>
          <w:p w14:paraId="02996FB2"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Illumina(HiSeq X-Ten)</w:t>
            </w:r>
          </w:p>
        </w:tc>
        <w:tc>
          <w:tcPr>
            <w:tcW w:w="591" w:type="pct"/>
            <w:tcBorders>
              <w:top w:val="single" w:sz="4" w:space="0" w:color="auto"/>
            </w:tcBorders>
            <w:shd w:val="clear" w:color="auto" w:fill="auto"/>
            <w:noWrap/>
            <w:vAlign w:val="center"/>
          </w:tcPr>
          <w:p w14:paraId="535EBED4"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827.10</w:t>
            </w:r>
          </w:p>
        </w:tc>
        <w:tc>
          <w:tcPr>
            <w:tcW w:w="560" w:type="pct"/>
            <w:tcBorders>
              <w:top w:val="single" w:sz="4" w:space="0" w:color="auto"/>
            </w:tcBorders>
            <w:shd w:val="clear" w:color="auto" w:fill="auto"/>
            <w:noWrap/>
            <w:vAlign w:val="center"/>
          </w:tcPr>
          <w:p w14:paraId="74CBA993"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121.16</w:t>
            </w:r>
          </w:p>
        </w:tc>
        <w:tc>
          <w:tcPr>
            <w:tcW w:w="1003" w:type="pct"/>
            <w:tcBorders>
              <w:top w:val="single" w:sz="4" w:space="0" w:color="auto"/>
            </w:tcBorders>
            <w:shd w:val="clear" w:color="auto" w:fill="auto"/>
            <w:noWrap/>
            <w:vAlign w:val="center"/>
          </w:tcPr>
          <w:p w14:paraId="44356616"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464" w:type="pct"/>
            <w:tcBorders>
              <w:top w:val="single" w:sz="4" w:space="0" w:color="auto"/>
            </w:tcBorders>
            <w:shd w:val="clear" w:color="auto" w:fill="auto"/>
            <w:noWrap/>
            <w:vAlign w:val="center"/>
          </w:tcPr>
          <w:p w14:paraId="4F9A333B"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98.07%</w:t>
            </w:r>
          </w:p>
        </w:tc>
        <w:tc>
          <w:tcPr>
            <w:tcW w:w="464" w:type="pct"/>
            <w:tcBorders>
              <w:top w:val="single" w:sz="4" w:space="0" w:color="auto"/>
            </w:tcBorders>
            <w:shd w:val="clear" w:color="auto" w:fill="auto"/>
            <w:noWrap/>
            <w:vAlign w:val="center"/>
          </w:tcPr>
          <w:p w14:paraId="69AC4515"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41.80%</w:t>
            </w:r>
          </w:p>
        </w:tc>
      </w:tr>
      <w:tr w:rsidR="00A077EE" w14:paraId="7A59370E" w14:textId="77777777">
        <w:trPr>
          <w:trHeight w:val="285"/>
        </w:trPr>
        <w:tc>
          <w:tcPr>
            <w:tcW w:w="768" w:type="pct"/>
          </w:tcPr>
          <w:p w14:paraId="76DB2523"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B7</w:t>
            </w:r>
          </w:p>
        </w:tc>
        <w:tc>
          <w:tcPr>
            <w:tcW w:w="1150" w:type="pct"/>
            <w:shd w:val="clear" w:color="auto" w:fill="auto"/>
            <w:noWrap/>
            <w:vAlign w:val="center"/>
          </w:tcPr>
          <w:p w14:paraId="502C97A4"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Illumina(HiSeq X-Ten)</w:t>
            </w:r>
          </w:p>
        </w:tc>
        <w:tc>
          <w:tcPr>
            <w:tcW w:w="591" w:type="pct"/>
            <w:shd w:val="clear" w:color="auto" w:fill="auto"/>
            <w:noWrap/>
            <w:vAlign w:val="center"/>
          </w:tcPr>
          <w:p w14:paraId="59C24605"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918.00</w:t>
            </w:r>
          </w:p>
        </w:tc>
        <w:tc>
          <w:tcPr>
            <w:tcW w:w="560" w:type="pct"/>
            <w:shd w:val="clear" w:color="auto" w:fill="auto"/>
            <w:noWrap/>
            <w:vAlign w:val="center"/>
          </w:tcPr>
          <w:p w14:paraId="0D0506AF"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134.47</w:t>
            </w:r>
          </w:p>
        </w:tc>
        <w:tc>
          <w:tcPr>
            <w:tcW w:w="1003" w:type="pct"/>
            <w:shd w:val="clear" w:color="auto" w:fill="auto"/>
            <w:noWrap/>
            <w:vAlign w:val="center"/>
          </w:tcPr>
          <w:p w14:paraId="14DE2B63"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464" w:type="pct"/>
            <w:shd w:val="clear" w:color="auto" w:fill="auto"/>
            <w:noWrap/>
            <w:vAlign w:val="center"/>
          </w:tcPr>
          <w:p w14:paraId="2A333734"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98.09%</w:t>
            </w:r>
          </w:p>
        </w:tc>
        <w:tc>
          <w:tcPr>
            <w:tcW w:w="464" w:type="pct"/>
            <w:shd w:val="clear" w:color="auto" w:fill="auto"/>
            <w:noWrap/>
            <w:vAlign w:val="center"/>
          </w:tcPr>
          <w:p w14:paraId="09D98F40"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41.58%</w:t>
            </w:r>
          </w:p>
        </w:tc>
      </w:tr>
      <w:tr w:rsidR="00A077EE" w14:paraId="2AB2628D" w14:textId="77777777">
        <w:trPr>
          <w:trHeight w:val="285"/>
        </w:trPr>
        <w:tc>
          <w:tcPr>
            <w:tcW w:w="768" w:type="pct"/>
          </w:tcPr>
          <w:p w14:paraId="4BA205C0"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D3</w:t>
            </w:r>
          </w:p>
        </w:tc>
        <w:tc>
          <w:tcPr>
            <w:tcW w:w="1150" w:type="pct"/>
            <w:shd w:val="clear" w:color="auto" w:fill="auto"/>
            <w:noWrap/>
            <w:vAlign w:val="center"/>
          </w:tcPr>
          <w:p w14:paraId="21C385B9"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Illumina(HiSeq X-Ten)</w:t>
            </w:r>
          </w:p>
        </w:tc>
        <w:tc>
          <w:tcPr>
            <w:tcW w:w="591" w:type="pct"/>
            <w:shd w:val="clear" w:color="auto" w:fill="auto"/>
            <w:noWrap/>
            <w:vAlign w:val="center"/>
          </w:tcPr>
          <w:p w14:paraId="64EDBE0E"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699.60</w:t>
            </w:r>
          </w:p>
        </w:tc>
        <w:tc>
          <w:tcPr>
            <w:tcW w:w="560" w:type="pct"/>
            <w:shd w:val="clear" w:color="auto" w:fill="auto"/>
            <w:noWrap/>
            <w:vAlign w:val="center"/>
          </w:tcPr>
          <w:p w14:paraId="0FA1139A"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102.48</w:t>
            </w:r>
          </w:p>
        </w:tc>
        <w:tc>
          <w:tcPr>
            <w:tcW w:w="1003" w:type="pct"/>
            <w:shd w:val="clear" w:color="auto" w:fill="auto"/>
            <w:noWrap/>
            <w:vAlign w:val="center"/>
          </w:tcPr>
          <w:p w14:paraId="3179BFBB"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464" w:type="pct"/>
            <w:shd w:val="clear" w:color="auto" w:fill="auto"/>
            <w:noWrap/>
            <w:vAlign w:val="center"/>
          </w:tcPr>
          <w:p w14:paraId="26BD3909"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95.95%</w:t>
            </w:r>
          </w:p>
        </w:tc>
        <w:tc>
          <w:tcPr>
            <w:tcW w:w="464" w:type="pct"/>
            <w:shd w:val="clear" w:color="auto" w:fill="auto"/>
            <w:noWrap/>
            <w:vAlign w:val="center"/>
          </w:tcPr>
          <w:p w14:paraId="4441C86A" w14:textId="77777777" w:rsidR="00A077EE" w:rsidRDefault="00D76748">
            <w:pPr>
              <w:jc w:val="both"/>
              <w:rPr>
                <w:rFonts w:ascii="Times New Roman" w:hAnsi="Times New Roman" w:cs="Times New Roman"/>
                <w:color w:val="000000"/>
                <w:sz w:val="18"/>
                <w:szCs w:val="18"/>
              </w:rPr>
            </w:pPr>
            <w:r>
              <w:rPr>
                <w:rFonts w:ascii="Times New Roman" w:hAnsi="Times New Roman" w:cs="Times New Roman"/>
                <w:color w:val="000000"/>
                <w:sz w:val="18"/>
                <w:szCs w:val="18"/>
              </w:rPr>
              <w:t>41.26%</w:t>
            </w:r>
          </w:p>
        </w:tc>
      </w:tr>
    </w:tbl>
    <w:p w14:paraId="187B7F1C" w14:textId="77777777" w:rsidR="00A077EE" w:rsidRDefault="00D76748">
      <w:pPr>
        <w:jc w:val="both"/>
        <w:rPr>
          <w:rFonts w:ascii="Times New Roman" w:hAnsi="Times New Roman" w:cs="Times New Roman"/>
          <w:szCs w:val="21"/>
        </w:rPr>
      </w:pPr>
      <w:r>
        <w:rPr>
          <w:rFonts w:ascii="Times New Roman" w:hAnsi="Times New Roman" w:cs="Times New Roman"/>
          <w:szCs w:val="21"/>
        </w:rPr>
        <w:t xml:space="preserve">#NOTE: Reads: the total number of sequenced fragments after filtering; Bases: the total number of bases after filtering; ReadLength: the length of sequenced fragments; Q20: the number of nucleotides with sequencing quality greater than 20/total number of nucleotides; GC: guanine (or cell Pyrimidine) Number of Nucleotides/Total Number of Nucleotides. </w:t>
      </w:r>
    </w:p>
    <w:p w14:paraId="54C81E60" w14:textId="77777777" w:rsidR="00A077EE" w:rsidRDefault="00A077EE">
      <w:pPr>
        <w:jc w:val="both"/>
        <w:rPr>
          <w:rFonts w:ascii="Times New Roman" w:hAnsi="Times New Roman" w:cs="Times New Roman"/>
          <w:szCs w:val="21"/>
        </w:rPr>
      </w:pPr>
    </w:p>
    <w:p w14:paraId="1C423479" w14:textId="650D25A8" w:rsidR="00A077EE" w:rsidRDefault="00D76748">
      <w:pPr>
        <w:spacing w:line="360" w:lineRule="auto"/>
        <w:ind w:firstLine="420"/>
        <w:jc w:val="both"/>
        <w:rPr>
          <w:rFonts w:ascii="Times New Roman" w:hAnsi="Times New Roman" w:cs="Times New Roman"/>
        </w:rPr>
      </w:pPr>
      <w:r>
        <w:rPr>
          <w:rFonts w:ascii="Times New Roman" w:hAnsi="Times New Roman" w:cs="Times New Roman"/>
        </w:rPr>
        <w:t xml:space="preserve">We separately sequenced the two mutant clones of c.T503G and found that each clone has a small number of mutations except T503G of </w:t>
      </w:r>
      <w:r>
        <w:rPr>
          <w:rFonts w:ascii="Times New Roman" w:hAnsi="Times New Roman" w:cs="Times New Roman" w:hint="eastAsia"/>
          <w:i/>
        </w:rPr>
        <w:t>KCNJ5</w:t>
      </w:r>
      <w:r>
        <w:rPr>
          <w:rFonts w:ascii="Times New Roman" w:hAnsi="Times New Roman" w:cs="Times New Roman"/>
        </w:rPr>
        <w:t>, but there is no mutation at the same site Table S</w:t>
      </w:r>
      <w:r>
        <w:rPr>
          <w:rFonts w:ascii="Times New Roman" w:hAnsi="Times New Roman" w:cs="Times New Roman" w:hint="eastAsia"/>
        </w:rPr>
        <w:t>3</w:t>
      </w:r>
      <w:r>
        <w:rPr>
          <w:rFonts w:ascii="Times New Roman" w:hAnsi="Times New Roman" w:cs="Times New Roman"/>
        </w:rPr>
        <w:t xml:space="preserve">. The reason may be due to the occurrence of the passage process. It shows that the CRISPR/Cas9 gene editing experiment </w:t>
      </w:r>
      <w:r w:rsidR="00FF1E79">
        <w:rPr>
          <w:rFonts w:ascii="Times New Roman" w:hAnsi="Times New Roman" w:cs="Times New Roman"/>
        </w:rPr>
        <w:t>works</w:t>
      </w:r>
      <w:r>
        <w:rPr>
          <w:rFonts w:ascii="Times New Roman" w:hAnsi="Times New Roman" w:cs="Times New Roman"/>
        </w:rPr>
        <w:t xml:space="preserve"> well. </w:t>
      </w:r>
    </w:p>
    <w:p w14:paraId="32E3D981" w14:textId="77777777" w:rsidR="00A077EE" w:rsidRDefault="00A077EE">
      <w:pPr>
        <w:jc w:val="both"/>
        <w:rPr>
          <w:rFonts w:ascii="Times New Roman" w:hAnsi="Times New Roman" w:cs="Times New Roman"/>
          <w:b/>
          <w:bCs/>
          <w:szCs w:val="21"/>
        </w:rPr>
      </w:pPr>
    </w:p>
    <w:p w14:paraId="6A1BF1A4" w14:textId="77777777" w:rsidR="00A077EE" w:rsidRDefault="00D76748">
      <w:pPr>
        <w:jc w:val="both"/>
        <w:rPr>
          <w:rFonts w:ascii="Times New Roman" w:hAnsi="Times New Roman" w:cs="Times New Roman"/>
          <w:b/>
          <w:bCs/>
          <w:szCs w:val="21"/>
        </w:rPr>
      </w:pPr>
      <w:r>
        <w:rPr>
          <w:rFonts w:ascii="Times New Roman" w:hAnsi="Times New Roman" w:cs="Times New Roman" w:hint="eastAsia"/>
          <w:b/>
          <w:bCs/>
          <w:szCs w:val="21"/>
        </w:rPr>
        <w:t xml:space="preserve">Table </w:t>
      </w:r>
      <w:r>
        <w:rPr>
          <w:rFonts w:ascii="Times New Roman" w:hAnsi="Times New Roman" w:cs="Times New Roman"/>
          <w:b/>
          <w:bCs/>
          <w:szCs w:val="21"/>
        </w:rPr>
        <w:t>S</w:t>
      </w:r>
      <w:r>
        <w:rPr>
          <w:rFonts w:ascii="Times New Roman" w:hAnsi="Times New Roman" w:cs="Times New Roman" w:hint="eastAsia"/>
          <w:b/>
          <w:bCs/>
          <w:szCs w:val="21"/>
        </w:rPr>
        <w:t>3 Mutations</w:t>
      </w:r>
      <w:r>
        <w:rPr>
          <w:rFonts w:ascii="Times New Roman" w:hAnsi="Times New Roman" w:cs="Times New Roman"/>
          <w:b/>
          <w:bCs/>
          <w:szCs w:val="21"/>
        </w:rPr>
        <w:t xml:space="preserve"> </w:t>
      </w:r>
      <w:r>
        <w:rPr>
          <w:rFonts w:ascii="Times New Roman" w:hAnsi="Times New Roman" w:cs="Times New Roman" w:hint="eastAsia"/>
          <w:b/>
          <w:bCs/>
          <w:szCs w:val="21"/>
        </w:rPr>
        <w:t>determined by both</w:t>
      </w:r>
      <w:r>
        <w:rPr>
          <w:rFonts w:ascii="Times New Roman" w:hAnsi="Times New Roman" w:cs="Times New Roman"/>
          <w:b/>
          <w:bCs/>
          <w:szCs w:val="21"/>
        </w:rPr>
        <w:t xml:space="preserve"> </w:t>
      </w:r>
      <w:r>
        <w:rPr>
          <w:rFonts w:ascii="Times New Roman" w:hAnsi="Times New Roman" w:cs="Times New Roman" w:hint="eastAsia"/>
          <w:b/>
          <w:bCs/>
          <w:szCs w:val="21"/>
        </w:rPr>
        <w:t xml:space="preserve">PCR-based clone sequencing and WGS-based sequencing </w:t>
      </w:r>
    </w:p>
    <w:p w14:paraId="4D12213B" w14:textId="77777777" w:rsidR="00A077EE" w:rsidRDefault="00A077EE">
      <w:pPr>
        <w:jc w:val="both"/>
        <w:rPr>
          <w:rFonts w:ascii="Times New Roman" w:hAnsi="Times New Roman" w:cs="Times New Roman"/>
          <w:b/>
          <w:bCs/>
          <w:szCs w:val="21"/>
        </w:rPr>
      </w:pPr>
    </w:p>
    <w:tbl>
      <w:tblPr>
        <w:tblW w:w="7497" w:type="dxa"/>
        <w:jc w:val="center"/>
        <w:tblLook w:val="04A0" w:firstRow="1" w:lastRow="0" w:firstColumn="1" w:lastColumn="0" w:noHBand="0" w:noVBand="1"/>
      </w:tblPr>
      <w:tblGrid>
        <w:gridCol w:w="994"/>
        <w:gridCol w:w="1682"/>
        <w:gridCol w:w="717"/>
        <w:gridCol w:w="2090"/>
        <w:gridCol w:w="2014"/>
      </w:tblGrid>
      <w:tr w:rsidR="00A077EE" w14:paraId="37A21C93" w14:textId="77777777">
        <w:trPr>
          <w:trHeight w:val="640"/>
          <w:jc w:val="center"/>
        </w:trPr>
        <w:tc>
          <w:tcPr>
            <w:tcW w:w="994" w:type="dxa"/>
            <w:tcBorders>
              <w:top w:val="single" w:sz="4" w:space="0" w:color="auto"/>
              <w:left w:val="nil"/>
              <w:bottom w:val="single" w:sz="4" w:space="0" w:color="auto"/>
              <w:right w:val="nil"/>
            </w:tcBorders>
            <w:shd w:val="clear" w:color="auto" w:fill="auto"/>
            <w:noWrap/>
            <w:vAlign w:val="center"/>
          </w:tcPr>
          <w:p w14:paraId="4B91A98D" w14:textId="77777777" w:rsidR="00A077EE" w:rsidRDefault="00D76748">
            <w:pPr>
              <w:jc w:val="center"/>
              <w:rPr>
                <w:rFonts w:ascii="Times New Roman" w:eastAsia="DengXian" w:hAnsi="Times New Roman" w:cs="Times New Roman"/>
                <w:color w:val="000000"/>
                <w:szCs w:val="21"/>
              </w:rPr>
            </w:pPr>
            <w:r>
              <w:rPr>
                <w:rFonts w:ascii="Times New Roman" w:eastAsia="DengXian" w:hAnsi="Times New Roman" w:cs="Times New Roman"/>
                <w:color w:val="000000"/>
                <w:szCs w:val="21"/>
              </w:rPr>
              <w:t>CHR</w:t>
            </w:r>
          </w:p>
        </w:tc>
        <w:tc>
          <w:tcPr>
            <w:tcW w:w="1682" w:type="dxa"/>
            <w:tcBorders>
              <w:top w:val="single" w:sz="4" w:space="0" w:color="auto"/>
              <w:left w:val="nil"/>
              <w:bottom w:val="single" w:sz="4" w:space="0" w:color="auto"/>
              <w:right w:val="nil"/>
            </w:tcBorders>
            <w:shd w:val="clear" w:color="auto" w:fill="auto"/>
            <w:noWrap/>
            <w:vAlign w:val="center"/>
          </w:tcPr>
          <w:p w14:paraId="2E226D40" w14:textId="77777777" w:rsidR="00A077EE" w:rsidRDefault="00D76748">
            <w:pPr>
              <w:jc w:val="center"/>
              <w:rPr>
                <w:rFonts w:ascii="Times New Roman" w:eastAsia="DengXian" w:hAnsi="Times New Roman" w:cs="Times New Roman"/>
                <w:color w:val="000000"/>
                <w:szCs w:val="21"/>
              </w:rPr>
            </w:pPr>
            <w:r>
              <w:rPr>
                <w:rFonts w:ascii="Times New Roman" w:eastAsia="DengXian" w:hAnsi="Times New Roman" w:cs="Times New Roman"/>
                <w:color w:val="000000"/>
                <w:szCs w:val="21"/>
              </w:rPr>
              <w:t>Pos</w:t>
            </w:r>
          </w:p>
        </w:tc>
        <w:tc>
          <w:tcPr>
            <w:tcW w:w="717" w:type="dxa"/>
            <w:tcBorders>
              <w:top w:val="single" w:sz="4" w:space="0" w:color="auto"/>
              <w:left w:val="nil"/>
              <w:bottom w:val="single" w:sz="4" w:space="0" w:color="auto"/>
              <w:right w:val="nil"/>
            </w:tcBorders>
            <w:shd w:val="clear" w:color="auto" w:fill="auto"/>
            <w:noWrap/>
            <w:vAlign w:val="center"/>
          </w:tcPr>
          <w:p w14:paraId="79C600B8" w14:textId="77777777" w:rsidR="00A077EE" w:rsidRDefault="00D76748">
            <w:pPr>
              <w:jc w:val="center"/>
              <w:rPr>
                <w:rFonts w:ascii="Times New Roman" w:eastAsia="DengXian" w:hAnsi="Times New Roman" w:cs="Times New Roman"/>
                <w:color w:val="000000"/>
                <w:szCs w:val="21"/>
              </w:rPr>
            </w:pPr>
            <w:r>
              <w:rPr>
                <w:rFonts w:ascii="Times New Roman" w:eastAsia="DengXian" w:hAnsi="Times New Roman" w:cs="Times New Roman"/>
                <w:color w:val="000000"/>
                <w:szCs w:val="21"/>
              </w:rPr>
              <w:t>Ref</w:t>
            </w:r>
          </w:p>
        </w:tc>
        <w:tc>
          <w:tcPr>
            <w:tcW w:w="2090" w:type="dxa"/>
            <w:tcBorders>
              <w:top w:val="single" w:sz="4" w:space="0" w:color="auto"/>
              <w:left w:val="nil"/>
              <w:bottom w:val="single" w:sz="4" w:space="0" w:color="auto"/>
              <w:right w:val="nil"/>
            </w:tcBorders>
            <w:shd w:val="clear" w:color="auto" w:fill="auto"/>
            <w:noWrap/>
            <w:vAlign w:val="center"/>
          </w:tcPr>
          <w:p w14:paraId="3C169632" w14:textId="77D412BB" w:rsidR="00A077EE" w:rsidRDefault="00D76748">
            <w:pPr>
              <w:jc w:val="center"/>
              <w:rPr>
                <w:rFonts w:ascii="Times New Roman" w:eastAsia="DengXian" w:hAnsi="Times New Roman" w:cs="Times New Roman"/>
                <w:color w:val="000000"/>
                <w:szCs w:val="21"/>
              </w:rPr>
            </w:pPr>
            <w:r>
              <w:rPr>
                <w:rFonts w:ascii="Times New Roman" w:eastAsia="DengXian" w:hAnsi="Times New Roman" w:cs="Times New Roman"/>
                <w:color w:val="000000"/>
                <w:szCs w:val="21"/>
              </w:rPr>
              <w:t>Mutation (B7)</w:t>
            </w:r>
          </w:p>
        </w:tc>
        <w:tc>
          <w:tcPr>
            <w:tcW w:w="2014" w:type="dxa"/>
            <w:tcBorders>
              <w:top w:val="single" w:sz="4" w:space="0" w:color="auto"/>
              <w:left w:val="nil"/>
              <w:bottom w:val="single" w:sz="4" w:space="0" w:color="auto"/>
              <w:right w:val="nil"/>
            </w:tcBorders>
            <w:shd w:val="clear" w:color="auto" w:fill="auto"/>
            <w:noWrap/>
            <w:vAlign w:val="center"/>
          </w:tcPr>
          <w:p w14:paraId="498CBFAD" w14:textId="77777777" w:rsidR="00A077EE" w:rsidRDefault="00D76748">
            <w:pPr>
              <w:jc w:val="center"/>
              <w:rPr>
                <w:rFonts w:ascii="Times New Roman" w:eastAsia="DengXian" w:hAnsi="Times New Roman" w:cs="Times New Roman"/>
                <w:color w:val="000000"/>
                <w:szCs w:val="21"/>
              </w:rPr>
            </w:pPr>
            <w:r>
              <w:rPr>
                <w:rFonts w:ascii="Times New Roman" w:eastAsia="DengXian" w:hAnsi="Times New Roman" w:cs="Times New Roman"/>
                <w:color w:val="000000"/>
                <w:szCs w:val="21"/>
              </w:rPr>
              <w:t>Mutation (D3)</w:t>
            </w:r>
          </w:p>
        </w:tc>
      </w:tr>
      <w:tr w:rsidR="00A077EE" w14:paraId="21C8BF68" w14:textId="77777777">
        <w:trPr>
          <w:trHeight w:val="333"/>
          <w:jc w:val="center"/>
        </w:trPr>
        <w:tc>
          <w:tcPr>
            <w:tcW w:w="994" w:type="dxa"/>
            <w:tcBorders>
              <w:top w:val="nil"/>
              <w:left w:val="nil"/>
              <w:bottom w:val="nil"/>
              <w:right w:val="nil"/>
            </w:tcBorders>
            <w:shd w:val="clear" w:color="auto" w:fill="auto"/>
            <w:noWrap/>
            <w:vAlign w:val="center"/>
          </w:tcPr>
          <w:p w14:paraId="612F0D3D"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chr1</w:t>
            </w:r>
          </w:p>
        </w:tc>
        <w:tc>
          <w:tcPr>
            <w:tcW w:w="1682" w:type="dxa"/>
            <w:tcBorders>
              <w:top w:val="nil"/>
              <w:left w:val="nil"/>
              <w:bottom w:val="nil"/>
              <w:right w:val="nil"/>
            </w:tcBorders>
            <w:shd w:val="clear" w:color="auto" w:fill="auto"/>
            <w:noWrap/>
            <w:vAlign w:val="center"/>
          </w:tcPr>
          <w:p w14:paraId="651BD531"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13061364</w:t>
            </w:r>
          </w:p>
        </w:tc>
        <w:tc>
          <w:tcPr>
            <w:tcW w:w="717" w:type="dxa"/>
            <w:tcBorders>
              <w:top w:val="nil"/>
              <w:left w:val="nil"/>
              <w:bottom w:val="nil"/>
              <w:right w:val="nil"/>
            </w:tcBorders>
            <w:shd w:val="clear" w:color="auto" w:fill="auto"/>
            <w:noWrap/>
            <w:vAlign w:val="center"/>
          </w:tcPr>
          <w:p w14:paraId="77CEB88D"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A</w:t>
            </w:r>
          </w:p>
        </w:tc>
        <w:tc>
          <w:tcPr>
            <w:tcW w:w="2090" w:type="dxa"/>
            <w:tcBorders>
              <w:top w:val="nil"/>
              <w:left w:val="nil"/>
              <w:bottom w:val="nil"/>
              <w:right w:val="nil"/>
            </w:tcBorders>
            <w:shd w:val="clear" w:color="auto" w:fill="auto"/>
            <w:noWrap/>
            <w:vAlign w:val="center"/>
          </w:tcPr>
          <w:p w14:paraId="508AEDCF"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AC</w:t>
            </w:r>
          </w:p>
        </w:tc>
        <w:tc>
          <w:tcPr>
            <w:tcW w:w="2014" w:type="dxa"/>
            <w:tcBorders>
              <w:top w:val="nil"/>
              <w:left w:val="nil"/>
              <w:bottom w:val="nil"/>
              <w:right w:val="nil"/>
            </w:tcBorders>
            <w:shd w:val="clear" w:color="auto" w:fill="auto"/>
            <w:noWrap/>
            <w:vAlign w:val="bottom"/>
          </w:tcPr>
          <w:p w14:paraId="7CD21050" w14:textId="77777777" w:rsidR="00A077EE" w:rsidRDefault="00A077EE">
            <w:pPr>
              <w:jc w:val="center"/>
              <w:rPr>
                <w:rFonts w:ascii="Times New Roman" w:eastAsia="DengXian" w:hAnsi="Times New Roman" w:cs="Times New Roman"/>
                <w:color w:val="000000" w:themeColor="text1"/>
                <w:szCs w:val="21"/>
              </w:rPr>
            </w:pPr>
          </w:p>
        </w:tc>
      </w:tr>
      <w:tr w:rsidR="00A077EE" w14:paraId="1257FD21" w14:textId="77777777">
        <w:trPr>
          <w:trHeight w:val="323"/>
          <w:jc w:val="center"/>
        </w:trPr>
        <w:tc>
          <w:tcPr>
            <w:tcW w:w="994" w:type="dxa"/>
            <w:tcBorders>
              <w:top w:val="nil"/>
              <w:left w:val="nil"/>
              <w:bottom w:val="nil"/>
              <w:right w:val="nil"/>
            </w:tcBorders>
            <w:shd w:val="clear" w:color="auto" w:fill="auto"/>
            <w:noWrap/>
            <w:vAlign w:val="center"/>
          </w:tcPr>
          <w:p w14:paraId="2D63B374"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chr1</w:t>
            </w:r>
          </w:p>
        </w:tc>
        <w:tc>
          <w:tcPr>
            <w:tcW w:w="1682" w:type="dxa"/>
            <w:tcBorders>
              <w:top w:val="nil"/>
              <w:left w:val="nil"/>
              <w:bottom w:val="nil"/>
              <w:right w:val="nil"/>
            </w:tcBorders>
            <w:shd w:val="clear" w:color="auto" w:fill="auto"/>
            <w:noWrap/>
            <w:vAlign w:val="center"/>
          </w:tcPr>
          <w:p w14:paraId="64E8253B"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171784445</w:t>
            </w:r>
          </w:p>
        </w:tc>
        <w:tc>
          <w:tcPr>
            <w:tcW w:w="717" w:type="dxa"/>
            <w:tcBorders>
              <w:top w:val="nil"/>
              <w:left w:val="nil"/>
              <w:bottom w:val="nil"/>
              <w:right w:val="nil"/>
            </w:tcBorders>
            <w:shd w:val="clear" w:color="auto" w:fill="auto"/>
            <w:noWrap/>
            <w:vAlign w:val="center"/>
          </w:tcPr>
          <w:p w14:paraId="38E93C33"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G</w:t>
            </w:r>
          </w:p>
        </w:tc>
        <w:tc>
          <w:tcPr>
            <w:tcW w:w="2090" w:type="dxa"/>
            <w:tcBorders>
              <w:top w:val="nil"/>
              <w:left w:val="nil"/>
              <w:bottom w:val="nil"/>
              <w:right w:val="nil"/>
            </w:tcBorders>
            <w:shd w:val="clear" w:color="auto" w:fill="auto"/>
            <w:noWrap/>
            <w:vAlign w:val="center"/>
          </w:tcPr>
          <w:p w14:paraId="66B73C5A"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GT</w:t>
            </w:r>
          </w:p>
        </w:tc>
        <w:tc>
          <w:tcPr>
            <w:tcW w:w="2014" w:type="dxa"/>
            <w:tcBorders>
              <w:top w:val="nil"/>
              <w:left w:val="nil"/>
              <w:bottom w:val="nil"/>
              <w:right w:val="nil"/>
            </w:tcBorders>
            <w:shd w:val="clear" w:color="auto" w:fill="auto"/>
            <w:noWrap/>
            <w:vAlign w:val="bottom"/>
          </w:tcPr>
          <w:p w14:paraId="1E934202" w14:textId="77777777" w:rsidR="00A077EE" w:rsidRDefault="00A077EE">
            <w:pPr>
              <w:jc w:val="center"/>
              <w:rPr>
                <w:rFonts w:ascii="Times New Roman" w:eastAsia="DengXian" w:hAnsi="Times New Roman" w:cs="Times New Roman"/>
                <w:color w:val="000000" w:themeColor="text1"/>
                <w:szCs w:val="21"/>
              </w:rPr>
            </w:pPr>
          </w:p>
        </w:tc>
      </w:tr>
      <w:tr w:rsidR="00A077EE" w14:paraId="1EE1FD5A" w14:textId="77777777">
        <w:trPr>
          <w:trHeight w:val="323"/>
          <w:jc w:val="center"/>
        </w:trPr>
        <w:tc>
          <w:tcPr>
            <w:tcW w:w="994" w:type="dxa"/>
            <w:tcBorders>
              <w:top w:val="nil"/>
              <w:left w:val="nil"/>
              <w:bottom w:val="nil"/>
              <w:right w:val="nil"/>
            </w:tcBorders>
            <w:shd w:val="clear" w:color="auto" w:fill="auto"/>
            <w:noWrap/>
            <w:vAlign w:val="center"/>
          </w:tcPr>
          <w:p w14:paraId="54968985"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chr10</w:t>
            </w:r>
          </w:p>
        </w:tc>
        <w:tc>
          <w:tcPr>
            <w:tcW w:w="1682" w:type="dxa"/>
            <w:tcBorders>
              <w:top w:val="nil"/>
              <w:left w:val="nil"/>
              <w:bottom w:val="nil"/>
              <w:right w:val="nil"/>
            </w:tcBorders>
            <w:shd w:val="clear" w:color="auto" w:fill="auto"/>
            <w:noWrap/>
            <w:vAlign w:val="center"/>
          </w:tcPr>
          <w:p w14:paraId="2E268570"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47502991</w:t>
            </w:r>
          </w:p>
        </w:tc>
        <w:tc>
          <w:tcPr>
            <w:tcW w:w="717" w:type="dxa"/>
            <w:tcBorders>
              <w:top w:val="nil"/>
              <w:left w:val="nil"/>
              <w:bottom w:val="nil"/>
              <w:right w:val="nil"/>
            </w:tcBorders>
            <w:shd w:val="clear" w:color="auto" w:fill="auto"/>
            <w:noWrap/>
            <w:vAlign w:val="center"/>
          </w:tcPr>
          <w:p w14:paraId="16D9F687"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C</w:t>
            </w:r>
          </w:p>
        </w:tc>
        <w:tc>
          <w:tcPr>
            <w:tcW w:w="2090" w:type="dxa"/>
            <w:tcBorders>
              <w:top w:val="nil"/>
              <w:left w:val="nil"/>
              <w:bottom w:val="nil"/>
              <w:right w:val="nil"/>
            </w:tcBorders>
            <w:shd w:val="clear" w:color="auto" w:fill="auto"/>
            <w:noWrap/>
            <w:vAlign w:val="center"/>
          </w:tcPr>
          <w:p w14:paraId="42D34E8B"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CT</w:t>
            </w:r>
          </w:p>
        </w:tc>
        <w:tc>
          <w:tcPr>
            <w:tcW w:w="2014" w:type="dxa"/>
            <w:tcBorders>
              <w:top w:val="nil"/>
              <w:left w:val="nil"/>
              <w:bottom w:val="nil"/>
              <w:right w:val="nil"/>
            </w:tcBorders>
            <w:shd w:val="clear" w:color="auto" w:fill="auto"/>
            <w:noWrap/>
            <w:vAlign w:val="bottom"/>
          </w:tcPr>
          <w:p w14:paraId="3F78F87F" w14:textId="77777777" w:rsidR="00A077EE" w:rsidRDefault="00A077EE">
            <w:pPr>
              <w:jc w:val="center"/>
              <w:rPr>
                <w:rFonts w:ascii="Times New Roman" w:eastAsia="DengXian" w:hAnsi="Times New Roman" w:cs="Times New Roman"/>
                <w:color w:val="000000" w:themeColor="text1"/>
                <w:szCs w:val="21"/>
              </w:rPr>
            </w:pPr>
          </w:p>
        </w:tc>
      </w:tr>
      <w:tr w:rsidR="00A077EE" w14:paraId="0487589D" w14:textId="77777777">
        <w:trPr>
          <w:trHeight w:val="323"/>
          <w:jc w:val="center"/>
        </w:trPr>
        <w:tc>
          <w:tcPr>
            <w:tcW w:w="994" w:type="dxa"/>
            <w:tcBorders>
              <w:top w:val="nil"/>
              <w:left w:val="nil"/>
              <w:bottom w:val="nil"/>
              <w:right w:val="nil"/>
            </w:tcBorders>
            <w:shd w:val="clear" w:color="auto" w:fill="auto"/>
            <w:noWrap/>
            <w:vAlign w:val="center"/>
          </w:tcPr>
          <w:p w14:paraId="5EC117AC"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chr10</w:t>
            </w:r>
          </w:p>
        </w:tc>
        <w:tc>
          <w:tcPr>
            <w:tcW w:w="1682" w:type="dxa"/>
            <w:tcBorders>
              <w:top w:val="nil"/>
              <w:left w:val="nil"/>
              <w:bottom w:val="nil"/>
              <w:right w:val="nil"/>
            </w:tcBorders>
            <w:shd w:val="clear" w:color="auto" w:fill="auto"/>
            <w:noWrap/>
            <w:vAlign w:val="center"/>
          </w:tcPr>
          <w:p w14:paraId="30B6013E"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51698432</w:t>
            </w:r>
          </w:p>
        </w:tc>
        <w:tc>
          <w:tcPr>
            <w:tcW w:w="717" w:type="dxa"/>
            <w:tcBorders>
              <w:top w:val="nil"/>
              <w:left w:val="nil"/>
              <w:bottom w:val="nil"/>
              <w:right w:val="nil"/>
            </w:tcBorders>
            <w:shd w:val="clear" w:color="auto" w:fill="auto"/>
            <w:noWrap/>
            <w:vAlign w:val="center"/>
          </w:tcPr>
          <w:p w14:paraId="515A869B"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C</w:t>
            </w:r>
          </w:p>
        </w:tc>
        <w:tc>
          <w:tcPr>
            <w:tcW w:w="2090" w:type="dxa"/>
            <w:tcBorders>
              <w:top w:val="nil"/>
              <w:left w:val="nil"/>
              <w:bottom w:val="nil"/>
              <w:right w:val="nil"/>
            </w:tcBorders>
            <w:shd w:val="clear" w:color="auto" w:fill="auto"/>
            <w:noWrap/>
            <w:vAlign w:val="center"/>
          </w:tcPr>
          <w:p w14:paraId="18EAD568"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CT</w:t>
            </w:r>
          </w:p>
        </w:tc>
        <w:tc>
          <w:tcPr>
            <w:tcW w:w="2014" w:type="dxa"/>
            <w:tcBorders>
              <w:top w:val="nil"/>
              <w:left w:val="nil"/>
              <w:bottom w:val="nil"/>
              <w:right w:val="nil"/>
            </w:tcBorders>
            <w:shd w:val="clear" w:color="auto" w:fill="auto"/>
            <w:noWrap/>
            <w:vAlign w:val="bottom"/>
          </w:tcPr>
          <w:p w14:paraId="0409BC3E" w14:textId="77777777" w:rsidR="00A077EE" w:rsidRDefault="00A077EE">
            <w:pPr>
              <w:jc w:val="center"/>
              <w:rPr>
                <w:rFonts w:ascii="Times New Roman" w:eastAsia="DengXian" w:hAnsi="Times New Roman" w:cs="Times New Roman"/>
                <w:color w:val="000000" w:themeColor="text1"/>
                <w:szCs w:val="21"/>
              </w:rPr>
            </w:pPr>
          </w:p>
        </w:tc>
      </w:tr>
      <w:tr w:rsidR="00A077EE" w14:paraId="2A3E0A42" w14:textId="77777777">
        <w:trPr>
          <w:trHeight w:val="323"/>
          <w:jc w:val="center"/>
        </w:trPr>
        <w:tc>
          <w:tcPr>
            <w:tcW w:w="994" w:type="dxa"/>
            <w:tcBorders>
              <w:top w:val="nil"/>
              <w:left w:val="nil"/>
              <w:bottom w:val="nil"/>
              <w:right w:val="nil"/>
            </w:tcBorders>
            <w:shd w:val="clear" w:color="auto" w:fill="auto"/>
            <w:noWrap/>
            <w:vAlign w:val="center"/>
          </w:tcPr>
          <w:p w14:paraId="575F3A74" w14:textId="77777777" w:rsidR="00A077EE" w:rsidRDefault="00D76748">
            <w:pPr>
              <w:jc w:val="center"/>
              <w:rPr>
                <w:rFonts w:ascii="Times New Roman" w:eastAsia="DengXian" w:hAnsi="Times New Roman" w:cs="Times New Roman"/>
                <w:color w:val="FF0000"/>
                <w:szCs w:val="21"/>
              </w:rPr>
            </w:pPr>
            <w:r>
              <w:rPr>
                <w:rFonts w:ascii="Times New Roman" w:eastAsia="DengXian" w:hAnsi="Times New Roman" w:cs="Times New Roman"/>
                <w:color w:val="FF0000"/>
                <w:szCs w:val="21"/>
              </w:rPr>
              <w:t>chr11</w:t>
            </w:r>
          </w:p>
        </w:tc>
        <w:tc>
          <w:tcPr>
            <w:tcW w:w="1682" w:type="dxa"/>
            <w:tcBorders>
              <w:top w:val="nil"/>
              <w:left w:val="nil"/>
              <w:bottom w:val="nil"/>
              <w:right w:val="nil"/>
            </w:tcBorders>
            <w:shd w:val="clear" w:color="auto" w:fill="auto"/>
            <w:noWrap/>
            <w:vAlign w:val="center"/>
          </w:tcPr>
          <w:p w14:paraId="7B524F8D" w14:textId="77777777" w:rsidR="00A077EE" w:rsidRDefault="00D76748">
            <w:pPr>
              <w:jc w:val="center"/>
              <w:rPr>
                <w:rFonts w:ascii="Times New Roman" w:eastAsia="DengXian" w:hAnsi="Times New Roman" w:cs="Times New Roman"/>
                <w:color w:val="FF0000"/>
                <w:szCs w:val="21"/>
              </w:rPr>
            </w:pPr>
            <w:r>
              <w:rPr>
                <w:rFonts w:ascii="Times New Roman" w:eastAsia="DengXian" w:hAnsi="Times New Roman" w:cs="Times New Roman"/>
                <w:color w:val="FF0000"/>
                <w:szCs w:val="21"/>
              </w:rPr>
              <w:t>128911776</w:t>
            </w:r>
          </w:p>
        </w:tc>
        <w:tc>
          <w:tcPr>
            <w:tcW w:w="717" w:type="dxa"/>
            <w:tcBorders>
              <w:top w:val="nil"/>
              <w:left w:val="nil"/>
              <w:bottom w:val="nil"/>
              <w:right w:val="nil"/>
            </w:tcBorders>
            <w:shd w:val="clear" w:color="auto" w:fill="auto"/>
            <w:noWrap/>
            <w:vAlign w:val="center"/>
          </w:tcPr>
          <w:p w14:paraId="1FC2C524" w14:textId="77777777" w:rsidR="00A077EE" w:rsidRDefault="00D76748">
            <w:pPr>
              <w:jc w:val="center"/>
              <w:rPr>
                <w:rFonts w:ascii="Times New Roman" w:eastAsia="DengXian" w:hAnsi="Times New Roman" w:cs="Times New Roman"/>
                <w:color w:val="FF0000"/>
                <w:szCs w:val="21"/>
              </w:rPr>
            </w:pPr>
            <w:r>
              <w:rPr>
                <w:rFonts w:ascii="Times New Roman" w:eastAsia="DengXian" w:hAnsi="Times New Roman" w:cs="Times New Roman"/>
                <w:color w:val="FF0000"/>
                <w:szCs w:val="21"/>
              </w:rPr>
              <w:t>T</w:t>
            </w:r>
          </w:p>
        </w:tc>
        <w:tc>
          <w:tcPr>
            <w:tcW w:w="2090" w:type="dxa"/>
            <w:tcBorders>
              <w:top w:val="nil"/>
              <w:left w:val="nil"/>
              <w:bottom w:val="nil"/>
              <w:right w:val="nil"/>
            </w:tcBorders>
            <w:shd w:val="clear" w:color="auto" w:fill="auto"/>
            <w:noWrap/>
            <w:vAlign w:val="center"/>
          </w:tcPr>
          <w:p w14:paraId="0E11C5BB" w14:textId="77777777" w:rsidR="00A077EE" w:rsidRDefault="00D76748">
            <w:pPr>
              <w:jc w:val="center"/>
              <w:rPr>
                <w:rFonts w:ascii="Times New Roman" w:eastAsia="DengXian" w:hAnsi="Times New Roman" w:cs="Times New Roman"/>
                <w:color w:val="FF0000"/>
                <w:szCs w:val="21"/>
              </w:rPr>
            </w:pPr>
            <w:r>
              <w:rPr>
                <w:rFonts w:ascii="Times New Roman" w:eastAsia="DengXian" w:hAnsi="Times New Roman" w:cs="Times New Roman"/>
                <w:color w:val="FF0000"/>
                <w:szCs w:val="21"/>
              </w:rPr>
              <w:t>GG</w:t>
            </w:r>
          </w:p>
        </w:tc>
        <w:tc>
          <w:tcPr>
            <w:tcW w:w="2014" w:type="dxa"/>
            <w:tcBorders>
              <w:top w:val="nil"/>
              <w:left w:val="nil"/>
              <w:bottom w:val="nil"/>
              <w:right w:val="nil"/>
            </w:tcBorders>
            <w:shd w:val="clear" w:color="auto" w:fill="auto"/>
            <w:noWrap/>
            <w:vAlign w:val="center"/>
          </w:tcPr>
          <w:p w14:paraId="5ADB4DA1" w14:textId="77777777" w:rsidR="00A077EE" w:rsidRDefault="00D76748">
            <w:pPr>
              <w:jc w:val="center"/>
              <w:rPr>
                <w:rFonts w:ascii="Times New Roman" w:eastAsia="DengXian" w:hAnsi="Times New Roman" w:cs="Times New Roman"/>
                <w:color w:val="FF0000"/>
                <w:szCs w:val="21"/>
              </w:rPr>
            </w:pPr>
            <w:r>
              <w:rPr>
                <w:rFonts w:ascii="Times New Roman" w:eastAsia="DengXian" w:hAnsi="Times New Roman" w:cs="Times New Roman"/>
                <w:color w:val="FF0000"/>
                <w:szCs w:val="21"/>
              </w:rPr>
              <w:t>GG</w:t>
            </w:r>
          </w:p>
        </w:tc>
      </w:tr>
      <w:tr w:rsidR="00A077EE" w14:paraId="1B089A96" w14:textId="77777777">
        <w:trPr>
          <w:trHeight w:val="323"/>
          <w:jc w:val="center"/>
        </w:trPr>
        <w:tc>
          <w:tcPr>
            <w:tcW w:w="994" w:type="dxa"/>
            <w:tcBorders>
              <w:top w:val="nil"/>
              <w:left w:val="nil"/>
              <w:bottom w:val="nil"/>
              <w:right w:val="nil"/>
            </w:tcBorders>
            <w:shd w:val="clear" w:color="auto" w:fill="auto"/>
            <w:noWrap/>
            <w:vAlign w:val="center"/>
          </w:tcPr>
          <w:p w14:paraId="291C479E"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chr11</w:t>
            </w:r>
          </w:p>
        </w:tc>
        <w:tc>
          <w:tcPr>
            <w:tcW w:w="1682" w:type="dxa"/>
            <w:tcBorders>
              <w:top w:val="nil"/>
              <w:left w:val="nil"/>
              <w:bottom w:val="nil"/>
              <w:right w:val="nil"/>
            </w:tcBorders>
            <w:shd w:val="clear" w:color="auto" w:fill="auto"/>
            <w:noWrap/>
            <w:vAlign w:val="center"/>
          </w:tcPr>
          <w:p w14:paraId="3CF4305F"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130129126</w:t>
            </w:r>
          </w:p>
        </w:tc>
        <w:tc>
          <w:tcPr>
            <w:tcW w:w="717" w:type="dxa"/>
            <w:tcBorders>
              <w:top w:val="nil"/>
              <w:left w:val="nil"/>
              <w:bottom w:val="nil"/>
              <w:right w:val="nil"/>
            </w:tcBorders>
            <w:shd w:val="clear" w:color="auto" w:fill="auto"/>
            <w:noWrap/>
            <w:vAlign w:val="center"/>
          </w:tcPr>
          <w:p w14:paraId="7EF07A49"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C</w:t>
            </w:r>
          </w:p>
        </w:tc>
        <w:tc>
          <w:tcPr>
            <w:tcW w:w="2090" w:type="dxa"/>
            <w:tcBorders>
              <w:top w:val="nil"/>
              <w:left w:val="nil"/>
              <w:bottom w:val="nil"/>
              <w:right w:val="nil"/>
            </w:tcBorders>
            <w:shd w:val="clear" w:color="auto" w:fill="auto"/>
            <w:noWrap/>
            <w:vAlign w:val="bottom"/>
          </w:tcPr>
          <w:p w14:paraId="6A903130" w14:textId="77777777" w:rsidR="00A077EE" w:rsidRDefault="00A077EE">
            <w:pPr>
              <w:jc w:val="center"/>
              <w:rPr>
                <w:rFonts w:ascii="Times New Roman" w:eastAsia="DengXian" w:hAnsi="Times New Roman" w:cs="Times New Roman"/>
                <w:color w:val="000000" w:themeColor="text1"/>
                <w:szCs w:val="21"/>
              </w:rPr>
            </w:pPr>
          </w:p>
        </w:tc>
        <w:tc>
          <w:tcPr>
            <w:tcW w:w="2014" w:type="dxa"/>
            <w:tcBorders>
              <w:top w:val="nil"/>
              <w:left w:val="nil"/>
              <w:bottom w:val="nil"/>
              <w:right w:val="nil"/>
            </w:tcBorders>
            <w:shd w:val="clear" w:color="auto" w:fill="auto"/>
            <w:noWrap/>
            <w:vAlign w:val="center"/>
          </w:tcPr>
          <w:p w14:paraId="38BBE338"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CT</w:t>
            </w:r>
          </w:p>
        </w:tc>
      </w:tr>
      <w:tr w:rsidR="00A077EE" w14:paraId="4A877301" w14:textId="77777777">
        <w:trPr>
          <w:trHeight w:val="333"/>
          <w:jc w:val="center"/>
        </w:trPr>
        <w:tc>
          <w:tcPr>
            <w:tcW w:w="994" w:type="dxa"/>
            <w:tcBorders>
              <w:top w:val="nil"/>
              <w:left w:val="nil"/>
              <w:bottom w:val="single" w:sz="4" w:space="0" w:color="auto"/>
              <w:right w:val="nil"/>
            </w:tcBorders>
            <w:shd w:val="clear" w:color="auto" w:fill="auto"/>
            <w:noWrap/>
            <w:vAlign w:val="center"/>
          </w:tcPr>
          <w:p w14:paraId="341F2BA8"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chr12</w:t>
            </w:r>
          </w:p>
        </w:tc>
        <w:tc>
          <w:tcPr>
            <w:tcW w:w="1682" w:type="dxa"/>
            <w:tcBorders>
              <w:top w:val="nil"/>
              <w:left w:val="nil"/>
              <w:bottom w:val="single" w:sz="4" w:space="0" w:color="auto"/>
              <w:right w:val="nil"/>
            </w:tcBorders>
            <w:shd w:val="clear" w:color="auto" w:fill="auto"/>
            <w:noWrap/>
            <w:vAlign w:val="center"/>
          </w:tcPr>
          <w:p w14:paraId="2ADAAA98"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82358737</w:t>
            </w:r>
          </w:p>
        </w:tc>
        <w:tc>
          <w:tcPr>
            <w:tcW w:w="717" w:type="dxa"/>
            <w:tcBorders>
              <w:top w:val="nil"/>
              <w:left w:val="nil"/>
              <w:bottom w:val="single" w:sz="4" w:space="0" w:color="auto"/>
              <w:right w:val="nil"/>
            </w:tcBorders>
            <w:shd w:val="clear" w:color="auto" w:fill="auto"/>
            <w:noWrap/>
            <w:vAlign w:val="center"/>
          </w:tcPr>
          <w:p w14:paraId="21CF458A"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G</w:t>
            </w:r>
          </w:p>
        </w:tc>
        <w:tc>
          <w:tcPr>
            <w:tcW w:w="2090" w:type="dxa"/>
            <w:tcBorders>
              <w:top w:val="nil"/>
              <w:left w:val="nil"/>
              <w:bottom w:val="single" w:sz="4" w:space="0" w:color="auto"/>
              <w:right w:val="nil"/>
            </w:tcBorders>
            <w:shd w:val="clear" w:color="auto" w:fill="auto"/>
            <w:noWrap/>
            <w:vAlign w:val="center"/>
          </w:tcPr>
          <w:p w14:paraId="27AB7B14" w14:textId="77777777" w:rsidR="00A077EE" w:rsidRDefault="00D76748">
            <w:pPr>
              <w:jc w:val="center"/>
              <w:rPr>
                <w:rFonts w:ascii="Times New Roman" w:eastAsia="DengXian" w:hAnsi="Times New Roman" w:cs="Times New Roman"/>
                <w:color w:val="000000" w:themeColor="text1"/>
                <w:szCs w:val="21"/>
              </w:rPr>
            </w:pPr>
            <w:r>
              <w:rPr>
                <w:rFonts w:ascii="Times New Roman" w:eastAsia="DengXian" w:hAnsi="Times New Roman" w:cs="Times New Roman"/>
                <w:color w:val="000000" w:themeColor="text1"/>
                <w:szCs w:val="21"/>
              </w:rPr>
              <w:t>CG</w:t>
            </w:r>
          </w:p>
        </w:tc>
        <w:tc>
          <w:tcPr>
            <w:tcW w:w="2014" w:type="dxa"/>
            <w:tcBorders>
              <w:top w:val="nil"/>
              <w:left w:val="nil"/>
              <w:bottom w:val="single" w:sz="4" w:space="0" w:color="auto"/>
              <w:right w:val="nil"/>
            </w:tcBorders>
            <w:shd w:val="clear" w:color="auto" w:fill="auto"/>
            <w:noWrap/>
            <w:vAlign w:val="bottom"/>
          </w:tcPr>
          <w:p w14:paraId="789D6DBA" w14:textId="77777777" w:rsidR="00A077EE" w:rsidRDefault="00A077EE">
            <w:pPr>
              <w:jc w:val="center"/>
              <w:rPr>
                <w:rFonts w:ascii="Times New Roman" w:eastAsia="DengXian" w:hAnsi="Times New Roman" w:cs="Times New Roman"/>
                <w:color w:val="000000" w:themeColor="text1"/>
                <w:sz w:val="20"/>
                <w:szCs w:val="20"/>
              </w:rPr>
            </w:pPr>
          </w:p>
        </w:tc>
      </w:tr>
    </w:tbl>
    <w:p w14:paraId="2CEE747F" w14:textId="23A8FAE8" w:rsidR="00A077EE" w:rsidRDefault="007C4312" w:rsidP="007C4312">
      <w:pPr>
        <w:adjustRightInd w:val="0"/>
        <w:snapToGrid w:val="0"/>
        <w:spacing w:line="360" w:lineRule="auto"/>
        <w:ind w:firstLine="420"/>
        <w:jc w:val="both"/>
        <w:rPr>
          <w:rFonts w:ascii="Times New Roman" w:hAnsi="Times New Roman" w:cs="Times New Roman"/>
          <w:bCs/>
        </w:rPr>
      </w:pPr>
      <w:r w:rsidRPr="00D35631">
        <w:rPr>
          <w:rFonts w:ascii="Times New Roman" w:hAnsi="Times New Roman" w:cs="Times New Roman"/>
          <w:bCs/>
          <w:sz w:val="21"/>
          <w:szCs w:val="21"/>
        </w:rPr>
        <w:t xml:space="preserve">#NOTE: </w:t>
      </w:r>
      <w:r>
        <w:rPr>
          <w:rFonts w:ascii="Times New Roman" w:hAnsi="Times New Roman" w:cs="Times New Roman"/>
          <w:bCs/>
          <w:sz w:val="21"/>
          <w:szCs w:val="21"/>
        </w:rPr>
        <w:t xml:space="preserve">Position in red is </w:t>
      </w:r>
      <w:r>
        <w:rPr>
          <w:rFonts w:ascii="Times New Roman" w:hAnsi="Times New Roman" w:cs="Times New Roman"/>
        </w:rPr>
        <w:t xml:space="preserve">T503G of </w:t>
      </w:r>
      <w:r>
        <w:rPr>
          <w:rFonts w:ascii="Times New Roman" w:hAnsi="Times New Roman" w:cs="Times New Roman" w:hint="eastAsia"/>
          <w:i/>
        </w:rPr>
        <w:t>KCNJ</w:t>
      </w:r>
      <w:r>
        <w:rPr>
          <w:rFonts w:ascii="Times New Roman" w:hAnsi="Times New Roman" w:cs="Times New Roman"/>
          <w:i/>
        </w:rPr>
        <w:t>5.</w:t>
      </w:r>
    </w:p>
    <w:p w14:paraId="0E7D6B58" w14:textId="01CCF516" w:rsidR="00A077EE" w:rsidRPr="007C4312" w:rsidRDefault="00D76748" w:rsidP="007C4312">
      <w:pPr>
        <w:numPr>
          <w:ilvl w:val="0"/>
          <w:numId w:val="2"/>
        </w:numPr>
        <w:jc w:val="both"/>
        <w:rPr>
          <w:rFonts w:ascii="Times New Roman" w:hAnsi="Times New Roman" w:cs="Times New Roman"/>
          <w:b/>
          <w:bCs/>
          <w:szCs w:val="21"/>
        </w:rPr>
      </w:pPr>
      <w:r>
        <w:rPr>
          <w:rFonts w:ascii="Times New Roman" w:hAnsi="Times New Roman" w:cs="Times New Roman" w:hint="eastAsia"/>
          <w:b/>
          <w:bCs/>
          <w:szCs w:val="21"/>
        </w:rPr>
        <w:t>W</w:t>
      </w:r>
      <w:r>
        <w:rPr>
          <w:rFonts w:ascii="Times New Roman" w:hAnsi="Times New Roman" w:cs="Times New Roman"/>
          <w:b/>
          <w:bCs/>
          <w:szCs w:val="21"/>
        </w:rPr>
        <w:t xml:space="preserve">hole </w:t>
      </w:r>
      <w:r w:rsidR="00FF1E79">
        <w:rPr>
          <w:rFonts w:ascii="Times New Roman" w:hAnsi="Times New Roman" w:cs="Times New Roman"/>
          <w:b/>
          <w:bCs/>
          <w:szCs w:val="21"/>
        </w:rPr>
        <w:t xml:space="preserve">genome </w:t>
      </w:r>
      <w:r>
        <w:rPr>
          <w:rFonts w:ascii="Times New Roman" w:hAnsi="Times New Roman" w:cs="Times New Roman"/>
          <w:b/>
          <w:bCs/>
          <w:szCs w:val="21"/>
        </w:rPr>
        <w:t xml:space="preserve">bisulfite sequencing data analysis </w:t>
      </w:r>
    </w:p>
    <w:p w14:paraId="7C8BBB3F" w14:textId="33ABFE6C" w:rsidR="00A077EE" w:rsidRDefault="00D76748">
      <w:pPr>
        <w:spacing w:line="360" w:lineRule="auto"/>
        <w:ind w:firstLine="420"/>
        <w:jc w:val="both"/>
        <w:rPr>
          <w:rFonts w:ascii="Times New Roman" w:hAnsi="Times New Roman" w:cs="Times New Roman"/>
        </w:rPr>
      </w:pPr>
      <w:r>
        <w:rPr>
          <w:rFonts w:ascii="Times New Roman" w:hAnsi="Times New Roman" w:cs="Times New Roman" w:hint="eastAsia"/>
        </w:rPr>
        <w:t>We performed WGBS analysis on Wild</w:t>
      </w:r>
      <w:r w:rsidR="00FF1E79">
        <w:rPr>
          <w:rFonts w:ascii="Times New Roman" w:hAnsi="Times New Roman" w:cs="Times New Roman"/>
        </w:rPr>
        <w:t xml:space="preserve"> type</w:t>
      </w:r>
      <w:r>
        <w:rPr>
          <w:rFonts w:ascii="Times New Roman" w:hAnsi="Times New Roman" w:cs="Times New Roman" w:hint="eastAsia"/>
        </w:rPr>
        <w:t>, B7 and D3 samples respectively, and the quality of sequencing data is shown in Table S4. The results showed that the promoter region of CYP11B2 gene was indeed hypomethylated, indicating that KCNJ5 mutation can indeed lead to methylation changes of CYP11B2 gene low.</w:t>
      </w:r>
    </w:p>
    <w:p w14:paraId="179B6D81" w14:textId="77777777" w:rsidR="00A077EE" w:rsidRDefault="00D76748">
      <w:pPr>
        <w:spacing w:line="360" w:lineRule="auto"/>
        <w:jc w:val="center"/>
        <w:rPr>
          <w:rFonts w:ascii="Times New Roman" w:hAnsi="Times New Roman" w:cs="Times New Roman"/>
          <w:b/>
          <w:bCs/>
        </w:rPr>
      </w:pPr>
      <w:r>
        <w:rPr>
          <w:rFonts w:ascii="Times New Roman" w:hAnsi="Times New Roman" w:cs="Times New Roman"/>
          <w:b/>
          <w:bCs/>
        </w:rPr>
        <w:t>Table S</w:t>
      </w:r>
      <w:r>
        <w:rPr>
          <w:rFonts w:ascii="Times New Roman" w:hAnsi="Times New Roman" w:cs="Times New Roman" w:hint="eastAsia"/>
          <w:b/>
          <w:bCs/>
        </w:rPr>
        <w:t>4</w:t>
      </w:r>
      <w:r>
        <w:rPr>
          <w:rFonts w:ascii="Times New Roman" w:hAnsi="Times New Roman" w:cs="Times New Roman"/>
          <w:b/>
          <w:bCs/>
        </w:rPr>
        <w:t xml:space="preserve"> Bisulfite whole-genome sequencing quality control results</w:t>
      </w:r>
    </w:p>
    <w:tbl>
      <w:tblPr>
        <w:tblW w:w="8420" w:type="dxa"/>
        <w:tblLook w:val="04A0" w:firstRow="1" w:lastRow="0" w:firstColumn="1" w:lastColumn="0" w:noHBand="0" w:noVBand="1"/>
      </w:tblPr>
      <w:tblGrid>
        <w:gridCol w:w="1020"/>
        <w:gridCol w:w="2040"/>
        <w:gridCol w:w="1020"/>
        <w:gridCol w:w="960"/>
        <w:gridCol w:w="1740"/>
        <w:gridCol w:w="820"/>
        <w:gridCol w:w="820"/>
      </w:tblGrid>
      <w:tr w:rsidR="00A077EE" w14:paraId="2FE8A28C" w14:textId="77777777">
        <w:trPr>
          <w:trHeight w:val="320"/>
        </w:trPr>
        <w:tc>
          <w:tcPr>
            <w:tcW w:w="1020" w:type="dxa"/>
            <w:tcBorders>
              <w:top w:val="single" w:sz="4" w:space="0" w:color="auto"/>
              <w:left w:val="nil"/>
              <w:bottom w:val="single" w:sz="4" w:space="0" w:color="auto"/>
              <w:right w:val="nil"/>
            </w:tcBorders>
            <w:shd w:val="clear" w:color="auto" w:fill="auto"/>
            <w:vAlign w:val="center"/>
          </w:tcPr>
          <w:p w14:paraId="40C4AD07"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Sample ID</w:t>
            </w:r>
          </w:p>
        </w:tc>
        <w:tc>
          <w:tcPr>
            <w:tcW w:w="2040" w:type="dxa"/>
            <w:tcBorders>
              <w:top w:val="single" w:sz="4" w:space="0" w:color="auto"/>
              <w:left w:val="nil"/>
              <w:bottom w:val="single" w:sz="4" w:space="0" w:color="auto"/>
              <w:right w:val="nil"/>
            </w:tcBorders>
            <w:shd w:val="clear" w:color="auto" w:fill="auto"/>
            <w:noWrap/>
            <w:vAlign w:val="center"/>
          </w:tcPr>
          <w:p w14:paraId="542EC41A"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Platform</w:t>
            </w:r>
          </w:p>
        </w:tc>
        <w:tc>
          <w:tcPr>
            <w:tcW w:w="1020" w:type="dxa"/>
            <w:tcBorders>
              <w:top w:val="single" w:sz="4" w:space="0" w:color="auto"/>
              <w:left w:val="nil"/>
              <w:bottom w:val="single" w:sz="4" w:space="0" w:color="auto"/>
              <w:right w:val="nil"/>
            </w:tcBorders>
            <w:shd w:val="clear" w:color="auto" w:fill="auto"/>
            <w:noWrap/>
            <w:vAlign w:val="center"/>
          </w:tcPr>
          <w:p w14:paraId="2125FC21"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Reads (M)</w:t>
            </w:r>
          </w:p>
        </w:tc>
        <w:tc>
          <w:tcPr>
            <w:tcW w:w="960" w:type="dxa"/>
            <w:tcBorders>
              <w:top w:val="single" w:sz="4" w:space="0" w:color="auto"/>
              <w:left w:val="nil"/>
              <w:bottom w:val="single" w:sz="4" w:space="0" w:color="auto"/>
              <w:right w:val="nil"/>
            </w:tcBorders>
            <w:shd w:val="clear" w:color="auto" w:fill="auto"/>
            <w:noWrap/>
            <w:vAlign w:val="center"/>
          </w:tcPr>
          <w:p w14:paraId="494639EE"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Bases (G)</w:t>
            </w:r>
          </w:p>
        </w:tc>
        <w:tc>
          <w:tcPr>
            <w:tcW w:w="1740" w:type="dxa"/>
            <w:tcBorders>
              <w:top w:val="single" w:sz="4" w:space="0" w:color="auto"/>
              <w:left w:val="nil"/>
              <w:bottom w:val="single" w:sz="4" w:space="0" w:color="auto"/>
              <w:right w:val="nil"/>
            </w:tcBorders>
            <w:shd w:val="clear" w:color="auto" w:fill="auto"/>
            <w:noWrap/>
            <w:vAlign w:val="center"/>
          </w:tcPr>
          <w:p w14:paraId="2629454A"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ReadLength</w:t>
            </w:r>
            <w:r>
              <w:rPr>
                <w:rFonts w:cs="Times New Roman" w:hint="eastAsia"/>
                <w:color w:val="000000"/>
                <w:sz w:val="18"/>
                <w:szCs w:val="18"/>
              </w:rPr>
              <w:t>（</w:t>
            </w:r>
            <w:r>
              <w:rPr>
                <w:rFonts w:ascii="Times New Roman" w:eastAsia="DengXian" w:hAnsi="Times New Roman" w:cs="Times New Roman"/>
                <w:color w:val="000000"/>
                <w:sz w:val="18"/>
                <w:szCs w:val="18"/>
              </w:rPr>
              <w:t>PE</w:t>
            </w:r>
            <w:r>
              <w:rPr>
                <w:rFonts w:cs="Times New Roman" w:hint="eastAsia"/>
                <w:color w:val="000000"/>
                <w:sz w:val="18"/>
                <w:szCs w:val="18"/>
              </w:rPr>
              <w:t>）</w:t>
            </w:r>
          </w:p>
        </w:tc>
        <w:tc>
          <w:tcPr>
            <w:tcW w:w="820" w:type="dxa"/>
            <w:tcBorders>
              <w:top w:val="single" w:sz="4" w:space="0" w:color="auto"/>
              <w:left w:val="nil"/>
              <w:bottom w:val="single" w:sz="4" w:space="0" w:color="auto"/>
              <w:right w:val="nil"/>
            </w:tcBorders>
            <w:shd w:val="clear" w:color="auto" w:fill="auto"/>
            <w:noWrap/>
            <w:vAlign w:val="center"/>
          </w:tcPr>
          <w:p w14:paraId="1853FBF5"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Q20    </w:t>
            </w:r>
          </w:p>
        </w:tc>
        <w:tc>
          <w:tcPr>
            <w:tcW w:w="820" w:type="dxa"/>
            <w:tcBorders>
              <w:top w:val="single" w:sz="4" w:space="0" w:color="auto"/>
              <w:left w:val="nil"/>
              <w:bottom w:val="single" w:sz="4" w:space="0" w:color="auto"/>
              <w:right w:val="nil"/>
            </w:tcBorders>
            <w:shd w:val="clear" w:color="auto" w:fill="auto"/>
            <w:noWrap/>
            <w:vAlign w:val="center"/>
          </w:tcPr>
          <w:p w14:paraId="68F591D6"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GC</w:t>
            </w:r>
          </w:p>
        </w:tc>
      </w:tr>
      <w:tr w:rsidR="00A077EE" w14:paraId="0F20D53F" w14:textId="77777777">
        <w:trPr>
          <w:trHeight w:val="320"/>
        </w:trPr>
        <w:tc>
          <w:tcPr>
            <w:tcW w:w="1020" w:type="dxa"/>
            <w:tcBorders>
              <w:top w:val="nil"/>
              <w:left w:val="nil"/>
              <w:bottom w:val="nil"/>
              <w:right w:val="nil"/>
            </w:tcBorders>
            <w:shd w:val="clear" w:color="auto" w:fill="auto"/>
            <w:vAlign w:val="center"/>
          </w:tcPr>
          <w:p w14:paraId="0AB0AC9B"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Wild</w:t>
            </w:r>
          </w:p>
        </w:tc>
        <w:tc>
          <w:tcPr>
            <w:tcW w:w="2040" w:type="dxa"/>
            <w:tcBorders>
              <w:top w:val="nil"/>
              <w:left w:val="nil"/>
              <w:bottom w:val="nil"/>
              <w:right w:val="nil"/>
            </w:tcBorders>
            <w:shd w:val="clear" w:color="auto" w:fill="auto"/>
            <w:noWrap/>
            <w:vAlign w:val="center"/>
          </w:tcPr>
          <w:p w14:paraId="36DA5E52"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Illumina(HiSeq X-Ten)</w:t>
            </w:r>
          </w:p>
        </w:tc>
        <w:tc>
          <w:tcPr>
            <w:tcW w:w="1020" w:type="dxa"/>
            <w:tcBorders>
              <w:top w:val="nil"/>
              <w:left w:val="nil"/>
              <w:bottom w:val="nil"/>
              <w:right w:val="nil"/>
            </w:tcBorders>
            <w:shd w:val="clear" w:color="auto" w:fill="auto"/>
            <w:noWrap/>
            <w:vAlign w:val="center"/>
          </w:tcPr>
          <w:p w14:paraId="7261497A"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909.16</w:t>
            </w:r>
          </w:p>
        </w:tc>
        <w:tc>
          <w:tcPr>
            <w:tcW w:w="960" w:type="dxa"/>
            <w:tcBorders>
              <w:top w:val="nil"/>
              <w:left w:val="nil"/>
              <w:bottom w:val="nil"/>
              <w:right w:val="nil"/>
            </w:tcBorders>
            <w:shd w:val="clear" w:color="auto" w:fill="auto"/>
            <w:noWrap/>
            <w:vAlign w:val="center"/>
          </w:tcPr>
          <w:p w14:paraId="194CB76C"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137.88</w:t>
            </w:r>
          </w:p>
        </w:tc>
        <w:tc>
          <w:tcPr>
            <w:tcW w:w="1740" w:type="dxa"/>
            <w:tcBorders>
              <w:top w:val="nil"/>
              <w:left w:val="nil"/>
              <w:bottom w:val="nil"/>
              <w:right w:val="nil"/>
            </w:tcBorders>
            <w:shd w:val="clear" w:color="auto" w:fill="auto"/>
            <w:noWrap/>
            <w:vAlign w:val="center"/>
          </w:tcPr>
          <w:p w14:paraId="2F256581"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150</w:t>
            </w:r>
          </w:p>
        </w:tc>
        <w:tc>
          <w:tcPr>
            <w:tcW w:w="820" w:type="dxa"/>
            <w:tcBorders>
              <w:top w:val="nil"/>
              <w:left w:val="nil"/>
              <w:bottom w:val="nil"/>
              <w:right w:val="nil"/>
            </w:tcBorders>
            <w:shd w:val="clear" w:color="auto" w:fill="auto"/>
            <w:noWrap/>
            <w:vAlign w:val="center"/>
          </w:tcPr>
          <w:p w14:paraId="48B3D357"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98.05%</w:t>
            </w:r>
          </w:p>
        </w:tc>
        <w:tc>
          <w:tcPr>
            <w:tcW w:w="820" w:type="dxa"/>
            <w:tcBorders>
              <w:top w:val="nil"/>
              <w:left w:val="nil"/>
              <w:bottom w:val="nil"/>
              <w:right w:val="nil"/>
            </w:tcBorders>
            <w:shd w:val="clear" w:color="auto" w:fill="auto"/>
            <w:noWrap/>
            <w:vAlign w:val="center"/>
          </w:tcPr>
          <w:p w14:paraId="35BF8367"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22.25%</w:t>
            </w:r>
          </w:p>
        </w:tc>
      </w:tr>
      <w:tr w:rsidR="00A077EE" w14:paraId="37560F77" w14:textId="77777777">
        <w:trPr>
          <w:trHeight w:val="320"/>
        </w:trPr>
        <w:tc>
          <w:tcPr>
            <w:tcW w:w="1020" w:type="dxa"/>
            <w:tcBorders>
              <w:top w:val="nil"/>
              <w:left w:val="nil"/>
              <w:bottom w:val="nil"/>
              <w:right w:val="nil"/>
            </w:tcBorders>
            <w:shd w:val="clear" w:color="auto" w:fill="auto"/>
            <w:vAlign w:val="center"/>
          </w:tcPr>
          <w:p w14:paraId="79A188A8"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B7</w:t>
            </w:r>
          </w:p>
        </w:tc>
        <w:tc>
          <w:tcPr>
            <w:tcW w:w="2040" w:type="dxa"/>
            <w:tcBorders>
              <w:top w:val="nil"/>
              <w:left w:val="nil"/>
              <w:bottom w:val="nil"/>
              <w:right w:val="nil"/>
            </w:tcBorders>
            <w:shd w:val="clear" w:color="auto" w:fill="auto"/>
            <w:noWrap/>
            <w:vAlign w:val="center"/>
          </w:tcPr>
          <w:p w14:paraId="45048CC4"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Illumina(HiSeq X-Ten)</w:t>
            </w:r>
          </w:p>
        </w:tc>
        <w:tc>
          <w:tcPr>
            <w:tcW w:w="1020" w:type="dxa"/>
            <w:tcBorders>
              <w:top w:val="nil"/>
              <w:left w:val="nil"/>
              <w:bottom w:val="nil"/>
              <w:right w:val="nil"/>
            </w:tcBorders>
            <w:shd w:val="clear" w:color="auto" w:fill="auto"/>
            <w:noWrap/>
            <w:vAlign w:val="center"/>
          </w:tcPr>
          <w:p w14:paraId="5A991F3B"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904.68</w:t>
            </w:r>
          </w:p>
        </w:tc>
        <w:tc>
          <w:tcPr>
            <w:tcW w:w="960" w:type="dxa"/>
            <w:tcBorders>
              <w:top w:val="nil"/>
              <w:left w:val="nil"/>
              <w:bottom w:val="nil"/>
              <w:right w:val="nil"/>
            </w:tcBorders>
            <w:shd w:val="clear" w:color="auto" w:fill="auto"/>
            <w:noWrap/>
            <w:vAlign w:val="center"/>
          </w:tcPr>
          <w:p w14:paraId="3F500714"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132.52</w:t>
            </w:r>
          </w:p>
        </w:tc>
        <w:tc>
          <w:tcPr>
            <w:tcW w:w="1740" w:type="dxa"/>
            <w:tcBorders>
              <w:top w:val="nil"/>
              <w:left w:val="nil"/>
              <w:bottom w:val="nil"/>
              <w:right w:val="nil"/>
            </w:tcBorders>
            <w:shd w:val="clear" w:color="auto" w:fill="auto"/>
            <w:noWrap/>
            <w:vAlign w:val="center"/>
          </w:tcPr>
          <w:p w14:paraId="7C2C72A3"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150</w:t>
            </w:r>
          </w:p>
        </w:tc>
        <w:tc>
          <w:tcPr>
            <w:tcW w:w="820" w:type="dxa"/>
            <w:tcBorders>
              <w:top w:val="nil"/>
              <w:left w:val="nil"/>
              <w:bottom w:val="nil"/>
              <w:right w:val="nil"/>
            </w:tcBorders>
            <w:shd w:val="clear" w:color="auto" w:fill="auto"/>
            <w:noWrap/>
            <w:vAlign w:val="center"/>
          </w:tcPr>
          <w:p w14:paraId="5036D864"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99.63%</w:t>
            </w:r>
          </w:p>
        </w:tc>
        <w:tc>
          <w:tcPr>
            <w:tcW w:w="820" w:type="dxa"/>
            <w:tcBorders>
              <w:top w:val="nil"/>
              <w:left w:val="nil"/>
              <w:bottom w:val="nil"/>
              <w:right w:val="nil"/>
            </w:tcBorders>
            <w:shd w:val="clear" w:color="auto" w:fill="auto"/>
            <w:noWrap/>
            <w:vAlign w:val="center"/>
          </w:tcPr>
          <w:p w14:paraId="631853DC"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22.00%</w:t>
            </w:r>
          </w:p>
        </w:tc>
      </w:tr>
      <w:tr w:rsidR="00A077EE" w14:paraId="22063CB3" w14:textId="77777777">
        <w:trPr>
          <w:trHeight w:val="320"/>
        </w:trPr>
        <w:tc>
          <w:tcPr>
            <w:tcW w:w="1020" w:type="dxa"/>
            <w:tcBorders>
              <w:top w:val="nil"/>
              <w:left w:val="nil"/>
              <w:bottom w:val="single" w:sz="4" w:space="0" w:color="auto"/>
              <w:right w:val="nil"/>
            </w:tcBorders>
            <w:shd w:val="clear" w:color="auto" w:fill="auto"/>
            <w:vAlign w:val="center"/>
          </w:tcPr>
          <w:p w14:paraId="7B9C1B53"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D3</w:t>
            </w:r>
          </w:p>
        </w:tc>
        <w:tc>
          <w:tcPr>
            <w:tcW w:w="2040" w:type="dxa"/>
            <w:tcBorders>
              <w:top w:val="nil"/>
              <w:left w:val="nil"/>
              <w:bottom w:val="single" w:sz="4" w:space="0" w:color="auto"/>
              <w:right w:val="nil"/>
            </w:tcBorders>
            <w:shd w:val="clear" w:color="auto" w:fill="auto"/>
            <w:noWrap/>
            <w:vAlign w:val="center"/>
          </w:tcPr>
          <w:p w14:paraId="2ED129DA"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Illumina(HiSeq X-Ten)</w:t>
            </w:r>
          </w:p>
        </w:tc>
        <w:tc>
          <w:tcPr>
            <w:tcW w:w="1020" w:type="dxa"/>
            <w:tcBorders>
              <w:top w:val="nil"/>
              <w:left w:val="nil"/>
              <w:bottom w:val="single" w:sz="4" w:space="0" w:color="auto"/>
              <w:right w:val="nil"/>
            </w:tcBorders>
            <w:shd w:val="clear" w:color="auto" w:fill="auto"/>
            <w:noWrap/>
            <w:vAlign w:val="center"/>
          </w:tcPr>
          <w:p w14:paraId="293F5CD9"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984.17</w:t>
            </w:r>
          </w:p>
        </w:tc>
        <w:tc>
          <w:tcPr>
            <w:tcW w:w="960" w:type="dxa"/>
            <w:tcBorders>
              <w:top w:val="nil"/>
              <w:left w:val="nil"/>
              <w:bottom w:val="single" w:sz="4" w:space="0" w:color="auto"/>
              <w:right w:val="nil"/>
            </w:tcBorders>
            <w:shd w:val="clear" w:color="auto" w:fill="auto"/>
            <w:noWrap/>
            <w:vAlign w:val="center"/>
          </w:tcPr>
          <w:p w14:paraId="7ED9C3B3"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144.17</w:t>
            </w:r>
          </w:p>
        </w:tc>
        <w:tc>
          <w:tcPr>
            <w:tcW w:w="1740" w:type="dxa"/>
            <w:tcBorders>
              <w:top w:val="nil"/>
              <w:left w:val="nil"/>
              <w:bottom w:val="single" w:sz="4" w:space="0" w:color="auto"/>
              <w:right w:val="nil"/>
            </w:tcBorders>
            <w:shd w:val="clear" w:color="auto" w:fill="auto"/>
            <w:noWrap/>
            <w:vAlign w:val="center"/>
          </w:tcPr>
          <w:p w14:paraId="0335A630"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150</w:t>
            </w:r>
          </w:p>
        </w:tc>
        <w:tc>
          <w:tcPr>
            <w:tcW w:w="820" w:type="dxa"/>
            <w:tcBorders>
              <w:top w:val="nil"/>
              <w:left w:val="nil"/>
              <w:bottom w:val="single" w:sz="4" w:space="0" w:color="auto"/>
              <w:right w:val="nil"/>
            </w:tcBorders>
            <w:shd w:val="clear" w:color="auto" w:fill="auto"/>
            <w:noWrap/>
            <w:vAlign w:val="center"/>
          </w:tcPr>
          <w:p w14:paraId="3C35322A"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99.63%</w:t>
            </w:r>
          </w:p>
        </w:tc>
        <w:tc>
          <w:tcPr>
            <w:tcW w:w="820" w:type="dxa"/>
            <w:tcBorders>
              <w:top w:val="nil"/>
              <w:left w:val="nil"/>
              <w:bottom w:val="single" w:sz="4" w:space="0" w:color="auto"/>
              <w:right w:val="nil"/>
            </w:tcBorders>
            <w:shd w:val="clear" w:color="auto" w:fill="auto"/>
            <w:noWrap/>
            <w:vAlign w:val="center"/>
          </w:tcPr>
          <w:p w14:paraId="5FD24DF9" w14:textId="77777777" w:rsidR="00A077EE" w:rsidRDefault="00D76748">
            <w:pPr>
              <w:jc w:val="both"/>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23.00%</w:t>
            </w:r>
          </w:p>
        </w:tc>
      </w:tr>
    </w:tbl>
    <w:p w14:paraId="6DA7987A" w14:textId="70E5C07D" w:rsidR="00A077EE" w:rsidRPr="00D35631" w:rsidRDefault="00D76748" w:rsidP="00A757EA">
      <w:pPr>
        <w:spacing w:beforeLines="50" w:before="163"/>
        <w:ind w:firstLineChars="200" w:firstLine="420"/>
        <w:jc w:val="both"/>
        <w:rPr>
          <w:rFonts w:ascii="Times New Roman" w:hAnsi="Times New Roman" w:cs="Times New Roman"/>
          <w:bCs/>
          <w:sz w:val="21"/>
          <w:szCs w:val="21"/>
        </w:rPr>
      </w:pPr>
      <w:r w:rsidRPr="00D35631">
        <w:rPr>
          <w:rFonts w:ascii="Times New Roman" w:hAnsi="Times New Roman" w:cs="Times New Roman"/>
          <w:bCs/>
          <w:sz w:val="21"/>
          <w:szCs w:val="21"/>
        </w:rPr>
        <w:t xml:space="preserve">#NOTE: Reads: Total number of sequenced fragments after filtering; Bases: Total number of bases after filtering; ReadLength: Length of sequenced fragments; Q20: Number of nucleotides/total number of nucleotides with sequencing quality greater than 20; GC: Guanine (or cytosine) ) Number of nucleotides/total number of nucleotides. </w:t>
      </w:r>
    </w:p>
    <w:p w14:paraId="2B974A21" w14:textId="77777777" w:rsidR="00A757EA" w:rsidRDefault="00A757EA" w:rsidP="00A757EA">
      <w:pPr>
        <w:spacing w:beforeLines="50" w:before="163"/>
        <w:ind w:firstLineChars="200" w:firstLine="480"/>
        <w:jc w:val="both"/>
        <w:rPr>
          <w:rFonts w:ascii="Times New Roman" w:hAnsi="Times New Roman" w:cs="Times New Roman"/>
          <w:bCs/>
        </w:rPr>
      </w:pPr>
    </w:p>
    <w:p w14:paraId="519180D2" w14:textId="77777777"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t>However, through the analysis of multiple WTS and qPCR, there was still no difference in the transcription of CYP11B2 gene, but the change of aldosterone was obvious, so CYP11B2 was not the only reason for the increase of aldosterone. The methylation changes in the promoter region of the gene are shown in Table S</w:t>
      </w:r>
      <w:r>
        <w:rPr>
          <w:rFonts w:ascii="Times New Roman" w:hAnsi="Times New Roman" w:cs="Times New Roman" w:hint="eastAsia"/>
          <w:bCs/>
        </w:rPr>
        <w:t>4</w:t>
      </w:r>
      <w:r>
        <w:rPr>
          <w:rFonts w:ascii="Times New Roman" w:hAnsi="Times New Roman" w:cs="Times New Roman"/>
          <w:bCs/>
        </w:rPr>
        <w:t>. Table S</w:t>
      </w:r>
      <w:r>
        <w:rPr>
          <w:rFonts w:ascii="Times New Roman" w:hAnsi="Times New Roman" w:cs="Times New Roman" w:hint="eastAsia"/>
          <w:bCs/>
        </w:rPr>
        <w:t>4</w:t>
      </w:r>
      <w:r>
        <w:rPr>
          <w:rFonts w:ascii="Times New Roman" w:hAnsi="Times New Roman" w:cs="Times New Roman"/>
          <w:bCs/>
        </w:rPr>
        <w:t xml:space="preserve"> Correlation between methylation and expression</w:t>
      </w:r>
    </w:p>
    <w:p w14:paraId="5607E5E8" w14:textId="77777777" w:rsidR="00A077EE" w:rsidRDefault="00A077EE">
      <w:pPr>
        <w:adjustRightInd w:val="0"/>
        <w:snapToGrid w:val="0"/>
        <w:spacing w:line="360" w:lineRule="auto"/>
        <w:jc w:val="both"/>
        <w:rPr>
          <w:rFonts w:ascii="Times New Roman" w:hAnsi="Times New Roman" w:cs="Times New Roman"/>
          <w:b/>
        </w:rPr>
      </w:pPr>
    </w:p>
    <w:p w14:paraId="080BEB86" w14:textId="77777777" w:rsidR="00A077EE" w:rsidRDefault="00D76748">
      <w:pPr>
        <w:numPr>
          <w:ilvl w:val="0"/>
          <w:numId w:val="2"/>
        </w:numPr>
        <w:adjustRightInd w:val="0"/>
        <w:snapToGrid w:val="0"/>
        <w:spacing w:line="360" w:lineRule="auto"/>
        <w:jc w:val="both"/>
        <w:rPr>
          <w:rFonts w:ascii="Times New Roman" w:hAnsi="Times New Roman" w:cs="Times New Roman"/>
          <w:b/>
        </w:rPr>
      </w:pPr>
      <w:r>
        <w:rPr>
          <w:rFonts w:ascii="Times New Roman" w:hAnsi="Times New Roman" w:cs="Times New Roman"/>
          <w:b/>
        </w:rPr>
        <w:t xml:space="preserve">Transcriptome </w:t>
      </w:r>
      <w:r>
        <w:rPr>
          <w:rFonts w:ascii="Times New Roman" w:hAnsi="Times New Roman" w:cs="Times New Roman" w:hint="eastAsia"/>
          <w:b/>
        </w:rPr>
        <w:t>data</w:t>
      </w:r>
      <w:r>
        <w:rPr>
          <w:rFonts w:ascii="Times New Roman" w:hAnsi="Times New Roman" w:cs="Times New Roman"/>
          <w:b/>
        </w:rPr>
        <w:t xml:space="preserve"> analysis</w:t>
      </w:r>
    </w:p>
    <w:p w14:paraId="4C5718EB" w14:textId="77777777" w:rsidR="00A077EE" w:rsidRDefault="00D76748">
      <w:pPr>
        <w:adjustRightInd w:val="0"/>
        <w:snapToGrid w:val="0"/>
        <w:spacing w:line="360" w:lineRule="auto"/>
        <w:ind w:firstLine="420"/>
        <w:jc w:val="both"/>
        <w:rPr>
          <w:rFonts w:ascii="Times New Roman" w:hAnsi="Times New Roman" w:cs="Times New Roman"/>
          <w:bCs/>
        </w:rPr>
      </w:pPr>
      <w:r>
        <w:rPr>
          <w:rFonts w:ascii="Times New Roman" w:hAnsi="Times New Roman" w:cs="Times New Roman"/>
          <w:bCs/>
        </w:rPr>
        <w:lastRenderedPageBreak/>
        <w:t xml:space="preserve">We performed transcriptome sequencing on the constructed human adrenal cortex small cell carcinoma wild-type cell line </w:t>
      </w:r>
      <w:r>
        <w:rPr>
          <w:rFonts w:ascii="Times New Roman" w:hAnsi="Times New Roman" w:cs="Times New Roman" w:hint="eastAsia"/>
          <w:bCs/>
        </w:rPr>
        <w:t>SW</w:t>
      </w:r>
      <w:r>
        <w:rPr>
          <w:rFonts w:ascii="Times New Roman" w:hAnsi="Times New Roman" w:cs="Times New Roman"/>
          <w:bCs/>
        </w:rPr>
        <w:t xml:space="preserve">-13 and mutant cell lines D3, B7, C5 and F1 on the Illumina platform and the BGISEQ-500 platform, The quality control results are shown in Table </w:t>
      </w:r>
      <w:r>
        <w:rPr>
          <w:rFonts w:ascii="Times New Roman" w:hAnsi="Times New Roman" w:cs="Times New Roman" w:hint="eastAsia"/>
          <w:bCs/>
        </w:rPr>
        <w:t>S5</w:t>
      </w:r>
      <w:r>
        <w:rPr>
          <w:rFonts w:ascii="Times New Roman" w:hAnsi="Times New Roman" w:cs="Times New Roman"/>
          <w:bCs/>
        </w:rPr>
        <w:t>.</w:t>
      </w:r>
    </w:p>
    <w:p w14:paraId="4463D3C6" w14:textId="77777777" w:rsidR="00A077EE" w:rsidRDefault="00D76748">
      <w:pPr>
        <w:spacing w:line="360" w:lineRule="auto"/>
        <w:jc w:val="center"/>
        <w:rPr>
          <w:rFonts w:ascii="Times New Roman" w:hAnsi="Times New Roman" w:cs="Times New Roman"/>
          <w:b/>
          <w:bCs/>
        </w:rPr>
      </w:pPr>
      <w:r>
        <w:rPr>
          <w:rFonts w:ascii="Times New Roman" w:hAnsi="Times New Roman" w:cs="Times New Roman"/>
          <w:b/>
          <w:bCs/>
        </w:rPr>
        <w:t xml:space="preserve">Table </w:t>
      </w:r>
      <w:r>
        <w:rPr>
          <w:rFonts w:ascii="Times New Roman" w:hAnsi="Times New Roman" w:cs="Times New Roman" w:hint="eastAsia"/>
          <w:b/>
          <w:bCs/>
        </w:rPr>
        <w:t>S5</w:t>
      </w:r>
      <w:r>
        <w:rPr>
          <w:rFonts w:ascii="Times New Roman" w:hAnsi="Times New Roman" w:cs="Times New Roman"/>
          <w:b/>
          <w:bCs/>
        </w:rPr>
        <w:t xml:space="preserve"> Whole transcriptome sequencing quality control results</w:t>
      </w:r>
    </w:p>
    <w:tbl>
      <w:tblPr>
        <w:tblW w:w="9360" w:type="dxa"/>
        <w:jc w:val="center"/>
        <w:tblLook w:val="04A0" w:firstRow="1" w:lastRow="0" w:firstColumn="1" w:lastColumn="0" w:noHBand="0" w:noVBand="1"/>
      </w:tblPr>
      <w:tblGrid>
        <w:gridCol w:w="1300"/>
        <w:gridCol w:w="1300"/>
        <w:gridCol w:w="1180"/>
        <w:gridCol w:w="1144"/>
        <w:gridCol w:w="1011"/>
        <w:gridCol w:w="861"/>
        <w:gridCol w:w="861"/>
        <w:gridCol w:w="794"/>
        <w:gridCol w:w="1116"/>
      </w:tblGrid>
      <w:tr w:rsidR="00A077EE" w14:paraId="4AE719DA" w14:textId="77777777">
        <w:trPr>
          <w:trHeight w:val="580"/>
          <w:jc w:val="center"/>
        </w:trPr>
        <w:tc>
          <w:tcPr>
            <w:tcW w:w="1300" w:type="dxa"/>
            <w:tcBorders>
              <w:top w:val="single" w:sz="8" w:space="0" w:color="auto"/>
              <w:left w:val="nil"/>
              <w:bottom w:val="single" w:sz="8" w:space="0" w:color="auto"/>
              <w:right w:val="nil"/>
            </w:tcBorders>
            <w:shd w:val="clear" w:color="auto" w:fill="auto"/>
            <w:vAlign w:val="center"/>
          </w:tcPr>
          <w:p w14:paraId="44C03C0E"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Sample</w:t>
            </w:r>
          </w:p>
        </w:tc>
        <w:tc>
          <w:tcPr>
            <w:tcW w:w="1300" w:type="dxa"/>
            <w:tcBorders>
              <w:top w:val="single" w:sz="8" w:space="0" w:color="auto"/>
              <w:left w:val="nil"/>
              <w:bottom w:val="single" w:sz="8" w:space="0" w:color="auto"/>
              <w:right w:val="nil"/>
            </w:tcBorders>
            <w:shd w:val="clear" w:color="auto" w:fill="auto"/>
            <w:vAlign w:val="center"/>
          </w:tcPr>
          <w:p w14:paraId="1DCCB8DC"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ID</w:t>
            </w:r>
          </w:p>
        </w:tc>
        <w:tc>
          <w:tcPr>
            <w:tcW w:w="1180" w:type="dxa"/>
            <w:tcBorders>
              <w:top w:val="single" w:sz="8" w:space="0" w:color="auto"/>
              <w:left w:val="nil"/>
              <w:bottom w:val="single" w:sz="8" w:space="0" w:color="auto"/>
              <w:right w:val="nil"/>
            </w:tcBorders>
            <w:shd w:val="clear" w:color="auto" w:fill="auto"/>
            <w:vAlign w:val="center"/>
          </w:tcPr>
          <w:p w14:paraId="51DC863E"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Cell line</w:t>
            </w:r>
          </w:p>
        </w:tc>
        <w:tc>
          <w:tcPr>
            <w:tcW w:w="1140" w:type="dxa"/>
            <w:tcBorders>
              <w:top w:val="single" w:sz="8" w:space="0" w:color="auto"/>
              <w:left w:val="nil"/>
              <w:bottom w:val="single" w:sz="8" w:space="0" w:color="auto"/>
              <w:right w:val="nil"/>
            </w:tcBorders>
            <w:shd w:val="clear" w:color="auto" w:fill="auto"/>
            <w:vAlign w:val="center"/>
          </w:tcPr>
          <w:p w14:paraId="1416ECD1"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Clean Reads(M)</w:t>
            </w:r>
          </w:p>
        </w:tc>
        <w:tc>
          <w:tcPr>
            <w:tcW w:w="1000" w:type="dxa"/>
            <w:tcBorders>
              <w:top w:val="single" w:sz="8" w:space="0" w:color="auto"/>
              <w:left w:val="nil"/>
              <w:bottom w:val="single" w:sz="8" w:space="0" w:color="auto"/>
              <w:right w:val="nil"/>
            </w:tcBorders>
            <w:shd w:val="clear" w:color="auto" w:fill="auto"/>
            <w:vAlign w:val="center"/>
          </w:tcPr>
          <w:p w14:paraId="4E87BDCE"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Clean Bases(G)</w:t>
            </w:r>
          </w:p>
        </w:tc>
        <w:tc>
          <w:tcPr>
            <w:tcW w:w="800" w:type="dxa"/>
            <w:tcBorders>
              <w:top w:val="single" w:sz="8" w:space="0" w:color="auto"/>
              <w:left w:val="nil"/>
              <w:bottom w:val="single" w:sz="8" w:space="0" w:color="auto"/>
              <w:right w:val="nil"/>
            </w:tcBorders>
            <w:shd w:val="clear" w:color="auto" w:fill="auto"/>
            <w:vAlign w:val="center"/>
          </w:tcPr>
          <w:p w14:paraId="4889644C"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Q20(%)</w:t>
            </w:r>
          </w:p>
        </w:tc>
        <w:tc>
          <w:tcPr>
            <w:tcW w:w="800" w:type="dxa"/>
            <w:tcBorders>
              <w:top w:val="single" w:sz="8" w:space="0" w:color="auto"/>
              <w:left w:val="nil"/>
              <w:bottom w:val="single" w:sz="8" w:space="0" w:color="auto"/>
              <w:right w:val="nil"/>
            </w:tcBorders>
            <w:shd w:val="clear" w:color="auto" w:fill="auto"/>
            <w:vAlign w:val="center"/>
          </w:tcPr>
          <w:p w14:paraId="59D996FE"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Q30(%)</w:t>
            </w:r>
          </w:p>
        </w:tc>
        <w:tc>
          <w:tcPr>
            <w:tcW w:w="740" w:type="dxa"/>
            <w:tcBorders>
              <w:top w:val="single" w:sz="8" w:space="0" w:color="auto"/>
              <w:left w:val="nil"/>
              <w:bottom w:val="single" w:sz="8" w:space="0" w:color="auto"/>
              <w:right w:val="nil"/>
            </w:tcBorders>
            <w:shd w:val="clear" w:color="auto" w:fill="auto"/>
            <w:vAlign w:val="center"/>
          </w:tcPr>
          <w:p w14:paraId="0B8270E2"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GC(%)</w:t>
            </w:r>
          </w:p>
        </w:tc>
        <w:tc>
          <w:tcPr>
            <w:tcW w:w="1100" w:type="dxa"/>
            <w:tcBorders>
              <w:top w:val="single" w:sz="8" w:space="0" w:color="auto"/>
              <w:left w:val="nil"/>
              <w:bottom w:val="single" w:sz="8" w:space="0" w:color="auto"/>
              <w:right w:val="nil"/>
            </w:tcBorders>
            <w:shd w:val="clear" w:color="auto" w:fill="auto"/>
            <w:vAlign w:val="center"/>
          </w:tcPr>
          <w:p w14:paraId="26314314"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Read Length(bp)</w:t>
            </w:r>
          </w:p>
        </w:tc>
      </w:tr>
      <w:tr w:rsidR="00A077EE" w14:paraId="64068757" w14:textId="77777777">
        <w:trPr>
          <w:trHeight w:val="320"/>
          <w:jc w:val="center"/>
        </w:trPr>
        <w:tc>
          <w:tcPr>
            <w:tcW w:w="1300" w:type="dxa"/>
            <w:vMerge w:val="restart"/>
            <w:tcBorders>
              <w:top w:val="nil"/>
              <w:left w:val="nil"/>
              <w:bottom w:val="nil"/>
              <w:right w:val="nil"/>
            </w:tcBorders>
            <w:shd w:val="clear" w:color="auto" w:fill="auto"/>
            <w:noWrap/>
            <w:vAlign w:val="center"/>
          </w:tcPr>
          <w:p w14:paraId="1ED793E4"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Wild</w:t>
            </w:r>
          </w:p>
        </w:tc>
        <w:tc>
          <w:tcPr>
            <w:tcW w:w="1300" w:type="dxa"/>
            <w:tcBorders>
              <w:top w:val="nil"/>
              <w:left w:val="nil"/>
              <w:bottom w:val="nil"/>
              <w:right w:val="nil"/>
            </w:tcBorders>
            <w:shd w:val="clear" w:color="auto" w:fill="auto"/>
            <w:noWrap/>
            <w:vAlign w:val="center"/>
          </w:tcPr>
          <w:p w14:paraId="4F51678C"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Sw13-normal</w:t>
            </w:r>
          </w:p>
        </w:tc>
        <w:tc>
          <w:tcPr>
            <w:tcW w:w="1180" w:type="dxa"/>
            <w:vMerge w:val="restart"/>
            <w:tcBorders>
              <w:top w:val="nil"/>
              <w:left w:val="nil"/>
              <w:bottom w:val="nil"/>
              <w:right w:val="nil"/>
            </w:tcBorders>
            <w:shd w:val="clear" w:color="auto" w:fill="auto"/>
            <w:noWrap/>
            <w:vAlign w:val="center"/>
          </w:tcPr>
          <w:p w14:paraId="00FE37E9"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Wild SW-13</w:t>
            </w:r>
          </w:p>
        </w:tc>
        <w:tc>
          <w:tcPr>
            <w:tcW w:w="1140" w:type="dxa"/>
            <w:tcBorders>
              <w:top w:val="nil"/>
              <w:left w:val="nil"/>
              <w:bottom w:val="nil"/>
              <w:right w:val="nil"/>
            </w:tcBorders>
            <w:shd w:val="clear" w:color="auto" w:fill="auto"/>
            <w:noWrap/>
            <w:vAlign w:val="center"/>
          </w:tcPr>
          <w:p w14:paraId="33B39526"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91.3696M</w:t>
            </w:r>
          </w:p>
        </w:tc>
        <w:tc>
          <w:tcPr>
            <w:tcW w:w="1000" w:type="dxa"/>
            <w:tcBorders>
              <w:top w:val="nil"/>
              <w:left w:val="nil"/>
              <w:bottom w:val="nil"/>
              <w:right w:val="nil"/>
            </w:tcBorders>
            <w:shd w:val="clear" w:color="auto" w:fill="auto"/>
            <w:noWrap/>
            <w:vAlign w:val="center"/>
          </w:tcPr>
          <w:p w14:paraId="0B6DB2CB"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13.7054G</w:t>
            </w:r>
          </w:p>
        </w:tc>
        <w:tc>
          <w:tcPr>
            <w:tcW w:w="800" w:type="dxa"/>
            <w:tcBorders>
              <w:top w:val="nil"/>
              <w:left w:val="nil"/>
              <w:bottom w:val="nil"/>
              <w:right w:val="nil"/>
            </w:tcBorders>
            <w:shd w:val="clear" w:color="auto" w:fill="auto"/>
            <w:noWrap/>
            <w:vAlign w:val="center"/>
          </w:tcPr>
          <w:p w14:paraId="0A70C883"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95.98</w:t>
            </w:r>
          </w:p>
        </w:tc>
        <w:tc>
          <w:tcPr>
            <w:tcW w:w="800" w:type="dxa"/>
            <w:tcBorders>
              <w:top w:val="nil"/>
              <w:left w:val="nil"/>
              <w:bottom w:val="nil"/>
              <w:right w:val="nil"/>
            </w:tcBorders>
            <w:shd w:val="clear" w:color="auto" w:fill="auto"/>
            <w:noWrap/>
            <w:vAlign w:val="center"/>
          </w:tcPr>
          <w:p w14:paraId="23C9129C"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90.91</w:t>
            </w:r>
          </w:p>
        </w:tc>
        <w:tc>
          <w:tcPr>
            <w:tcW w:w="740" w:type="dxa"/>
            <w:tcBorders>
              <w:top w:val="nil"/>
              <w:left w:val="nil"/>
              <w:bottom w:val="nil"/>
              <w:right w:val="nil"/>
            </w:tcBorders>
            <w:shd w:val="clear" w:color="auto" w:fill="auto"/>
            <w:noWrap/>
            <w:vAlign w:val="center"/>
          </w:tcPr>
          <w:p w14:paraId="73DBB1AA"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49.43</w:t>
            </w:r>
          </w:p>
        </w:tc>
        <w:tc>
          <w:tcPr>
            <w:tcW w:w="1100" w:type="dxa"/>
            <w:tcBorders>
              <w:top w:val="nil"/>
              <w:left w:val="nil"/>
              <w:bottom w:val="nil"/>
              <w:right w:val="nil"/>
            </w:tcBorders>
            <w:shd w:val="clear" w:color="auto" w:fill="auto"/>
            <w:noWrap/>
            <w:vAlign w:val="center"/>
          </w:tcPr>
          <w:p w14:paraId="4E3BB7C9"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150</w:t>
            </w:r>
          </w:p>
        </w:tc>
      </w:tr>
      <w:tr w:rsidR="00A077EE" w14:paraId="2A6F4CA7" w14:textId="77777777">
        <w:trPr>
          <w:trHeight w:val="320"/>
          <w:jc w:val="center"/>
        </w:trPr>
        <w:tc>
          <w:tcPr>
            <w:tcW w:w="1300" w:type="dxa"/>
            <w:vMerge/>
            <w:tcBorders>
              <w:top w:val="nil"/>
              <w:left w:val="nil"/>
              <w:bottom w:val="nil"/>
              <w:right w:val="nil"/>
            </w:tcBorders>
            <w:vAlign w:val="center"/>
          </w:tcPr>
          <w:p w14:paraId="6982EEF7" w14:textId="77777777" w:rsidR="00A077EE" w:rsidRDefault="00A077EE">
            <w:pPr>
              <w:jc w:val="both"/>
              <w:rPr>
                <w:rFonts w:ascii="Times New Roman" w:eastAsia="DengXian" w:hAnsi="Times New Roman" w:cs="Times New Roman"/>
                <w:color w:val="000000"/>
                <w:sz w:val="20"/>
                <w:szCs w:val="20"/>
              </w:rPr>
            </w:pPr>
          </w:p>
        </w:tc>
        <w:tc>
          <w:tcPr>
            <w:tcW w:w="1300" w:type="dxa"/>
            <w:tcBorders>
              <w:top w:val="nil"/>
              <w:left w:val="nil"/>
              <w:bottom w:val="nil"/>
              <w:right w:val="nil"/>
            </w:tcBorders>
            <w:shd w:val="clear" w:color="auto" w:fill="auto"/>
            <w:noWrap/>
            <w:vAlign w:val="center"/>
          </w:tcPr>
          <w:p w14:paraId="5F167C2E"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widA1</w:t>
            </w:r>
          </w:p>
        </w:tc>
        <w:tc>
          <w:tcPr>
            <w:tcW w:w="1180" w:type="dxa"/>
            <w:vMerge/>
            <w:tcBorders>
              <w:top w:val="nil"/>
              <w:left w:val="nil"/>
              <w:bottom w:val="nil"/>
              <w:right w:val="nil"/>
            </w:tcBorders>
            <w:vAlign w:val="center"/>
          </w:tcPr>
          <w:p w14:paraId="7CA6D39D" w14:textId="77777777" w:rsidR="00A077EE" w:rsidRDefault="00A077EE">
            <w:pPr>
              <w:jc w:val="both"/>
              <w:rPr>
                <w:rFonts w:ascii="Times New Roman" w:eastAsia="DengXian" w:hAnsi="Times New Roman" w:cs="Times New Roman"/>
                <w:color w:val="000000"/>
                <w:sz w:val="20"/>
                <w:szCs w:val="20"/>
              </w:rPr>
            </w:pPr>
          </w:p>
        </w:tc>
        <w:tc>
          <w:tcPr>
            <w:tcW w:w="1140" w:type="dxa"/>
            <w:tcBorders>
              <w:top w:val="nil"/>
              <w:left w:val="nil"/>
              <w:bottom w:val="nil"/>
              <w:right w:val="nil"/>
            </w:tcBorders>
            <w:shd w:val="clear" w:color="auto" w:fill="auto"/>
            <w:noWrap/>
            <w:vAlign w:val="center"/>
          </w:tcPr>
          <w:p w14:paraId="2711253F"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41.2976M</w:t>
            </w:r>
          </w:p>
        </w:tc>
        <w:tc>
          <w:tcPr>
            <w:tcW w:w="1000" w:type="dxa"/>
            <w:tcBorders>
              <w:top w:val="nil"/>
              <w:left w:val="nil"/>
              <w:bottom w:val="nil"/>
              <w:right w:val="nil"/>
            </w:tcBorders>
            <w:shd w:val="clear" w:color="auto" w:fill="auto"/>
            <w:noWrap/>
            <w:vAlign w:val="center"/>
          </w:tcPr>
          <w:p w14:paraId="57CEBB6D"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6.1739G</w:t>
            </w:r>
          </w:p>
        </w:tc>
        <w:tc>
          <w:tcPr>
            <w:tcW w:w="800" w:type="dxa"/>
            <w:tcBorders>
              <w:top w:val="nil"/>
              <w:left w:val="nil"/>
              <w:bottom w:val="nil"/>
              <w:right w:val="nil"/>
            </w:tcBorders>
            <w:shd w:val="clear" w:color="auto" w:fill="auto"/>
            <w:noWrap/>
            <w:vAlign w:val="center"/>
          </w:tcPr>
          <w:p w14:paraId="30F920C3"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95.35</w:t>
            </w:r>
          </w:p>
        </w:tc>
        <w:tc>
          <w:tcPr>
            <w:tcW w:w="800" w:type="dxa"/>
            <w:tcBorders>
              <w:top w:val="nil"/>
              <w:left w:val="nil"/>
              <w:bottom w:val="nil"/>
              <w:right w:val="nil"/>
            </w:tcBorders>
            <w:shd w:val="clear" w:color="auto" w:fill="auto"/>
            <w:noWrap/>
            <w:vAlign w:val="center"/>
          </w:tcPr>
          <w:p w14:paraId="606A9C59"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85.32</w:t>
            </w:r>
          </w:p>
        </w:tc>
        <w:tc>
          <w:tcPr>
            <w:tcW w:w="740" w:type="dxa"/>
            <w:tcBorders>
              <w:top w:val="nil"/>
              <w:left w:val="nil"/>
              <w:bottom w:val="nil"/>
              <w:right w:val="nil"/>
            </w:tcBorders>
            <w:shd w:val="clear" w:color="auto" w:fill="auto"/>
            <w:noWrap/>
            <w:vAlign w:val="center"/>
          </w:tcPr>
          <w:p w14:paraId="74FCF56B"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47.21</w:t>
            </w:r>
          </w:p>
        </w:tc>
        <w:tc>
          <w:tcPr>
            <w:tcW w:w="1100" w:type="dxa"/>
            <w:tcBorders>
              <w:top w:val="nil"/>
              <w:left w:val="nil"/>
              <w:bottom w:val="nil"/>
              <w:right w:val="nil"/>
            </w:tcBorders>
            <w:shd w:val="clear" w:color="auto" w:fill="auto"/>
            <w:noWrap/>
            <w:vAlign w:val="center"/>
          </w:tcPr>
          <w:p w14:paraId="27600A13"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150</w:t>
            </w:r>
          </w:p>
        </w:tc>
      </w:tr>
      <w:tr w:rsidR="00A077EE" w14:paraId="4D31C84C" w14:textId="77777777">
        <w:trPr>
          <w:trHeight w:val="320"/>
          <w:jc w:val="center"/>
        </w:trPr>
        <w:tc>
          <w:tcPr>
            <w:tcW w:w="1300" w:type="dxa"/>
            <w:vMerge/>
            <w:tcBorders>
              <w:top w:val="nil"/>
              <w:left w:val="nil"/>
              <w:bottom w:val="nil"/>
              <w:right w:val="nil"/>
            </w:tcBorders>
            <w:vAlign w:val="center"/>
          </w:tcPr>
          <w:p w14:paraId="0ADC5CAB" w14:textId="77777777" w:rsidR="00A077EE" w:rsidRDefault="00A077EE">
            <w:pPr>
              <w:jc w:val="both"/>
              <w:rPr>
                <w:rFonts w:ascii="Times New Roman" w:eastAsia="DengXian" w:hAnsi="Times New Roman" w:cs="Times New Roman"/>
                <w:color w:val="000000"/>
                <w:sz w:val="20"/>
                <w:szCs w:val="20"/>
              </w:rPr>
            </w:pPr>
          </w:p>
        </w:tc>
        <w:tc>
          <w:tcPr>
            <w:tcW w:w="1300" w:type="dxa"/>
            <w:tcBorders>
              <w:top w:val="nil"/>
              <w:left w:val="nil"/>
              <w:bottom w:val="nil"/>
              <w:right w:val="nil"/>
            </w:tcBorders>
            <w:shd w:val="clear" w:color="auto" w:fill="auto"/>
            <w:noWrap/>
            <w:vAlign w:val="center"/>
          </w:tcPr>
          <w:p w14:paraId="42DBAFDD"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widA2</w:t>
            </w:r>
          </w:p>
        </w:tc>
        <w:tc>
          <w:tcPr>
            <w:tcW w:w="1180" w:type="dxa"/>
            <w:vMerge/>
            <w:tcBorders>
              <w:top w:val="nil"/>
              <w:left w:val="nil"/>
              <w:bottom w:val="nil"/>
              <w:right w:val="nil"/>
            </w:tcBorders>
            <w:vAlign w:val="center"/>
          </w:tcPr>
          <w:p w14:paraId="00F67D6B" w14:textId="77777777" w:rsidR="00A077EE" w:rsidRDefault="00A077EE">
            <w:pPr>
              <w:jc w:val="both"/>
              <w:rPr>
                <w:rFonts w:ascii="Times New Roman" w:eastAsia="DengXian" w:hAnsi="Times New Roman" w:cs="Times New Roman"/>
                <w:color w:val="000000"/>
                <w:sz w:val="20"/>
                <w:szCs w:val="20"/>
              </w:rPr>
            </w:pPr>
          </w:p>
        </w:tc>
        <w:tc>
          <w:tcPr>
            <w:tcW w:w="1140" w:type="dxa"/>
            <w:tcBorders>
              <w:top w:val="nil"/>
              <w:left w:val="nil"/>
              <w:bottom w:val="nil"/>
              <w:right w:val="nil"/>
            </w:tcBorders>
            <w:shd w:val="clear" w:color="auto" w:fill="auto"/>
            <w:noWrap/>
            <w:vAlign w:val="center"/>
          </w:tcPr>
          <w:p w14:paraId="0B3613F8"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40.6135M</w:t>
            </w:r>
          </w:p>
        </w:tc>
        <w:tc>
          <w:tcPr>
            <w:tcW w:w="1000" w:type="dxa"/>
            <w:tcBorders>
              <w:top w:val="nil"/>
              <w:left w:val="nil"/>
              <w:bottom w:val="nil"/>
              <w:right w:val="nil"/>
            </w:tcBorders>
            <w:shd w:val="clear" w:color="auto" w:fill="auto"/>
            <w:noWrap/>
            <w:vAlign w:val="center"/>
          </w:tcPr>
          <w:p w14:paraId="34A8B702"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6.0734G</w:t>
            </w:r>
          </w:p>
        </w:tc>
        <w:tc>
          <w:tcPr>
            <w:tcW w:w="800" w:type="dxa"/>
            <w:tcBorders>
              <w:top w:val="nil"/>
              <w:left w:val="nil"/>
              <w:bottom w:val="nil"/>
              <w:right w:val="nil"/>
            </w:tcBorders>
            <w:shd w:val="clear" w:color="auto" w:fill="auto"/>
            <w:noWrap/>
            <w:vAlign w:val="center"/>
          </w:tcPr>
          <w:p w14:paraId="4781A99F"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95.15</w:t>
            </w:r>
          </w:p>
        </w:tc>
        <w:tc>
          <w:tcPr>
            <w:tcW w:w="800" w:type="dxa"/>
            <w:tcBorders>
              <w:top w:val="nil"/>
              <w:left w:val="nil"/>
              <w:bottom w:val="nil"/>
              <w:right w:val="nil"/>
            </w:tcBorders>
            <w:shd w:val="clear" w:color="auto" w:fill="auto"/>
            <w:noWrap/>
            <w:vAlign w:val="center"/>
          </w:tcPr>
          <w:p w14:paraId="54550B72"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84.84</w:t>
            </w:r>
          </w:p>
        </w:tc>
        <w:tc>
          <w:tcPr>
            <w:tcW w:w="740" w:type="dxa"/>
            <w:tcBorders>
              <w:top w:val="nil"/>
              <w:left w:val="nil"/>
              <w:bottom w:val="nil"/>
              <w:right w:val="nil"/>
            </w:tcBorders>
            <w:shd w:val="clear" w:color="auto" w:fill="auto"/>
            <w:noWrap/>
            <w:vAlign w:val="center"/>
          </w:tcPr>
          <w:p w14:paraId="5DA4EBEE"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47.58</w:t>
            </w:r>
          </w:p>
        </w:tc>
        <w:tc>
          <w:tcPr>
            <w:tcW w:w="1100" w:type="dxa"/>
            <w:tcBorders>
              <w:top w:val="nil"/>
              <w:left w:val="nil"/>
              <w:bottom w:val="nil"/>
              <w:right w:val="nil"/>
            </w:tcBorders>
            <w:shd w:val="clear" w:color="auto" w:fill="auto"/>
            <w:noWrap/>
            <w:vAlign w:val="center"/>
          </w:tcPr>
          <w:p w14:paraId="1AFBE94C"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150</w:t>
            </w:r>
          </w:p>
        </w:tc>
      </w:tr>
      <w:tr w:rsidR="00A077EE" w14:paraId="1EF4D562" w14:textId="77777777">
        <w:trPr>
          <w:trHeight w:val="320"/>
          <w:jc w:val="center"/>
        </w:trPr>
        <w:tc>
          <w:tcPr>
            <w:tcW w:w="1300" w:type="dxa"/>
            <w:vMerge/>
            <w:tcBorders>
              <w:top w:val="nil"/>
              <w:left w:val="nil"/>
              <w:bottom w:val="nil"/>
              <w:right w:val="nil"/>
            </w:tcBorders>
            <w:vAlign w:val="center"/>
          </w:tcPr>
          <w:p w14:paraId="09DDF496" w14:textId="77777777" w:rsidR="00A077EE" w:rsidRDefault="00A077EE">
            <w:pPr>
              <w:jc w:val="both"/>
              <w:rPr>
                <w:rFonts w:ascii="Times New Roman" w:eastAsia="DengXian" w:hAnsi="Times New Roman" w:cs="Times New Roman"/>
                <w:color w:val="000000"/>
                <w:sz w:val="20"/>
                <w:szCs w:val="20"/>
              </w:rPr>
            </w:pPr>
          </w:p>
        </w:tc>
        <w:tc>
          <w:tcPr>
            <w:tcW w:w="1300" w:type="dxa"/>
            <w:tcBorders>
              <w:top w:val="nil"/>
              <w:left w:val="nil"/>
              <w:bottom w:val="nil"/>
              <w:right w:val="nil"/>
            </w:tcBorders>
            <w:shd w:val="clear" w:color="auto" w:fill="auto"/>
            <w:noWrap/>
            <w:vAlign w:val="center"/>
          </w:tcPr>
          <w:p w14:paraId="22FCE454"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Sw13-K</w:t>
            </w:r>
          </w:p>
        </w:tc>
        <w:tc>
          <w:tcPr>
            <w:tcW w:w="1180" w:type="dxa"/>
            <w:vMerge/>
            <w:tcBorders>
              <w:top w:val="nil"/>
              <w:left w:val="nil"/>
              <w:bottom w:val="nil"/>
              <w:right w:val="nil"/>
            </w:tcBorders>
            <w:vAlign w:val="center"/>
          </w:tcPr>
          <w:p w14:paraId="5AD02914" w14:textId="77777777" w:rsidR="00A077EE" w:rsidRDefault="00A077EE">
            <w:pPr>
              <w:jc w:val="both"/>
              <w:rPr>
                <w:rFonts w:ascii="Times New Roman" w:eastAsia="DengXian" w:hAnsi="Times New Roman" w:cs="Times New Roman"/>
                <w:color w:val="000000"/>
                <w:sz w:val="20"/>
                <w:szCs w:val="20"/>
              </w:rPr>
            </w:pPr>
          </w:p>
        </w:tc>
        <w:tc>
          <w:tcPr>
            <w:tcW w:w="1140" w:type="dxa"/>
            <w:tcBorders>
              <w:top w:val="nil"/>
              <w:left w:val="nil"/>
              <w:bottom w:val="nil"/>
              <w:right w:val="nil"/>
            </w:tcBorders>
            <w:shd w:val="clear" w:color="auto" w:fill="auto"/>
            <w:noWrap/>
            <w:vAlign w:val="center"/>
          </w:tcPr>
          <w:p w14:paraId="7EC4D7CD"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40.3770M</w:t>
            </w:r>
          </w:p>
        </w:tc>
        <w:tc>
          <w:tcPr>
            <w:tcW w:w="1000" w:type="dxa"/>
            <w:tcBorders>
              <w:top w:val="nil"/>
              <w:left w:val="nil"/>
              <w:bottom w:val="nil"/>
              <w:right w:val="nil"/>
            </w:tcBorders>
            <w:shd w:val="clear" w:color="auto" w:fill="auto"/>
            <w:noWrap/>
            <w:vAlign w:val="center"/>
          </w:tcPr>
          <w:p w14:paraId="6097D71F"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6.0566G</w:t>
            </w:r>
          </w:p>
        </w:tc>
        <w:tc>
          <w:tcPr>
            <w:tcW w:w="800" w:type="dxa"/>
            <w:tcBorders>
              <w:top w:val="nil"/>
              <w:left w:val="nil"/>
              <w:bottom w:val="nil"/>
              <w:right w:val="nil"/>
            </w:tcBorders>
            <w:shd w:val="clear" w:color="auto" w:fill="auto"/>
            <w:noWrap/>
            <w:vAlign w:val="center"/>
          </w:tcPr>
          <w:p w14:paraId="3C249FA5"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97.4</w:t>
            </w:r>
          </w:p>
        </w:tc>
        <w:tc>
          <w:tcPr>
            <w:tcW w:w="800" w:type="dxa"/>
            <w:tcBorders>
              <w:top w:val="nil"/>
              <w:left w:val="nil"/>
              <w:bottom w:val="nil"/>
              <w:right w:val="nil"/>
            </w:tcBorders>
            <w:shd w:val="clear" w:color="auto" w:fill="auto"/>
            <w:noWrap/>
            <w:vAlign w:val="center"/>
          </w:tcPr>
          <w:p w14:paraId="640D5F8C"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93.05</w:t>
            </w:r>
          </w:p>
        </w:tc>
        <w:tc>
          <w:tcPr>
            <w:tcW w:w="740" w:type="dxa"/>
            <w:tcBorders>
              <w:top w:val="nil"/>
              <w:left w:val="nil"/>
              <w:bottom w:val="nil"/>
              <w:right w:val="nil"/>
            </w:tcBorders>
            <w:shd w:val="clear" w:color="auto" w:fill="auto"/>
            <w:noWrap/>
            <w:vAlign w:val="center"/>
          </w:tcPr>
          <w:p w14:paraId="70175932"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48.73</w:t>
            </w:r>
          </w:p>
        </w:tc>
        <w:tc>
          <w:tcPr>
            <w:tcW w:w="1100" w:type="dxa"/>
            <w:tcBorders>
              <w:top w:val="nil"/>
              <w:left w:val="nil"/>
              <w:bottom w:val="nil"/>
              <w:right w:val="nil"/>
            </w:tcBorders>
            <w:shd w:val="clear" w:color="auto" w:fill="auto"/>
            <w:noWrap/>
            <w:vAlign w:val="center"/>
          </w:tcPr>
          <w:p w14:paraId="4AC5BD1D"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150</w:t>
            </w:r>
          </w:p>
        </w:tc>
      </w:tr>
      <w:tr w:rsidR="00A077EE" w14:paraId="231E91FB" w14:textId="77777777">
        <w:trPr>
          <w:trHeight w:val="320"/>
          <w:jc w:val="center"/>
        </w:trPr>
        <w:tc>
          <w:tcPr>
            <w:tcW w:w="1300" w:type="dxa"/>
            <w:vMerge/>
            <w:tcBorders>
              <w:top w:val="nil"/>
              <w:left w:val="nil"/>
              <w:bottom w:val="nil"/>
              <w:right w:val="nil"/>
            </w:tcBorders>
            <w:vAlign w:val="center"/>
          </w:tcPr>
          <w:p w14:paraId="31AACDE5" w14:textId="77777777" w:rsidR="00A077EE" w:rsidRDefault="00A077EE">
            <w:pPr>
              <w:jc w:val="both"/>
              <w:rPr>
                <w:rFonts w:ascii="Times New Roman" w:eastAsia="DengXian" w:hAnsi="Times New Roman" w:cs="Times New Roman"/>
                <w:color w:val="000000"/>
                <w:sz w:val="20"/>
                <w:szCs w:val="20"/>
              </w:rPr>
            </w:pPr>
          </w:p>
        </w:tc>
        <w:tc>
          <w:tcPr>
            <w:tcW w:w="1300" w:type="dxa"/>
            <w:tcBorders>
              <w:top w:val="nil"/>
              <w:left w:val="nil"/>
              <w:bottom w:val="nil"/>
              <w:right w:val="nil"/>
            </w:tcBorders>
            <w:shd w:val="clear" w:color="auto" w:fill="auto"/>
            <w:noWrap/>
            <w:vAlign w:val="center"/>
          </w:tcPr>
          <w:p w14:paraId="00A99400"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Sw13-K_redo</w:t>
            </w:r>
          </w:p>
        </w:tc>
        <w:tc>
          <w:tcPr>
            <w:tcW w:w="1180" w:type="dxa"/>
            <w:vMerge/>
            <w:tcBorders>
              <w:top w:val="nil"/>
              <w:left w:val="nil"/>
              <w:bottom w:val="nil"/>
              <w:right w:val="nil"/>
            </w:tcBorders>
            <w:vAlign w:val="center"/>
          </w:tcPr>
          <w:p w14:paraId="049F7442" w14:textId="77777777" w:rsidR="00A077EE" w:rsidRDefault="00A077EE">
            <w:pPr>
              <w:jc w:val="both"/>
              <w:rPr>
                <w:rFonts w:ascii="Times New Roman" w:eastAsia="DengXian" w:hAnsi="Times New Roman" w:cs="Times New Roman"/>
                <w:color w:val="000000"/>
                <w:sz w:val="20"/>
                <w:szCs w:val="20"/>
              </w:rPr>
            </w:pPr>
          </w:p>
        </w:tc>
        <w:tc>
          <w:tcPr>
            <w:tcW w:w="1140" w:type="dxa"/>
            <w:tcBorders>
              <w:top w:val="nil"/>
              <w:left w:val="nil"/>
              <w:bottom w:val="nil"/>
              <w:right w:val="nil"/>
            </w:tcBorders>
            <w:shd w:val="clear" w:color="auto" w:fill="auto"/>
            <w:noWrap/>
            <w:vAlign w:val="center"/>
          </w:tcPr>
          <w:p w14:paraId="743BBA8D"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46.5495M</w:t>
            </w:r>
          </w:p>
        </w:tc>
        <w:tc>
          <w:tcPr>
            <w:tcW w:w="1000" w:type="dxa"/>
            <w:tcBorders>
              <w:top w:val="nil"/>
              <w:left w:val="nil"/>
              <w:bottom w:val="nil"/>
              <w:right w:val="nil"/>
            </w:tcBorders>
            <w:shd w:val="clear" w:color="auto" w:fill="auto"/>
            <w:noWrap/>
            <w:vAlign w:val="center"/>
          </w:tcPr>
          <w:p w14:paraId="3270AFDD"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6.9824G</w:t>
            </w:r>
          </w:p>
        </w:tc>
        <w:tc>
          <w:tcPr>
            <w:tcW w:w="800" w:type="dxa"/>
            <w:tcBorders>
              <w:top w:val="nil"/>
              <w:left w:val="nil"/>
              <w:bottom w:val="nil"/>
              <w:right w:val="nil"/>
            </w:tcBorders>
            <w:shd w:val="clear" w:color="auto" w:fill="auto"/>
            <w:noWrap/>
            <w:vAlign w:val="center"/>
          </w:tcPr>
          <w:p w14:paraId="28177672"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97.13</w:t>
            </w:r>
          </w:p>
        </w:tc>
        <w:tc>
          <w:tcPr>
            <w:tcW w:w="800" w:type="dxa"/>
            <w:tcBorders>
              <w:top w:val="nil"/>
              <w:left w:val="nil"/>
              <w:bottom w:val="nil"/>
              <w:right w:val="nil"/>
            </w:tcBorders>
            <w:shd w:val="clear" w:color="auto" w:fill="auto"/>
            <w:noWrap/>
            <w:vAlign w:val="center"/>
          </w:tcPr>
          <w:p w14:paraId="2727BFFE"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92.46</w:t>
            </w:r>
          </w:p>
        </w:tc>
        <w:tc>
          <w:tcPr>
            <w:tcW w:w="740" w:type="dxa"/>
            <w:tcBorders>
              <w:top w:val="nil"/>
              <w:left w:val="nil"/>
              <w:bottom w:val="nil"/>
              <w:right w:val="nil"/>
            </w:tcBorders>
            <w:shd w:val="clear" w:color="auto" w:fill="auto"/>
            <w:noWrap/>
            <w:vAlign w:val="center"/>
          </w:tcPr>
          <w:p w14:paraId="3AFD3F2D"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48.15</w:t>
            </w:r>
          </w:p>
        </w:tc>
        <w:tc>
          <w:tcPr>
            <w:tcW w:w="1100" w:type="dxa"/>
            <w:tcBorders>
              <w:top w:val="nil"/>
              <w:left w:val="nil"/>
              <w:bottom w:val="nil"/>
              <w:right w:val="nil"/>
            </w:tcBorders>
            <w:shd w:val="clear" w:color="auto" w:fill="auto"/>
            <w:noWrap/>
            <w:vAlign w:val="center"/>
          </w:tcPr>
          <w:p w14:paraId="206D7B44"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150</w:t>
            </w:r>
          </w:p>
        </w:tc>
      </w:tr>
      <w:tr w:rsidR="00A077EE" w14:paraId="29415137" w14:textId="77777777">
        <w:trPr>
          <w:trHeight w:val="320"/>
          <w:jc w:val="center"/>
        </w:trPr>
        <w:tc>
          <w:tcPr>
            <w:tcW w:w="1300" w:type="dxa"/>
            <w:vMerge/>
            <w:tcBorders>
              <w:top w:val="nil"/>
              <w:left w:val="nil"/>
              <w:bottom w:val="nil"/>
              <w:right w:val="nil"/>
            </w:tcBorders>
            <w:vAlign w:val="center"/>
          </w:tcPr>
          <w:p w14:paraId="66D31F73" w14:textId="77777777" w:rsidR="00A077EE" w:rsidRDefault="00A077EE">
            <w:pPr>
              <w:jc w:val="both"/>
              <w:rPr>
                <w:rFonts w:ascii="Times New Roman" w:eastAsia="DengXian" w:hAnsi="Times New Roman" w:cs="Times New Roman"/>
                <w:color w:val="000000"/>
                <w:sz w:val="20"/>
                <w:szCs w:val="20"/>
              </w:rPr>
            </w:pPr>
          </w:p>
        </w:tc>
        <w:tc>
          <w:tcPr>
            <w:tcW w:w="1300" w:type="dxa"/>
            <w:tcBorders>
              <w:top w:val="nil"/>
              <w:left w:val="nil"/>
              <w:bottom w:val="nil"/>
              <w:right w:val="nil"/>
            </w:tcBorders>
            <w:shd w:val="clear" w:color="auto" w:fill="auto"/>
            <w:noWrap/>
            <w:vAlign w:val="center"/>
          </w:tcPr>
          <w:p w14:paraId="4C6A73BD"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Sw13-Na</w:t>
            </w:r>
          </w:p>
        </w:tc>
        <w:tc>
          <w:tcPr>
            <w:tcW w:w="1180" w:type="dxa"/>
            <w:vMerge/>
            <w:tcBorders>
              <w:top w:val="nil"/>
              <w:left w:val="nil"/>
              <w:bottom w:val="nil"/>
              <w:right w:val="nil"/>
            </w:tcBorders>
            <w:vAlign w:val="center"/>
          </w:tcPr>
          <w:p w14:paraId="2AE70842" w14:textId="77777777" w:rsidR="00A077EE" w:rsidRDefault="00A077EE">
            <w:pPr>
              <w:jc w:val="both"/>
              <w:rPr>
                <w:rFonts w:ascii="Times New Roman" w:eastAsia="DengXian" w:hAnsi="Times New Roman" w:cs="Times New Roman"/>
                <w:color w:val="000000"/>
                <w:sz w:val="20"/>
                <w:szCs w:val="20"/>
              </w:rPr>
            </w:pPr>
          </w:p>
        </w:tc>
        <w:tc>
          <w:tcPr>
            <w:tcW w:w="1140" w:type="dxa"/>
            <w:tcBorders>
              <w:top w:val="nil"/>
              <w:left w:val="nil"/>
              <w:bottom w:val="nil"/>
              <w:right w:val="nil"/>
            </w:tcBorders>
            <w:shd w:val="clear" w:color="auto" w:fill="auto"/>
            <w:noWrap/>
            <w:vAlign w:val="center"/>
          </w:tcPr>
          <w:p w14:paraId="7C348358"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37.2816M</w:t>
            </w:r>
          </w:p>
        </w:tc>
        <w:tc>
          <w:tcPr>
            <w:tcW w:w="1000" w:type="dxa"/>
            <w:tcBorders>
              <w:top w:val="nil"/>
              <w:left w:val="nil"/>
              <w:bottom w:val="nil"/>
              <w:right w:val="nil"/>
            </w:tcBorders>
            <w:shd w:val="clear" w:color="auto" w:fill="auto"/>
            <w:noWrap/>
            <w:vAlign w:val="center"/>
          </w:tcPr>
          <w:p w14:paraId="059FD017"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5.5922G</w:t>
            </w:r>
          </w:p>
        </w:tc>
        <w:tc>
          <w:tcPr>
            <w:tcW w:w="800" w:type="dxa"/>
            <w:tcBorders>
              <w:top w:val="nil"/>
              <w:left w:val="nil"/>
              <w:bottom w:val="nil"/>
              <w:right w:val="nil"/>
            </w:tcBorders>
            <w:shd w:val="clear" w:color="auto" w:fill="auto"/>
            <w:noWrap/>
            <w:vAlign w:val="center"/>
          </w:tcPr>
          <w:p w14:paraId="5EFEC56A"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97.35</w:t>
            </w:r>
          </w:p>
        </w:tc>
        <w:tc>
          <w:tcPr>
            <w:tcW w:w="800" w:type="dxa"/>
            <w:tcBorders>
              <w:top w:val="nil"/>
              <w:left w:val="nil"/>
              <w:bottom w:val="nil"/>
              <w:right w:val="nil"/>
            </w:tcBorders>
            <w:shd w:val="clear" w:color="auto" w:fill="auto"/>
            <w:noWrap/>
            <w:vAlign w:val="center"/>
          </w:tcPr>
          <w:p w14:paraId="6EE86326"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93.03</w:t>
            </w:r>
          </w:p>
        </w:tc>
        <w:tc>
          <w:tcPr>
            <w:tcW w:w="740" w:type="dxa"/>
            <w:tcBorders>
              <w:top w:val="nil"/>
              <w:left w:val="nil"/>
              <w:bottom w:val="nil"/>
              <w:right w:val="nil"/>
            </w:tcBorders>
            <w:shd w:val="clear" w:color="auto" w:fill="auto"/>
            <w:noWrap/>
            <w:vAlign w:val="center"/>
          </w:tcPr>
          <w:p w14:paraId="64309B5E"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49.39</w:t>
            </w:r>
          </w:p>
        </w:tc>
        <w:tc>
          <w:tcPr>
            <w:tcW w:w="1100" w:type="dxa"/>
            <w:tcBorders>
              <w:top w:val="nil"/>
              <w:left w:val="nil"/>
              <w:bottom w:val="nil"/>
              <w:right w:val="nil"/>
            </w:tcBorders>
            <w:shd w:val="clear" w:color="auto" w:fill="auto"/>
            <w:noWrap/>
            <w:vAlign w:val="center"/>
          </w:tcPr>
          <w:p w14:paraId="37C55B03"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150</w:t>
            </w:r>
          </w:p>
        </w:tc>
      </w:tr>
      <w:tr w:rsidR="00A077EE" w14:paraId="129C9B78" w14:textId="77777777">
        <w:trPr>
          <w:trHeight w:val="320"/>
          <w:jc w:val="center"/>
        </w:trPr>
        <w:tc>
          <w:tcPr>
            <w:tcW w:w="1300" w:type="dxa"/>
            <w:vMerge/>
            <w:tcBorders>
              <w:top w:val="nil"/>
              <w:left w:val="nil"/>
              <w:bottom w:val="nil"/>
              <w:right w:val="nil"/>
            </w:tcBorders>
            <w:vAlign w:val="center"/>
          </w:tcPr>
          <w:p w14:paraId="49D57DA0" w14:textId="77777777" w:rsidR="00A077EE" w:rsidRDefault="00A077EE">
            <w:pPr>
              <w:jc w:val="both"/>
              <w:rPr>
                <w:rFonts w:ascii="Times New Roman" w:eastAsia="DengXian" w:hAnsi="Times New Roman" w:cs="Times New Roman"/>
                <w:color w:val="000000"/>
                <w:sz w:val="20"/>
                <w:szCs w:val="20"/>
              </w:rPr>
            </w:pPr>
          </w:p>
        </w:tc>
        <w:tc>
          <w:tcPr>
            <w:tcW w:w="1300" w:type="dxa"/>
            <w:tcBorders>
              <w:top w:val="nil"/>
              <w:left w:val="nil"/>
              <w:bottom w:val="nil"/>
              <w:right w:val="nil"/>
            </w:tcBorders>
            <w:shd w:val="clear" w:color="auto" w:fill="auto"/>
            <w:noWrap/>
            <w:vAlign w:val="center"/>
          </w:tcPr>
          <w:p w14:paraId="1E414A61"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Sw13-Na_redo</w:t>
            </w:r>
          </w:p>
        </w:tc>
        <w:tc>
          <w:tcPr>
            <w:tcW w:w="1180" w:type="dxa"/>
            <w:vMerge/>
            <w:tcBorders>
              <w:top w:val="nil"/>
              <w:left w:val="nil"/>
              <w:bottom w:val="nil"/>
              <w:right w:val="nil"/>
            </w:tcBorders>
            <w:vAlign w:val="center"/>
          </w:tcPr>
          <w:p w14:paraId="49CF2A41" w14:textId="77777777" w:rsidR="00A077EE" w:rsidRDefault="00A077EE">
            <w:pPr>
              <w:jc w:val="both"/>
              <w:rPr>
                <w:rFonts w:ascii="Times New Roman" w:eastAsia="DengXian" w:hAnsi="Times New Roman" w:cs="Times New Roman"/>
                <w:color w:val="000000"/>
                <w:sz w:val="20"/>
                <w:szCs w:val="20"/>
              </w:rPr>
            </w:pPr>
          </w:p>
        </w:tc>
        <w:tc>
          <w:tcPr>
            <w:tcW w:w="1140" w:type="dxa"/>
            <w:tcBorders>
              <w:top w:val="nil"/>
              <w:left w:val="nil"/>
              <w:bottom w:val="nil"/>
              <w:right w:val="nil"/>
            </w:tcBorders>
            <w:shd w:val="clear" w:color="auto" w:fill="auto"/>
            <w:noWrap/>
            <w:vAlign w:val="center"/>
          </w:tcPr>
          <w:p w14:paraId="2B94D03D"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47.6170M</w:t>
            </w:r>
          </w:p>
        </w:tc>
        <w:tc>
          <w:tcPr>
            <w:tcW w:w="1000" w:type="dxa"/>
            <w:tcBorders>
              <w:top w:val="nil"/>
              <w:left w:val="nil"/>
              <w:bottom w:val="nil"/>
              <w:right w:val="nil"/>
            </w:tcBorders>
            <w:shd w:val="clear" w:color="auto" w:fill="auto"/>
            <w:noWrap/>
            <w:vAlign w:val="center"/>
          </w:tcPr>
          <w:p w14:paraId="070578B9"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7.1426G</w:t>
            </w:r>
          </w:p>
        </w:tc>
        <w:tc>
          <w:tcPr>
            <w:tcW w:w="800" w:type="dxa"/>
            <w:tcBorders>
              <w:top w:val="nil"/>
              <w:left w:val="nil"/>
              <w:bottom w:val="nil"/>
              <w:right w:val="nil"/>
            </w:tcBorders>
            <w:shd w:val="clear" w:color="auto" w:fill="auto"/>
            <w:noWrap/>
            <w:vAlign w:val="center"/>
          </w:tcPr>
          <w:p w14:paraId="77F50C66"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97.12</w:t>
            </w:r>
          </w:p>
        </w:tc>
        <w:tc>
          <w:tcPr>
            <w:tcW w:w="800" w:type="dxa"/>
            <w:tcBorders>
              <w:top w:val="nil"/>
              <w:left w:val="nil"/>
              <w:bottom w:val="nil"/>
              <w:right w:val="nil"/>
            </w:tcBorders>
            <w:shd w:val="clear" w:color="auto" w:fill="auto"/>
            <w:noWrap/>
            <w:vAlign w:val="center"/>
          </w:tcPr>
          <w:p w14:paraId="0EE991EE"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92.47</w:t>
            </w:r>
          </w:p>
        </w:tc>
        <w:tc>
          <w:tcPr>
            <w:tcW w:w="740" w:type="dxa"/>
            <w:tcBorders>
              <w:top w:val="nil"/>
              <w:left w:val="nil"/>
              <w:bottom w:val="nil"/>
              <w:right w:val="nil"/>
            </w:tcBorders>
            <w:shd w:val="clear" w:color="auto" w:fill="auto"/>
            <w:noWrap/>
            <w:vAlign w:val="center"/>
          </w:tcPr>
          <w:p w14:paraId="31900817"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48.18</w:t>
            </w:r>
          </w:p>
        </w:tc>
        <w:tc>
          <w:tcPr>
            <w:tcW w:w="1100" w:type="dxa"/>
            <w:tcBorders>
              <w:top w:val="nil"/>
              <w:left w:val="nil"/>
              <w:bottom w:val="nil"/>
              <w:right w:val="nil"/>
            </w:tcBorders>
            <w:shd w:val="clear" w:color="auto" w:fill="auto"/>
            <w:noWrap/>
            <w:vAlign w:val="center"/>
          </w:tcPr>
          <w:p w14:paraId="7D932FC5"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150</w:t>
            </w:r>
          </w:p>
        </w:tc>
      </w:tr>
      <w:tr w:rsidR="00A077EE" w14:paraId="52ED4368" w14:textId="77777777">
        <w:trPr>
          <w:trHeight w:val="320"/>
          <w:jc w:val="center"/>
        </w:trPr>
        <w:tc>
          <w:tcPr>
            <w:tcW w:w="1300" w:type="dxa"/>
            <w:vMerge w:val="restart"/>
            <w:tcBorders>
              <w:top w:val="nil"/>
              <w:left w:val="nil"/>
              <w:bottom w:val="nil"/>
              <w:right w:val="nil"/>
            </w:tcBorders>
            <w:shd w:val="clear" w:color="auto" w:fill="auto"/>
            <w:noWrap/>
            <w:vAlign w:val="center"/>
          </w:tcPr>
          <w:p w14:paraId="1D050AA9"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B7</w:t>
            </w:r>
          </w:p>
        </w:tc>
        <w:tc>
          <w:tcPr>
            <w:tcW w:w="1300" w:type="dxa"/>
            <w:tcBorders>
              <w:top w:val="nil"/>
              <w:left w:val="nil"/>
              <w:bottom w:val="nil"/>
              <w:right w:val="nil"/>
            </w:tcBorders>
            <w:shd w:val="clear" w:color="auto" w:fill="auto"/>
            <w:noWrap/>
            <w:vAlign w:val="center"/>
          </w:tcPr>
          <w:p w14:paraId="6576B47B"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B7C1</w:t>
            </w:r>
          </w:p>
        </w:tc>
        <w:tc>
          <w:tcPr>
            <w:tcW w:w="1180" w:type="dxa"/>
            <w:vMerge w:val="restart"/>
            <w:tcBorders>
              <w:top w:val="nil"/>
              <w:left w:val="nil"/>
              <w:bottom w:val="nil"/>
              <w:right w:val="nil"/>
            </w:tcBorders>
            <w:shd w:val="clear" w:color="auto" w:fill="auto"/>
            <w:vAlign w:val="center"/>
          </w:tcPr>
          <w:p w14:paraId="15F6D0A4"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c.T503G SW-13</w:t>
            </w:r>
          </w:p>
        </w:tc>
        <w:tc>
          <w:tcPr>
            <w:tcW w:w="1140" w:type="dxa"/>
            <w:tcBorders>
              <w:top w:val="nil"/>
              <w:left w:val="nil"/>
              <w:bottom w:val="nil"/>
              <w:right w:val="nil"/>
            </w:tcBorders>
            <w:shd w:val="clear" w:color="auto" w:fill="auto"/>
            <w:noWrap/>
            <w:vAlign w:val="center"/>
          </w:tcPr>
          <w:p w14:paraId="38AEE404"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40.1200M</w:t>
            </w:r>
          </w:p>
        </w:tc>
        <w:tc>
          <w:tcPr>
            <w:tcW w:w="1000" w:type="dxa"/>
            <w:tcBorders>
              <w:top w:val="nil"/>
              <w:left w:val="nil"/>
              <w:bottom w:val="nil"/>
              <w:right w:val="nil"/>
            </w:tcBorders>
            <w:shd w:val="clear" w:color="auto" w:fill="auto"/>
            <w:noWrap/>
            <w:vAlign w:val="center"/>
          </w:tcPr>
          <w:p w14:paraId="286E4F63"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6.0180G</w:t>
            </w:r>
          </w:p>
        </w:tc>
        <w:tc>
          <w:tcPr>
            <w:tcW w:w="800" w:type="dxa"/>
            <w:tcBorders>
              <w:top w:val="nil"/>
              <w:left w:val="nil"/>
              <w:bottom w:val="nil"/>
              <w:right w:val="nil"/>
            </w:tcBorders>
            <w:shd w:val="clear" w:color="auto" w:fill="auto"/>
            <w:noWrap/>
            <w:vAlign w:val="center"/>
          </w:tcPr>
          <w:p w14:paraId="2AE84BF4"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95</w:t>
            </w:r>
          </w:p>
        </w:tc>
        <w:tc>
          <w:tcPr>
            <w:tcW w:w="800" w:type="dxa"/>
            <w:tcBorders>
              <w:top w:val="nil"/>
              <w:left w:val="nil"/>
              <w:bottom w:val="nil"/>
              <w:right w:val="nil"/>
            </w:tcBorders>
            <w:shd w:val="clear" w:color="auto" w:fill="auto"/>
            <w:noWrap/>
            <w:vAlign w:val="center"/>
          </w:tcPr>
          <w:p w14:paraId="2CB691F4"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84.38</w:t>
            </w:r>
          </w:p>
        </w:tc>
        <w:tc>
          <w:tcPr>
            <w:tcW w:w="740" w:type="dxa"/>
            <w:tcBorders>
              <w:top w:val="nil"/>
              <w:left w:val="nil"/>
              <w:bottom w:val="nil"/>
              <w:right w:val="nil"/>
            </w:tcBorders>
            <w:shd w:val="clear" w:color="auto" w:fill="auto"/>
            <w:noWrap/>
            <w:vAlign w:val="center"/>
          </w:tcPr>
          <w:p w14:paraId="730A0DF6"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47.76</w:t>
            </w:r>
          </w:p>
        </w:tc>
        <w:tc>
          <w:tcPr>
            <w:tcW w:w="1100" w:type="dxa"/>
            <w:tcBorders>
              <w:top w:val="nil"/>
              <w:left w:val="nil"/>
              <w:bottom w:val="nil"/>
              <w:right w:val="nil"/>
            </w:tcBorders>
            <w:shd w:val="clear" w:color="auto" w:fill="auto"/>
            <w:noWrap/>
            <w:vAlign w:val="center"/>
          </w:tcPr>
          <w:p w14:paraId="63C68BC7"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150</w:t>
            </w:r>
          </w:p>
        </w:tc>
      </w:tr>
      <w:tr w:rsidR="00A077EE" w14:paraId="4D2C54D9" w14:textId="77777777">
        <w:trPr>
          <w:trHeight w:val="320"/>
          <w:jc w:val="center"/>
        </w:trPr>
        <w:tc>
          <w:tcPr>
            <w:tcW w:w="1300" w:type="dxa"/>
            <w:vMerge/>
            <w:tcBorders>
              <w:top w:val="nil"/>
              <w:left w:val="nil"/>
              <w:bottom w:val="nil"/>
              <w:right w:val="nil"/>
            </w:tcBorders>
            <w:vAlign w:val="center"/>
          </w:tcPr>
          <w:p w14:paraId="733FDF1E" w14:textId="77777777" w:rsidR="00A077EE" w:rsidRDefault="00A077EE">
            <w:pPr>
              <w:jc w:val="both"/>
              <w:rPr>
                <w:rFonts w:ascii="Times New Roman" w:eastAsia="DengXian" w:hAnsi="Times New Roman" w:cs="Times New Roman"/>
                <w:color w:val="000000"/>
                <w:sz w:val="20"/>
                <w:szCs w:val="20"/>
              </w:rPr>
            </w:pPr>
          </w:p>
        </w:tc>
        <w:tc>
          <w:tcPr>
            <w:tcW w:w="1300" w:type="dxa"/>
            <w:tcBorders>
              <w:top w:val="nil"/>
              <w:left w:val="nil"/>
              <w:bottom w:val="nil"/>
              <w:right w:val="nil"/>
            </w:tcBorders>
            <w:shd w:val="clear" w:color="auto" w:fill="auto"/>
            <w:noWrap/>
            <w:vAlign w:val="center"/>
          </w:tcPr>
          <w:p w14:paraId="745F8924"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B7C2</w:t>
            </w:r>
          </w:p>
        </w:tc>
        <w:tc>
          <w:tcPr>
            <w:tcW w:w="1180" w:type="dxa"/>
            <w:vMerge/>
            <w:tcBorders>
              <w:top w:val="nil"/>
              <w:left w:val="nil"/>
              <w:bottom w:val="nil"/>
              <w:right w:val="nil"/>
            </w:tcBorders>
            <w:vAlign w:val="center"/>
          </w:tcPr>
          <w:p w14:paraId="101D250A" w14:textId="77777777" w:rsidR="00A077EE" w:rsidRDefault="00A077EE">
            <w:pPr>
              <w:jc w:val="both"/>
              <w:rPr>
                <w:rFonts w:ascii="Times New Roman" w:eastAsia="DengXian" w:hAnsi="Times New Roman" w:cs="Times New Roman"/>
                <w:color w:val="000000"/>
                <w:sz w:val="20"/>
                <w:szCs w:val="20"/>
              </w:rPr>
            </w:pPr>
          </w:p>
        </w:tc>
        <w:tc>
          <w:tcPr>
            <w:tcW w:w="1140" w:type="dxa"/>
            <w:tcBorders>
              <w:top w:val="nil"/>
              <w:left w:val="nil"/>
              <w:bottom w:val="nil"/>
              <w:right w:val="nil"/>
            </w:tcBorders>
            <w:shd w:val="clear" w:color="auto" w:fill="auto"/>
            <w:noWrap/>
            <w:vAlign w:val="center"/>
          </w:tcPr>
          <w:p w14:paraId="4922A6F5"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39.4877M</w:t>
            </w:r>
          </w:p>
        </w:tc>
        <w:tc>
          <w:tcPr>
            <w:tcW w:w="1000" w:type="dxa"/>
            <w:tcBorders>
              <w:top w:val="nil"/>
              <w:left w:val="nil"/>
              <w:bottom w:val="nil"/>
              <w:right w:val="nil"/>
            </w:tcBorders>
            <w:shd w:val="clear" w:color="auto" w:fill="auto"/>
            <w:noWrap/>
            <w:vAlign w:val="center"/>
          </w:tcPr>
          <w:p w14:paraId="516BD2EE"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5.9232G</w:t>
            </w:r>
          </w:p>
        </w:tc>
        <w:tc>
          <w:tcPr>
            <w:tcW w:w="800" w:type="dxa"/>
            <w:tcBorders>
              <w:top w:val="nil"/>
              <w:left w:val="nil"/>
              <w:bottom w:val="nil"/>
              <w:right w:val="nil"/>
            </w:tcBorders>
            <w:shd w:val="clear" w:color="auto" w:fill="auto"/>
            <w:noWrap/>
            <w:vAlign w:val="center"/>
          </w:tcPr>
          <w:p w14:paraId="3087CAB4"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95.07</w:t>
            </w:r>
          </w:p>
        </w:tc>
        <w:tc>
          <w:tcPr>
            <w:tcW w:w="800" w:type="dxa"/>
            <w:tcBorders>
              <w:top w:val="nil"/>
              <w:left w:val="nil"/>
              <w:bottom w:val="nil"/>
              <w:right w:val="nil"/>
            </w:tcBorders>
            <w:shd w:val="clear" w:color="auto" w:fill="auto"/>
            <w:noWrap/>
            <w:vAlign w:val="center"/>
          </w:tcPr>
          <w:p w14:paraId="647837DA"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84.53</w:t>
            </w:r>
          </w:p>
        </w:tc>
        <w:tc>
          <w:tcPr>
            <w:tcW w:w="740" w:type="dxa"/>
            <w:tcBorders>
              <w:top w:val="nil"/>
              <w:left w:val="nil"/>
              <w:bottom w:val="nil"/>
              <w:right w:val="nil"/>
            </w:tcBorders>
            <w:shd w:val="clear" w:color="auto" w:fill="auto"/>
            <w:noWrap/>
            <w:vAlign w:val="center"/>
          </w:tcPr>
          <w:p w14:paraId="73038594"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47.72</w:t>
            </w:r>
          </w:p>
        </w:tc>
        <w:tc>
          <w:tcPr>
            <w:tcW w:w="1100" w:type="dxa"/>
            <w:tcBorders>
              <w:top w:val="nil"/>
              <w:left w:val="nil"/>
              <w:bottom w:val="nil"/>
              <w:right w:val="nil"/>
            </w:tcBorders>
            <w:shd w:val="clear" w:color="auto" w:fill="auto"/>
            <w:noWrap/>
            <w:vAlign w:val="center"/>
          </w:tcPr>
          <w:p w14:paraId="6928615E"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150</w:t>
            </w:r>
          </w:p>
        </w:tc>
      </w:tr>
      <w:tr w:rsidR="00A077EE" w14:paraId="7A62DCDF" w14:textId="77777777">
        <w:trPr>
          <w:trHeight w:val="320"/>
          <w:jc w:val="center"/>
        </w:trPr>
        <w:tc>
          <w:tcPr>
            <w:tcW w:w="1300" w:type="dxa"/>
            <w:vMerge/>
            <w:tcBorders>
              <w:top w:val="nil"/>
              <w:left w:val="nil"/>
              <w:bottom w:val="nil"/>
              <w:right w:val="nil"/>
            </w:tcBorders>
            <w:vAlign w:val="center"/>
          </w:tcPr>
          <w:p w14:paraId="38BFF2C8" w14:textId="77777777" w:rsidR="00A077EE" w:rsidRDefault="00A077EE">
            <w:pPr>
              <w:jc w:val="both"/>
              <w:rPr>
                <w:rFonts w:ascii="Times New Roman" w:eastAsia="DengXian" w:hAnsi="Times New Roman" w:cs="Times New Roman"/>
                <w:color w:val="000000"/>
                <w:sz w:val="20"/>
                <w:szCs w:val="20"/>
              </w:rPr>
            </w:pPr>
          </w:p>
        </w:tc>
        <w:tc>
          <w:tcPr>
            <w:tcW w:w="1300" w:type="dxa"/>
            <w:tcBorders>
              <w:top w:val="nil"/>
              <w:left w:val="nil"/>
              <w:bottom w:val="nil"/>
              <w:right w:val="nil"/>
            </w:tcBorders>
            <w:shd w:val="clear" w:color="auto" w:fill="auto"/>
            <w:noWrap/>
            <w:vAlign w:val="center"/>
          </w:tcPr>
          <w:p w14:paraId="36D1B65A"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B7T1</w:t>
            </w:r>
          </w:p>
        </w:tc>
        <w:tc>
          <w:tcPr>
            <w:tcW w:w="1180" w:type="dxa"/>
            <w:vMerge/>
            <w:tcBorders>
              <w:top w:val="nil"/>
              <w:left w:val="nil"/>
              <w:bottom w:val="nil"/>
              <w:right w:val="nil"/>
            </w:tcBorders>
            <w:vAlign w:val="center"/>
          </w:tcPr>
          <w:p w14:paraId="264D706A" w14:textId="77777777" w:rsidR="00A077EE" w:rsidRDefault="00A077EE">
            <w:pPr>
              <w:jc w:val="both"/>
              <w:rPr>
                <w:rFonts w:ascii="Times New Roman" w:eastAsia="DengXian" w:hAnsi="Times New Roman" w:cs="Times New Roman"/>
                <w:color w:val="000000"/>
                <w:sz w:val="20"/>
                <w:szCs w:val="20"/>
              </w:rPr>
            </w:pPr>
          </w:p>
        </w:tc>
        <w:tc>
          <w:tcPr>
            <w:tcW w:w="1140" w:type="dxa"/>
            <w:tcBorders>
              <w:top w:val="nil"/>
              <w:left w:val="nil"/>
              <w:bottom w:val="nil"/>
              <w:right w:val="nil"/>
            </w:tcBorders>
            <w:shd w:val="clear" w:color="auto" w:fill="auto"/>
            <w:noWrap/>
            <w:vAlign w:val="center"/>
          </w:tcPr>
          <w:p w14:paraId="03DE648F"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104.6379M</w:t>
            </w:r>
          </w:p>
        </w:tc>
        <w:tc>
          <w:tcPr>
            <w:tcW w:w="1000" w:type="dxa"/>
            <w:tcBorders>
              <w:top w:val="nil"/>
              <w:left w:val="nil"/>
              <w:bottom w:val="nil"/>
              <w:right w:val="nil"/>
            </w:tcBorders>
            <w:shd w:val="clear" w:color="auto" w:fill="auto"/>
            <w:noWrap/>
            <w:vAlign w:val="center"/>
          </w:tcPr>
          <w:p w14:paraId="05C47175"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15.6957G</w:t>
            </w:r>
          </w:p>
        </w:tc>
        <w:tc>
          <w:tcPr>
            <w:tcW w:w="800" w:type="dxa"/>
            <w:tcBorders>
              <w:top w:val="nil"/>
              <w:left w:val="nil"/>
              <w:bottom w:val="nil"/>
              <w:right w:val="nil"/>
            </w:tcBorders>
            <w:shd w:val="clear" w:color="auto" w:fill="auto"/>
            <w:noWrap/>
            <w:vAlign w:val="center"/>
          </w:tcPr>
          <w:p w14:paraId="5C414F1F"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97.05</w:t>
            </w:r>
          </w:p>
        </w:tc>
        <w:tc>
          <w:tcPr>
            <w:tcW w:w="800" w:type="dxa"/>
            <w:tcBorders>
              <w:top w:val="nil"/>
              <w:left w:val="nil"/>
              <w:bottom w:val="nil"/>
              <w:right w:val="nil"/>
            </w:tcBorders>
            <w:shd w:val="clear" w:color="auto" w:fill="auto"/>
            <w:noWrap/>
            <w:vAlign w:val="center"/>
          </w:tcPr>
          <w:p w14:paraId="50854C40"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93.1</w:t>
            </w:r>
          </w:p>
        </w:tc>
        <w:tc>
          <w:tcPr>
            <w:tcW w:w="740" w:type="dxa"/>
            <w:tcBorders>
              <w:top w:val="nil"/>
              <w:left w:val="nil"/>
              <w:bottom w:val="nil"/>
              <w:right w:val="nil"/>
            </w:tcBorders>
            <w:shd w:val="clear" w:color="auto" w:fill="auto"/>
            <w:noWrap/>
            <w:vAlign w:val="center"/>
          </w:tcPr>
          <w:p w14:paraId="24CB13FC"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50.57</w:t>
            </w:r>
          </w:p>
        </w:tc>
        <w:tc>
          <w:tcPr>
            <w:tcW w:w="1100" w:type="dxa"/>
            <w:tcBorders>
              <w:top w:val="nil"/>
              <w:left w:val="nil"/>
              <w:bottom w:val="nil"/>
              <w:right w:val="nil"/>
            </w:tcBorders>
            <w:shd w:val="clear" w:color="auto" w:fill="auto"/>
            <w:noWrap/>
            <w:vAlign w:val="center"/>
          </w:tcPr>
          <w:p w14:paraId="1DCA7122"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150</w:t>
            </w:r>
          </w:p>
        </w:tc>
      </w:tr>
      <w:tr w:rsidR="00A077EE" w14:paraId="4E41100D" w14:textId="77777777">
        <w:trPr>
          <w:trHeight w:val="320"/>
          <w:jc w:val="center"/>
        </w:trPr>
        <w:tc>
          <w:tcPr>
            <w:tcW w:w="1300" w:type="dxa"/>
            <w:vMerge/>
            <w:tcBorders>
              <w:top w:val="nil"/>
              <w:left w:val="nil"/>
              <w:bottom w:val="nil"/>
              <w:right w:val="nil"/>
            </w:tcBorders>
            <w:vAlign w:val="center"/>
          </w:tcPr>
          <w:p w14:paraId="3DC047B4" w14:textId="77777777" w:rsidR="00A077EE" w:rsidRDefault="00A077EE">
            <w:pPr>
              <w:jc w:val="both"/>
              <w:rPr>
                <w:rFonts w:ascii="Times New Roman" w:eastAsia="DengXian" w:hAnsi="Times New Roman" w:cs="Times New Roman"/>
                <w:color w:val="000000"/>
                <w:sz w:val="20"/>
                <w:szCs w:val="20"/>
              </w:rPr>
            </w:pPr>
          </w:p>
        </w:tc>
        <w:tc>
          <w:tcPr>
            <w:tcW w:w="1300" w:type="dxa"/>
            <w:tcBorders>
              <w:top w:val="nil"/>
              <w:left w:val="nil"/>
              <w:bottom w:val="nil"/>
              <w:right w:val="nil"/>
            </w:tcBorders>
            <w:shd w:val="clear" w:color="auto" w:fill="auto"/>
            <w:noWrap/>
            <w:vAlign w:val="center"/>
          </w:tcPr>
          <w:p w14:paraId="148BA56D"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B7-K</w:t>
            </w:r>
          </w:p>
        </w:tc>
        <w:tc>
          <w:tcPr>
            <w:tcW w:w="1180" w:type="dxa"/>
            <w:vMerge/>
            <w:tcBorders>
              <w:top w:val="nil"/>
              <w:left w:val="nil"/>
              <w:bottom w:val="nil"/>
              <w:right w:val="nil"/>
            </w:tcBorders>
            <w:vAlign w:val="center"/>
          </w:tcPr>
          <w:p w14:paraId="4C5602B1" w14:textId="77777777" w:rsidR="00A077EE" w:rsidRDefault="00A077EE">
            <w:pPr>
              <w:jc w:val="both"/>
              <w:rPr>
                <w:rFonts w:ascii="Times New Roman" w:eastAsia="DengXian" w:hAnsi="Times New Roman" w:cs="Times New Roman"/>
                <w:color w:val="000000"/>
                <w:sz w:val="20"/>
                <w:szCs w:val="20"/>
              </w:rPr>
            </w:pPr>
          </w:p>
        </w:tc>
        <w:tc>
          <w:tcPr>
            <w:tcW w:w="1140" w:type="dxa"/>
            <w:tcBorders>
              <w:top w:val="nil"/>
              <w:left w:val="nil"/>
              <w:bottom w:val="nil"/>
              <w:right w:val="nil"/>
            </w:tcBorders>
            <w:shd w:val="clear" w:color="auto" w:fill="auto"/>
            <w:noWrap/>
            <w:vAlign w:val="center"/>
          </w:tcPr>
          <w:p w14:paraId="1AB20DB4"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40.3972M</w:t>
            </w:r>
          </w:p>
        </w:tc>
        <w:tc>
          <w:tcPr>
            <w:tcW w:w="1000" w:type="dxa"/>
            <w:tcBorders>
              <w:top w:val="nil"/>
              <w:left w:val="nil"/>
              <w:bottom w:val="nil"/>
              <w:right w:val="nil"/>
            </w:tcBorders>
            <w:shd w:val="clear" w:color="auto" w:fill="auto"/>
            <w:noWrap/>
            <w:vAlign w:val="center"/>
          </w:tcPr>
          <w:p w14:paraId="3BC47E38"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6.0596G</w:t>
            </w:r>
          </w:p>
        </w:tc>
        <w:tc>
          <w:tcPr>
            <w:tcW w:w="800" w:type="dxa"/>
            <w:tcBorders>
              <w:top w:val="nil"/>
              <w:left w:val="nil"/>
              <w:bottom w:val="nil"/>
              <w:right w:val="nil"/>
            </w:tcBorders>
            <w:shd w:val="clear" w:color="auto" w:fill="auto"/>
            <w:noWrap/>
            <w:vAlign w:val="center"/>
          </w:tcPr>
          <w:p w14:paraId="7C2AFD49"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97.43</w:t>
            </w:r>
          </w:p>
        </w:tc>
        <w:tc>
          <w:tcPr>
            <w:tcW w:w="800" w:type="dxa"/>
            <w:tcBorders>
              <w:top w:val="nil"/>
              <w:left w:val="nil"/>
              <w:bottom w:val="nil"/>
              <w:right w:val="nil"/>
            </w:tcBorders>
            <w:shd w:val="clear" w:color="auto" w:fill="auto"/>
            <w:noWrap/>
            <w:vAlign w:val="center"/>
          </w:tcPr>
          <w:p w14:paraId="1843DCA6"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93.16</w:t>
            </w:r>
          </w:p>
        </w:tc>
        <w:tc>
          <w:tcPr>
            <w:tcW w:w="740" w:type="dxa"/>
            <w:tcBorders>
              <w:top w:val="nil"/>
              <w:left w:val="nil"/>
              <w:bottom w:val="nil"/>
              <w:right w:val="nil"/>
            </w:tcBorders>
            <w:shd w:val="clear" w:color="auto" w:fill="auto"/>
            <w:noWrap/>
            <w:vAlign w:val="center"/>
          </w:tcPr>
          <w:p w14:paraId="7E747AFB"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49.22</w:t>
            </w:r>
          </w:p>
        </w:tc>
        <w:tc>
          <w:tcPr>
            <w:tcW w:w="1100" w:type="dxa"/>
            <w:tcBorders>
              <w:top w:val="nil"/>
              <w:left w:val="nil"/>
              <w:bottom w:val="nil"/>
              <w:right w:val="nil"/>
            </w:tcBorders>
            <w:shd w:val="clear" w:color="auto" w:fill="auto"/>
            <w:noWrap/>
            <w:vAlign w:val="center"/>
          </w:tcPr>
          <w:p w14:paraId="559EF59B"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150</w:t>
            </w:r>
          </w:p>
        </w:tc>
      </w:tr>
      <w:tr w:rsidR="00A077EE" w14:paraId="0B546502" w14:textId="77777777">
        <w:trPr>
          <w:trHeight w:val="320"/>
          <w:jc w:val="center"/>
        </w:trPr>
        <w:tc>
          <w:tcPr>
            <w:tcW w:w="1300" w:type="dxa"/>
            <w:vMerge/>
            <w:tcBorders>
              <w:top w:val="nil"/>
              <w:left w:val="nil"/>
              <w:bottom w:val="nil"/>
              <w:right w:val="nil"/>
            </w:tcBorders>
            <w:vAlign w:val="center"/>
          </w:tcPr>
          <w:p w14:paraId="3111AD46" w14:textId="77777777" w:rsidR="00A077EE" w:rsidRDefault="00A077EE">
            <w:pPr>
              <w:jc w:val="both"/>
              <w:rPr>
                <w:rFonts w:ascii="Times New Roman" w:eastAsia="DengXian" w:hAnsi="Times New Roman" w:cs="Times New Roman"/>
                <w:color w:val="000000"/>
                <w:sz w:val="20"/>
                <w:szCs w:val="20"/>
              </w:rPr>
            </w:pPr>
          </w:p>
        </w:tc>
        <w:tc>
          <w:tcPr>
            <w:tcW w:w="1300" w:type="dxa"/>
            <w:tcBorders>
              <w:top w:val="nil"/>
              <w:left w:val="nil"/>
              <w:bottom w:val="nil"/>
              <w:right w:val="nil"/>
            </w:tcBorders>
            <w:shd w:val="clear" w:color="auto" w:fill="auto"/>
            <w:noWrap/>
            <w:vAlign w:val="center"/>
          </w:tcPr>
          <w:p w14:paraId="0E311526"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B7-K_redo</w:t>
            </w:r>
          </w:p>
        </w:tc>
        <w:tc>
          <w:tcPr>
            <w:tcW w:w="1180" w:type="dxa"/>
            <w:vMerge/>
            <w:tcBorders>
              <w:top w:val="nil"/>
              <w:left w:val="nil"/>
              <w:bottom w:val="nil"/>
              <w:right w:val="nil"/>
            </w:tcBorders>
            <w:vAlign w:val="center"/>
          </w:tcPr>
          <w:p w14:paraId="0C05078F" w14:textId="77777777" w:rsidR="00A077EE" w:rsidRDefault="00A077EE">
            <w:pPr>
              <w:jc w:val="both"/>
              <w:rPr>
                <w:rFonts w:ascii="Times New Roman" w:eastAsia="DengXian" w:hAnsi="Times New Roman" w:cs="Times New Roman"/>
                <w:color w:val="000000"/>
                <w:sz w:val="20"/>
                <w:szCs w:val="20"/>
              </w:rPr>
            </w:pPr>
          </w:p>
        </w:tc>
        <w:tc>
          <w:tcPr>
            <w:tcW w:w="1140" w:type="dxa"/>
            <w:tcBorders>
              <w:top w:val="nil"/>
              <w:left w:val="nil"/>
              <w:bottom w:val="nil"/>
              <w:right w:val="nil"/>
            </w:tcBorders>
            <w:shd w:val="clear" w:color="auto" w:fill="auto"/>
            <w:noWrap/>
            <w:vAlign w:val="center"/>
          </w:tcPr>
          <w:p w14:paraId="37FFA7A1"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46.6792M</w:t>
            </w:r>
          </w:p>
        </w:tc>
        <w:tc>
          <w:tcPr>
            <w:tcW w:w="1000" w:type="dxa"/>
            <w:tcBorders>
              <w:top w:val="nil"/>
              <w:left w:val="nil"/>
              <w:bottom w:val="nil"/>
              <w:right w:val="nil"/>
            </w:tcBorders>
            <w:shd w:val="clear" w:color="auto" w:fill="auto"/>
            <w:noWrap/>
            <w:vAlign w:val="center"/>
          </w:tcPr>
          <w:p w14:paraId="65CEAB8B"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7.0019G</w:t>
            </w:r>
          </w:p>
        </w:tc>
        <w:tc>
          <w:tcPr>
            <w:tcW w:w="800" w:type="dxa"/>
            <w:tcBorders>
              <w:top w:val="nil"/>
              <w:left w:val="nil"/>
              <w:bottom w:val="nil"/>
              <w:right w:val="nil"/>
            </w:tcBorders>
            <w:shd w:val="clear" w:color="auto" w:fill="auto"/>
            <w:noWrap/>
            <w:vAlign w:val="center"/>
          </w:tcPr>
          <w:p w14:paraId="4497EE74"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97.27</w:t>
            </w:r>
          </w:p>
        </w:tc>
        <w:tc>
          <w:tcPr>
            <w:tcW w:w="800" w:type="dxa"/>
            <w:tcBorders>
              <w:top w:val="nil"/>
              <w:left w:val="nil"/>
              <w:bottom w:val="nil"/>
              <w:right w:val="nil"/>
            </w:tcBorders>
            <w:shd w:val="clear" w:color="auto" w:fill="auto"/>
            <w:noWrap/>
            <w:vAlign w:val="center"/>
          </w:tcPr>
          <w:p w14:paraId="13A3B4C1"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92.8</w:t>
            </w:r>
          </w:p>
        </w:tc>
        <w:tc>
          <w:tcPr>
            <w:tcW w:w="740" w:type="dxa"/>
            <w:tcBorders>
              <w:top w:val="nil"/>
              <w:left w:val="nil"/>
              <w:bottom w:val="nil"/>
              <w:right w:val="nil"/>
            </w:tcBorders>
            <w:shd w:val="clear" w:color="auto" w:fill="auto"/>
            <w:noWrap/>
            <w:vAlign w:val="center"/>
          </w:tcPr>
          <w:p w14:paraId="0A5A1713"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47.93</w:t>
            </w:r>
          </w:p>
        </w:tc>
        <w:tc>
          <w:tcPr>
            <w:tcW w:w="1100" w:type="dxa"/>
            <w:tcBorders>
              <w:top w:val="nil"/>
              <w:left w:val="nil"/>
              <w:bottom w:val="nil"/>
              <w:right w:val="nil"/>
            </w:tcBorders>
            <w:shd w:val="clear" w:color="auto" w:fill="auto"/>
            <w:noWrap/>
            <w:vAlign w:val="center"/>
          </w:tcPr>
          <w:p w14:paraId="3D33E7E7"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150</w:t>
            </w:r>
          </w:p>
        </w:tc>
      </w:tr>
      <w:tr w:rsidR="00A077EE" w14:paraId="7B5BE10C" w14:textId="77777777">
        <w:trPr>
          <w:trHeight w:val="320"/>
          <w:jc w:val="center"/>
        </w:trPr>
        <w:tc>
          <w:tcPr>
            <w:tcW w:w="1300" w:type="dxa"/>
            <w:vMerge/>
            <w:tcBorders>
              <w:top w:val="nil"/>
              <w:left w:val="nil"/>
              <w:bottom w:val="nil"/>
              <w:right w:val="nil"/>
            </w:tcBorders>
            <w:vAlign w:val="center"/>
          </w:tcPr>
          <w:p w14:paraId="3FB3BA45" w14:textId="77777777" w:rsidR="00A077EE" w:rsidRDefault="00A077EE">
            <w:pPr>
              <w:jc w:val="both"/>
              <w:rPr>
                <w:rFonts w:ascii="Times New Roman" w:eastAsia="DengXian" w:hAnsi="Times New Roman" w:cs="Times New Roman"/>
                <w:color w:val="000000"/>
                <w:sz w:val="20"/>
                <w:szCs w:val="20"/>
              </w:rPr>
            </w:pPr>
          </w:p>
        </w:tc>
        <w:tc>
          <w:tcPr>
            <w:tcW w:w="1300" w:type="dxa"/>
            <w:tcBorders>
              <w:top w:val="nil"/>
              <w:left w:val="nil"/>
              <w:bottom w:val="nil"/>
              <w:right w:val="nil"/>
            </w:tcBorders>
            <w:shd w:val="clear" w:color="auto" w:fill="auto"/>
            <w:noWrap/>
            <w:vAlign w:val="center"/>
          </w:tcPr>
          <w:p w14:paraId="6CFDB9E9"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B7-Na</w:t>
            </w:r>
          </w:p>
        </w:tc>
        <w:tc>
          <w:tcPr>
            <w:tcW w:w="1180" w:type="dxa"/>
            <w:vMerge/>
            <w:tcBorders>
              <w:top w:val="nil"/>
              <w:left w:val="nil"/>
              <w:bottom w:val="nil"/>
              <w:right w:val="nil"/>
            </w:tcBorders>
            <w:vAlign w:val="center"/>
          </w:tcPr>
          <w:p w14:paraId="5CD21F79" w14:textId="77777777" w:rsidR="00A077EE" w:rsidRDefault="00A077EE">
            <w:pPr>
              <w:jc w:val="both"/>
              <w:rPr>
                <w:rFonts w:ascii="Times New Roman" w:eastAsia="DengXian" w:hAnsi="Times New Roman" w:cs="Times New Roman"/>
                <w:color w:val="000000"/>
                <w:sz w:val="20"/>
                <w:szCs w:val="20"/>
              </w:rPr>
            </w:pPr>
          </w:p>
        </w:tc>
        <w:tc>
          <w:tcPr>
            <w:tcW w:w="1140" w:type="dxa"/>
            <w:tcBorders>
              <w:top w:val="nil"/>
              <w:left w:val="nil"/>
              <w:bottom w:val="nil"/>
              <w:right w:val="nil"/>
            </w:tcBorders>
            <w:shd w:val="clear" w:color="auto" w:fill="auto"/>
            <w:noWrap/>
            <w:vAlign w:val="center"/>
          </w:tcPr>
          <w:p w14:paraId="040E3A4E"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40.5067M</w:t>
            </w:r>
          </w:p>
        </w:tc>
        <w:tc>
          <w:tcPr>
            <w:tcW w:w="1000" w:type="dxa"/>
            <w:tcBorders>
              <w:top w:val="nil"/>
              <w:left w:val="nil"/>
              <w:bottom w:val="nil"/>
              <w:right w:val="nil"/>
            </w:tcBorders>
            <w:shd w:val="clear" w:color="auto" w:fill="auto"/>
            <w:noWrap/>
            <w:vAlign w:val="center"/>
          </w:tcPr>
          <w:p w14:paraId="30DF718B"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6.0760G</w:t>
            </w:r>
          </w:p>
        </w:tc>
        <w:tc>
          <w:tcPr>
            <w:tcW w:w="800" w:type="dxa"/>
            <w:tcBorders>
              <w:top w:val="nil"/>
              <w:left w:val="nil"/>
              <w:bottom w:val="nil"/>
              <w:right w:val="nil"/>
            </w:tcBorders>
            <w:shd w:val="clear" w:color="auto" w:fill="auto"/>
            <w:noWrap/>
            <w:vAlign w:val="center"/>
          </w:tcPr>
          <w:p w14:paraId="0713A59C"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97.44</w:t>
            </w:r>
          </w:p>
        </w:tc>
        <w:tc>
          <w:tcPr>
            <w:tcW w:w="800" w:type="dxa"/>
            <w:tcBorders>
              <w:top w:val="nil"/>
              <w:left w:val="nil"/>
              <w:bottom w:val="nil"/>
              <w:right w:val="nil"/>
            </w:tcBorders>
            <w:shd w:val="clear" w:color="auto" w:fill="auto"/>
            <w:noWrap/>
            <w:vAlign w:val="center"/>
          </w:tcPr>
          <w:p w14:paraId="17C5096C"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93.16</w:t>
            </w:r>
          </w:p>
        </w:tc>
        <w:tc>
          <w:tcPr>
            <w:tcW w:w="740" w:type="dxa"/>
            <w:tcBorders>
              <w:top w:val="nil"/>
              <w:left w:val="nil"/>
              <w:bottom w:val="nil"/>
              <w:right w:val="nil"/>
            </w:tcBorders>
            <w:shd w:val="clear" w:color="auto" w:fill="auto"/>
            <w:noWrap/>
            <w:vAlign w:val="center"/>
          </w:tcPr>
          <w:p w14:paraId="7D072D1A"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49.27</w:t>
            </w:r>
          </w:p>
        </w:tc>
        <w:tc>
          <w:tcPr>
            <w:tcW w:w="1100" w:type="dxa"/>
            <w:tcBorders>
              <w:top w:val="nil"/>
              <w:left w:val="nil"/>
              <w:bottom w:val="nil"/>
              <w:right w:val="nil"/>
            </w:tcBorders>
            <w:shd w:val="clear" w:color="auto" w:fill="auto"/>
            <w:noWrap/>
            <w:vAlign w:val="center"/>
          </w:tcPr>
          <w:p w14:paraId="175A397B"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150</w:t>
            </w:r>
          </w:p>
        </w:tc>
      </w:tr>
      <w:tr w:rsidR="00A077EE" w14:paraId="617C68F7" w14:textId="77777777">
        <w:trPr>
          <w:trHeight w:val="320"/>
          <w:jc w:val="center"/>
        </w:trPr>
        <w:tc>
          <w:tcPr>
            <w:tcW w:w="1300" w:type="dxa"/>
            <w:tcBorders>
              <w:top w:val="nil"/>
              <w:left w:val="nil"/>
              <w:bottom w:val="nil"/>
              <w:right w:val="nil"/>
            </w:tcBorders>
            <w:shd w:val="clear" w:color="auto" w:fill="auto"/>
            <w:noWrap/>
            <w:vAlign w:val="center"/>
          </w:tcPr>
          <w:p w14:paraId="0ED58080"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D3</w:t>
            </w:r>
          </w:p>
        </w:tc>
        <w:tc>
          <w:tcPr>
            <w:tcW w:w="1300" w:type="dxa"/>
            <w:tcBorders>
              <w:top w:val="nil"/>
              <w:left w:val="nil"/>
              <w:bottom w:val="nil"/>
              <w:right w:val="nil"/>
            </w:tcBorders>
            <w:shd w:val="clear" w:color="auto" w:fill="auto"/>
            <w:noWrap/>
            <w:vAlign w:val="center"/>
          </w:tcPr>
          <w:p w14:paraId="2FAF5AC9"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D3C1</w:t>
            </w:r>
          </w:p>
        </w:tc>
        <w:tc>
          <w:tcPr>
            <w:tcW w:w="1180" w:type="dxa"/>
            <w:vMerge/>
            <w:tcBorders>
              <w:top w:val="nil"/>
              <w:left w:val="nil"/>
              <w:bottom w:val="nil"/>
              <w:right w:val="nil"/>
            </w:tcBorders>
            <w:vAlign w:val="center"/>
          </w:tcPr>
          <w:p w14:paraId="753A91E8" w14:textId="77777777" w:rsidR="00A077EE" w:rsidRDefault="00A077EE">
            <w:pPr>
              <w:jc w:val="both"/>
              <w:rPr>
                <w:rFonts w:ascii="Times New Roman" w:eastAsia="DengXian" w:hAnsi="Times New Roman" w:cs="Times New Roman"/>
                <w:color w:val="000000"/>
                <w:sz w:val="20"/>
                <w:szCs w:val="20"/>
              </w:rPr>
            </w:pPr>
          </w:p>
        </w:tc>
        <w:tc>
          <w:tcPr>
            <w:tcW w:w="1140" w:type="dxa"/>
            <w:tcBorders>
              <w:top w:val="nil"/>
              <w:left w:val="nil"/>
              <w:bottom w:val="nil"/>
              <w:right w:val="nil"/>
            </w:tcBorders>
            <w:shd w:val="clear" w:color="auto" w:fill="auto"/>
            <w:noWrap/>
            <w:vAlign w:val="center"/>
          </w:tcPr>
          <w:p w14:paraId="62FC56A8"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40.0944M</w:t>
            </w:r>
          </w:p>
        </w:tc>
        <w:tc>
          <w:tcPr>
            <w:tcW w:w="1000" w:type="dxa"/>
            <w:tcBorders>
              <w:top w:val="nil"/>
              <w:left w:val="nil"/>
              <w:bottom w:val="nil"/>
              <w:right w:val="nil"/>
            </w:tcBorders>
            <w:shd w:val="clear" w:color="auto" w:fill="auto"/>
            <w:noWrap/>
            <w:vAlign w:val="center"/>
          </w:tcPr>
          <w:p w14:paraId="05956219"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6.0142G</w:t>
            </w:r>
          </w:p>
        </w:tc>
        <w:tc>
          <w:tcPr>
            <w:tcW w:w="800" w:type="dxa"/>
            <w:tcBorders>
              <w:top w:val="nil"/>
              <w:left w:val="nil"/>
              <w:bottom w:val="nil"/>
              <w:right w:val="nil"/>
            </w:tcBorders>
            <w:shd w:val="clear" w:color="auto" w:fill="auto"/>
            <w:noWrap/>
            <w:vAlign w:val="center"/>
          </w:tcPr>
          <w:p w14:paraId="4EE0FE3F"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95.14</w:t>
            </w:r>
          </w:p>
        </w:tc>
        <w:tc>
          <w:tcPr>
            <w:tcW w:w="800" w:type="dxa"/>
            <w:tcBorders>
              <w:top w:val="nil"/>
              <w:left w:val="nil"/>
              <w:bottom w:val="nil"/>
              <w:right w:val="nil"/>
            </w:tcBorders>
            <w:shd w:val="clear" w:color="auto" w:fill="auto"/>
            <w:noWrap/>
            <w:vAlign w:val="center"/>
          </w:tcPr>
          <w:p w14:paraId="28869453"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84.77</w:t>
            </w:r>
          </w:p>
        </w:tc>
        <w:tc>
          <w:tcPr>
            <w:tcW w:w="740" w:type="dxa"/>
            <w:tcBorders>
              <w:top w:val="nil"/>
              <w:left w:val="nil"/>
              <w:bottom w:val="nil"/>
              <w:right w:val="nil"/>
            </w:tcBorders>
            <w:shd w:val="clear" w:color="auto" w:fill="auto"/>
            <w:noWrap/>
            <w:vAlign w:val="center"/>
          </w:tcPr>
          <w:p w14:paraId="4DF4FB09"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47.33</w:t>
            </w:r>
          </w:p>
        </w:tc>
        <w:tc>
          <w:tcPr>
            <w:tcW w:w="1100" w:type="dxa"/>
            <w:tcBorders>
              <w:top w:val="nil"/>
              <w:left w:val="nil"/>
              <w:bottom w:val="nil"/>
              <w:right w:val="nil"/>
            </w:tcBorders>
            <w:shd w:val="clear" w:color="auto" w:fill="auto"/>
            <w:noWrap/>
            <w:vAlign w:val="center"/>
          </w:tcPr>
          <w:p w14:paraId="4A4F5BAA"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150</w:t>
            </w:r>
          </w:p>
        </w:tc>
      </w:tr>
      <w:tr w:rsidR="00A077EE" w14:paraId="05B03B25" w14:textId="77777777">
        <w:trPr>
          <w:trHeight w:val="320"/>
          <w:jc w:val="center"/>
        </w:trPr>
        <w:tc>
          <w:tcPr>
            <w:tcW w:w="1300" w:type="dxa"/>
            <w:tcBorders>
              <w:top w:val="nil"/>
              <w:left w:val="nil"/>
              <w:bottom w:val="nil"/>
              <w:right w:val="nil"/>
            </w:tcBorders>
            <w:shd w:val="clear" w:color="auto" w:fill="auto"/>
            <w:noWrap/>
            <w:vAlign w:val="center"/>
          </w:tcPr>
          <w:p w14:paraId="7CD3AE42" w14:textId="77777777" w:rsidR="00A077EE" w:rsidRDefault="00A077EE">
            <w:pPr>
              <w:jc w:val="both"/>
              <w:rPr>
                <w:rFonts w:ascii="Times New Roman" w:eastAsia="DengXian" w:hAnsi="Times New Roman" w:cs="Times New Roman"/>
                <w:color w:val="000000"/>
                <w:sz w:val="20"/>
                <w:szCs w:val="20"/>
              </w:rPr>
            </w:pPr>
          </w:p>
        </w:tc>
        <w:tc>
          <w:tcPr>
            <w:tcW w:w="1300" w:type="dxa"/>
            <w:tcBorders>
              <w:top w:val="nil"/>
              <w:left w:val="nil"/>
              <w:bottom w:val="nil"/>
              <w:right w:val="nil"/>
            </w:tcBorders>
            <w:shd w:val="clear" w:color="auto" w:fill="auto"/>
            <w:noWrap/>
            <w:vAlign w:val="center"/>
          </w:tcPr>
          <w:p w14:paraId="5FD114B5"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D3C2</w:t>
            </w:r>
          </w:p>
        </w:tc>
        <w:tc>
          <w:tcPr>
            <w:tcW w:w="1180" w:type="dxa"/>
            <w:vMerge/>
            <w:tcBorders>
              <w:top w:val="nil"/>
              <w:left w:val="nil"/>
              <w:bottom w:val="nil"/>
              <w:right w:val="nil"/>
            </w:tcBorders>
            <w:vAlign w:val="center"/>
          </w:tcPr>
          <w:p w14:paraId="731451F8" w14:textId="77777777" w:rsidR="00A077EE" w:rsidRDefault="00A077EE">
            <w:pPr>
              <w:jc w:val="both"/>
              <w:rPr>
                <w:rFonts w:ascii="Times New Roman" w:eastAsia="DengXian" w:hAnsi="Times New Roman" w:cs="Times New Roman"/>
                <w:color w:val="000000"/>
                <w:sz w:val="20"/>
                <w:szCs w:val="20"/>
              </w:rPr>
            </w:pPr>
          </w:p>
        </w:tc>
        <w:tc>
          <w:tcPr>
            <w:tcW w:w="1140" w:type="dxa"/>
            <w:tcBorders>
              <w:top w:val="nil"/>
              <w:left w:val="nil"/>
              <w:bottom w:val="nil"/>
              <w:right w:val="nil"/>
            </w:tcBorders>
            <w:shd w:val="clear" w:color="auto" w:fill="auto"/>
            <w:noWrap/>
            <w:vAlign w:val="center"/>
          </w:tcPr>
          <w:p w14:paraId="6D999EB6"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39.5366M</w:t>
            </w:r>
          </w:p>
        </w:tc>
        <w:tc>
          <w:tcPr>
            <w:tcW w:w="1000" w:type="dxa"/>
            <w:tcBorders>
              <w:top w:val="nil"/>
              <w:left w:val="nil"/>
              <w:bottom w:val="nil"/>
              <w:right w:val="nil"/>
            </w:tcBorders>
            <w:shd w:val="clear" w:color="auto" w:fill="auto"/>
            <w:noWrap/>
            <w:vAlign w:val="center"/>
          </w:tcPr>
          <w:p w14:paraId="396AA3A1"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5.9305G</w:t>
            </w:r>
          </w:p>
        </w:tc>
        <w:tc>
          <w:tcPr>
            <w:tcW w:w="800" w:type="dxa"/>
            <w:tcBorders>
              <w:top w:val="nil"/>
              <w:left w:val="nil"/>
              <w:bottom w:val="nil"/>
              <w:right w:val="nil"/>
            </w:tcBorders>
            <w:shd w:val="clear" w:color="auto" w:fill="auto"/>
            <w:noWrap/>
            <w:vAlign w:val="center"/>
          </w:tcPr>
          <w:p w14:paraId="4B14268A"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95.11</w:t>
            </w:r>
          </w:p>
        </w:tc>
        <w:tc>
          <w:tcPr>
            <w:tcW w:w="800" w:type="dxa"/>
            <w:tcBorders>
              <w:top w:val="nil"/>
              <w:left w:val="nil"/>
              <w:bottom w:val="nil"/>
              <w:right w:val="nil"/>
            </w:tcBorders>
            <w:shd w:val="clear" w:color="auto" w:fill="auto"/>
            <w:noWrap/>
            <w:vAlign w:val="center"/>
          </w:tcPr>
          <w:p w14:paraId="5F1747CF"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84.7</w:t>
            </w:r>
          </w:p>
        </w:tc>
        <w:tc>
          <w:tcPr>
            <w:tcW w:w="740" w:type="dxa"/>
            <w:tcBorders>
              <w:top w:val="nil"/>
              <w:left w:val="nil"/>
              <w:bottom w:val="nil"/>
              <w:right w:val="nil"/>
            </w:tcBorders>
            <w:shd w:val="clear" w:color="auto" w:fill="auto"/>
            <w:noWrap/>
            <w:vAlign w:val="center"/>
          </w:tcPr>
          <w:p w14:paraId="1B2ABB93"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47.21</w:t>
            </w:r>
          </w:p>
        </w:tc>
        <w:tc>
          <w:tcPr>
            <w:tcW w:w="1100" w:type="dxa"/>
            <w:tcBorders>
              <w:top w:val="nil"/>
              <w:left w:val="nil"/>
              <w:bottom w:val="nil"/>
              <w:right w:val="nil"/>
            </w:tcBorders>
            <w:shd w:val="clear" w:color="auto" w:fill="auto"/>
            <w:noWrap/>
            <w:vAlign w:val="center"/>
          </w:tcPr>
          <w:p w14:paraId="516AB50B"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150</w:t>
            </w:r>
          </w:p>
        </w:tc>
      </w:tr>
      <w:tr w:rsidR="00A077EE" w14:paraId="5896E86B" w14:textId="77777777">
        <w:trPr>
          <w:trHeight w:val="320"/>
          <w:jc w:val="center"/>
        </w:trPr>
        <w:tc>
          <w:tcPr>
            <w:tcW w:w="1300" w:type="dxa"/>
            <w:tcBorders>
              <w:top w:val="nil"/>
              <w:left w:val="nil"/>
              <w:bottom w:val="nil"/>
              <w:right w:val="nil"/>
            </w:tcBorders>
            <w:shd w:val="clear" w:color="auto" w:fill="auto"/>
            <w:noWrap/>
            <w:vAlign w:val="center"/>
          </w:tcPr>
          <w:p w14:paraId="54D9AD3E" w14:textId="77777777" w:rsidR="00A077EE" w:rsidRDefault="00A077EE">
            <w:pPr>
              <w:jc w:val="both"/>
              <w:rPr>
                <w:rFonts w:ascii="Times New Roman" w:eastAsia="DengXian" w:hAnsi="Times New Roman" w:cs="Times New Roman"/>
                <w:color w:val="000000"/>
                <w:sz w:val="20"/>
                <w:szCs w:val="20"/>
              </w:rPr>
            </w:pPr>
          </w:p>
        </w:tc>
        <w:tc>
          <w:tcPr>
            <w:tcW w:w="1300" w:type="dxa"/>
            <w:tcBorders>
              <w:top w:val="nil"/>
              <w:left w:val="nil"/>
              <w:bottom w:val="nil"/>
              <w:right w:val="nil"/>
            </w:tcBorders>
            <w:shd w:val="clear" w:color="auto" w:fill="auto"/>
            <w:noWrap/>
            <w:vAlign w:val="center"/>
          </w:tcPr>
          <w:p w14:paraId="3DD80335"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D3T1</w:t>
            </w:r>
          </w:p>
        </w:tc>
        <w:tc>
          <w:tcPr>
            <w:tcW w:w="1180" w:type="dxa"/>
            <w:vMerge/>
            <w:tcBorders>
              <w:top w:val="nil"/>
              <w:left w:val="nil"/>
              <w:bottom w:val="nil"/>
              <w:right w:val="nil"/>
            </w:tcBorders>
            <w:vAlign w:val="center"/>
          </w:tcPr>
          <w:p w14:paraId="22FFE05F" w14:textId="77777777" w:rsidR="00A077EE" w:rsidRDefault="00A077EE">
            <w:pPr>
              <w:jc w:val="both"/>
              <w:rPr>
                <w:rFonts w:ascii="Times New Roman" w:eastAsia="DengXian" w:hAnsi="Times New Roman" w:cs="Times New Roman"/>
                <w:color w:val="000000"/>
                <w:sz w:val="20"/>
                <w:szCs w:val="20"/>
              </w:rPr>
            </w:pPr>
          </w:p>
        </w:tc>
        <w:tc>
          <w:tcPr>
            <w:tcW w:w="1140" w:type="dxa"/>
            <w:tcBorders>
              <w:top w:val="nil"/>
              <w:left w:val="nil"/>
              <w:bottom w:val="nil"/>
              <w:right w:val="nil"/>
            </w:tcBorders>
            <w:shd w:val="clear" w:color="auto" w:fill="auto"/>
            <w:noWrap/>
            <w:vAlign w:val="center"/>
          </w:tcPr>
          <w:p w14:paraId="4D4F675D"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107.1619M</w:t>
            </w:r>
          </w:p>
        </w:tc>
        <w:tc>
          <w:tcPr>
            <w:tcW w:w="1000" w:type="dxa"/>
            <w:tcBorders>
              <w:top w:val="nil"/>
              <w:left w:val="nil"/>
              <w:bottom w:val="nil"/>
              <w:right w:val="nil"/>
            </w:tcBorders>
            <w:shd w:val="clear" w:color="auto" w:fill="auto"/>
            <w:noWrap/>
            <w:vAlign w:val="center"/>
          </w:tcPr>
          <w:p w14:paraId="7A3D463B"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16.0743G</w:t>
            </w:r>
          </w:p>
        </w:tc>
        <w:tc>
          <w:tcPr>
            <w:tcW w:w="800" w:type="dxa"/>
            <w:tcBorders>
              <w:top w:val="nil"/>
              <w:left w:val="nil"/>
              <w:bottom w:val="nil"/>
              <w:right w:val="nil"/>
            </w:tcBorders>
            <w:shd w:val="clear" w:color="auto" w:fill="auto"/>
            <w:noWrap/>
            <w:vAlign w:val="center"/>
          </w:tcPr>
          <w:p w14:paraId="1BBC3168"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96.48</w:t>
            </w:r>
          </w:p>
        </w:tc>
        <w:tc>
          <w:tcPr>
            <w:tcW w:w="800" w:type="dxa"/>
            <w:tcBorders>
              <w:top w:val="nil"/>
              <w:left w:val="nil"/>
              <w:bottom w:val="nil"/>
              <w:right w:val="nil"/>
            </w:tcBorders>
            <w:shd w:val="clear" w:color="auto" w:fill="auto"/>
            <w:noWrap/>
            <w:vAlign w:val="center"/>
          </w:tcPr>
          <w:p w14:paraId="1DC032E2"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91.94</w:t>
            </w:r>
          </w:p>
        </w:tc>
        <w:tc>
          <w:tcPr>
            <w:tcW w:w="740" w:type="dxa"/>
            <w:tcBorders>
              <w:top w:val="nil"/>
              <w:left w:val="nil"/>
              <w:bottom w:val="nil"/>
              <w:right w:val="nil"/>
            </w:tcBorders>
            <w:shd w:val="clear" w:color="auto" w:fill="auto"/>
            <w:noWrap/>
            <w:vAlign w:val="center"/>
          </w:tcPr>
          <w:p w14:paraId="716CC23E"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51.74</w:t>
            </w:r>
          </w:p>
        </w:tc>
        <w:tc>
          <w:tcPr>
            <w:tcW w:w="1100" w:type="dxa"/>
            <w:tcBorders>
              <w:top w:val="nil"/>
              <w:left w:val="nil"/>
              <w:bottom w:val="nil"/>
              <w:right w:val="nil"/>
            </w:tcBorders>
            <w:shd w:val="clear" w:color="auto" w:fill="auto"/>
            <w:noWrap/>
            <w:vAlign w:val="center"/>
          </w:tcPr>
          <w:p w14:paraId="7464C2ED"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150</w:t>
            </w:r>
          </w:p>
        </w:tc>
      </w:tr>
      <w:tr w:rsidR="00A077EE" w14:paraId="7BF6F619" w14:textId="77777777">
        <w:trPr>
          <w:trHeight w:val="320"/>
          <w:jc w:val="center"/>
        </w:trPr>
        <w:tc>
          <w:tcPr>
            <w:tcW w:w="1300" w:type="dxa"/>
            <w:tcBorders>
              <w:top w:val="nil"/>
              <w:left w:val="nil"/>
              <w:bottom w:val="nil"/>
              <w:right w:val="nil"/>
            </w:tcBorders>
            <w:shd w:val="clear" w:color="auto" w:fill="auto"/>
            <w:noWrap/>
            <w:vAlign w:val="center"/>
          </w:tcPr>
          <w:p w14:paraId="305F477C"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C5</w:t>
            </w:r>
          </w:p>
        </w:tc>
        <w:tc>
          <w:tcPr>
            <w:tcW w:w="1300" w:type="dxa"/>
            <w:tcBorders>
              <w:top w:val="nil"/>
              <w:left w:val="nil"/>
              <w:bottom w:val="nil"/>
              <w:right w:val="nil"/>
            </w:tcBorders>
            <w:shd w:val="clear" w:color="auto" w:fill="auto"/>
            <w:noWrap/>
            <w:vAlign w:val="center"/>
          </w:tcPr>
          <w:p w14:paraId="52462821"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C5K</w:t>
            </w:r>
          </w:p>
        </w:tc>
        <w:tc>
          <w:tcPr>
            <w:tcW w:w="1180" w:type="dxa"/>
            <w:vMerge w:val="restart"/>
            <w:tcBorders>
              <w:top w:val="nil"/>
              <w:left w:val="nil"/>
              <w:bottom w:val="single" w:sz="8" w:space="0" w:color="000000"/>
              <w:right w:val="nil"/>
            </w:tcBorders>
            <w:shd w:val="clear" w:color="auto" w:fill="auto"/>
            <w:vAlign w:val="center"/>
          </w:tcPr>
          <w:p w14:paraId="687E49C9"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c.G451C SW-13</w:t>
            </w:r>
          </w:p>
        </w:tc>
        <w:tc>
          <w:tcPr>
            <w:tcW w:w="1140" w:type="dxa"/>
            <w:tcBorders>
              <w:top w:val="nil"/>
              <w:left w:val="nil"/>
              <w:bottom w:val="nil"/>
              <w:right w:val="nil"/>
            </w:tcBorders>
            <w:shd w:val="clear" w:color="auto" w:fill="auto"/>
            <w:noWrap/>
            <w:vAlign w:val="center"/>
          </w:tcPr>
          <w:p w14:paraId="4FE18F04"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40.5427M</w:t>
            </w:r>
          </w:p>
        </w:tc>
        <w:tc>
          <w:tcPr>
            <w:tcW w:w="1000" w:type="dxa"/>
            <w:tcBorders>
              <w:top w:val="nil"/>
              <w:left w:val="nil"/>
              <w:bottom w:val="nil"/>
              <w:right w:val="nil"/>
            </w:tcBorders>
            <w:shd w:val="clear" w:color="auto" w:fill="auto"/>
            <w:noWrap/>
            <w:vAlign w:val="center"/>
          </w:tcPr>
          <w:p w14:paraId="1B3874FB"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6.0814G</w:t>
            </w:r>
          </w:p>
        </w:tc>
        <w:tc>
          <w:tcPr>
            <w:tcW w:w="800" w:type="dxa"/>
            <w:tcBorders>
              <w:top w:val="nil"/>
              <w:left w:val="nil"/>
              <w:bottom w:val="nil"/>
              <w:right w:val="nil"/>
            </w:tcBorders>
            <w:shd w:val="clear" w:color="auto" w:fill="auto"/>
            <w:noWrap/>
            <w:vAlign w:val="center"/>
          </w:tcPr>
          <w:p w14:paraId="5FEC8392"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97.36</w:t>
            </w:r>
          </w:p>
        </w:tc>
        <w:tc>
          <w:tcPr>
            <w:tcW w:w="800" w:type="dxa"/>
            <w:tcBorders>
              <w:top w:val="nil"/>
              <w:left w:val="nil"/>
              <w:bottom w:val="nil"/>
              <w:right w:val="nil"/>
            </w:tcBorders>
            <w:shd w:val="clear" w:color="auto" w:fill="auto"/>
            <w:noWrap/>
            <w:vAlign w:val="center"/>
          </w:tcPr>
          <w:p w14:paraId="0F804F55"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92.99</w:t>
            </w:r>
          </w:p>
        </w:tc>
        <w:tc>
          <w:tcPr>
            <w:tcW w:w="740" w:type="dxa"/>
            <w:tcBorders>
              <w:top w:val="nil"/>
              <w:left w:val="nil"/>
              <w:bottom w:val="nil"/>
              <w:right w:val="nil"/>
            </w:tcBorders>
            <w:shd w:val="clear" w:color="auto" w:fill="auto"/>
            <w:noWrap/>
            <w:vAlign w:val="center"/>
          </w:tcPr>
          <w:p w14:paraId="48703ACF"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49.17</w:t>
            </w:r>
          </w:p>
        </w:tc>
        <w:tc>
          <w:tcPr>
            <w:tcW w:w="1100" w:type="dxa"/>
            <w:tcBorders>
              <w:top w:val="nil"/>
              <w:left w:val="nil"/>
              <w:bottom w:val="nil"/>
              <w:right w:val="nil"/>
            </w:tcBorders>
            <w:shd w:val="clear" w:color="auto" w:fill="auto"/>
            <w:noWrap/>
            <w:vAlign w:val="center"/>
          </w:tcPr>
          <w:p w14:paraId="148CE341"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150</w:t>
            </w:r>
          </w:p>
        </w:tc>
      </w:tr>
      <w:tr w:rsidR="00A077EE" w14:paraId="5BC1DE58" w14:textId="77777777">
        <w:trPr>
          <w:trHeight w:val="320"/>
          <w:jc w:val="center"/>
        </w:trPr>
        <w:tc>
          <w:tcPr>
            <w:tcW w:w="1300" w:type="dxa"/>
            <w:tcBorders>
              <w:top w:val="nil"/>
              <w:left w:val="nil"/>
              <w:bottom w:val="nil"/>
              <w:right w:val="nil"/>
            </w:tcBorders>
            <w:shd w:val="clear" w:color="auto" w:fill="auto"/>
            <w:noWrap/>
            <w:vAlign w:val="center"/>
          </w:tcPr>
          <w:p w14:paraId="4C4C13D8" w14:textId="77777777" w:rsidR="00A077EE" w:rsidRDefault="00A077EE">
            <w:pPr>
              <w:jc w:val="both"/>
              <w:rPr>
                <w:rFonts w:ascii="Times New Roman" w:eastAsia="DengXian" w:hAnsi="Times New Roman" w:cs="Times New Roman"/>
                <w:color w:val="000000"/>
                <w:sz w:val="20"/>
                <w:szCs w:val="20"/>
              </w:rPr>
            </w:pPr>
          </w:p>
        </w:tc>
        <w:tc>
          <w:tcPr>
            <w:tcW w:w="1300" w:type="dxa"/>
            <w:tcBorders>
              <w:top w:val="nil"/>
              <w:left w:val="nil"/>
              <w:bottom w:val="nil"/>
              <w:right w:val="nil"/>
            </w:tcBorders>
            <w:shd w:val="clear" w:color="auto" w:fill="auto"/>
            <w:noWrap/>
            <w:vAlign w:val="center"/>
          </w:tcPr>
          <w:p w14:paraId="1DA21B90"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C5Na</w:t>
            </w:r>
          </w:p>
        </w:tc>
        <w:tc>
          <w:tcPr>
            <w:tcW w:w="1180" w:type="dxa"/>
            <w:vMerge/>
            <w:tcBorders>
              <w:top w:val="nil"/>
              <w:left w:val="nil"/>
              <w:bottom w:val="single" w:sz="8" w:space="0" w:color="000000"/>
              <w:right w:val="nil"/>
            </w:tcBorders>
            <w:vAlign w:val="center"/>
          </w:tcPr>
          <w:p w14:paraId="6F0831D6" w14:textId="77777777" w:rsidR="00A077EE" w:rsidRDefault="00A077EE">
            <w:pPr>
              <w:jc w:val="both"/>
              <w:rPr>
                <w:rFonts w:ascii="Times New Roman" w:eastAsia="DengXian" w:hAnsi="Times New Roman" w:cs="Times New Roman"/>
                <w:color w:val="000000"/>
                <w:sz w:val="20"/>
                <w:szCs w:val="20"/>
              </w:rPr>
            </w:pPr>
          </w:p>
        </w:tc>
        <w:tc>
          <w:tcPr>
            <w:tcW w:w="1140" w:type="dxa"/>
            <w:tcBorders>
              <w:top w:val="nil"/>
              <w:left w:val="nil"/>
              <w:bottom w:val="nil"/>
              <w:right w:val="nil"/>
            </w:tcBorders>
            <w:shd w:val="clear" w:color="auto" w:fill="auto"/>
            <w:noWrap/>
            <w:vAlign w:val="center"/>
          </w:tcPr>
          <w:p w14:paraId="286CC65F"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40.7416M</w:t>
            </w:r>
          </w:p>
        </w:tc>
        <w:tc>
          <w:tcPr>
            <w:tcW w:w="1000" w:type="dxa"/>
            <w:tcBorders>
              <w:top w:val="nil"/>
              <w:left w:val="nil"/>
              <w:bottom w:val="nil"/>
              <w:right w:val="nil"/>
            </w:tcBorders>
            <w:shd w:val="clear" w:color="auto" w:fill="auto"/>
            <w:noWrap/>
            <w:vAlign w:val="center"/>
          </w:tcPr>
          <w:p w14:paraId="7002E614"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6.1112G</w:t>
            </w:r>
          </w:p>
        </w:tc>
        <w:tc>
          <w:tcPr>
            <w:tcW w:w="800" w:type="dxa"/>
            <w:tcBorders>
              <w:top w:val="nil"/>
              <w:left w:val="nil"/>
              <w:bottom w:val="nil"/>
              <w:right w:val="nil"/>
            </w:tcBorders>
            <w:shd w:val="clear" w:color="auto" w:fill="auto"/>
            <w:noWrap/>
            <w:vAlign w:val="center"/>
          </w:tcPr>
          <w:p w14:paraId="3A41769E"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97.2</w:t>
            </w:r>
          </w:p>
        </w:tc>
        <w:tc>
          <w:tcPr>
            <w:tcW w:w="800" w:type="dxa"/>
            <w:tcBorders>
              <w:top w:val="nil"/>
              <w:left w:val="nil"/>
              <w:bottom w:val="nil"/>
              <w:right w:val="nil"/>
            </w:tcBorders>
            <w:shd w:val="clear" w:color="auto" w:fill="auto"/>
            <w:noWrap/>
            <w:vAlign w:val="center"/>
          </w:tcPr>
          <w:p w14:paraId="7C704DDB"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92.54</w:t>
            </w:r>
          </w:p>
        </w:tc>
        <w:tc>
          <w:tcPr>
            <w:tcW w:w="740" w:type="dxa"/>
            <w:tcBorders>
              <w:top w:val="nil"/>
              <w:left w:val="nil"/>
              <w:bottom w:val="nil"/>
              <w:right w:val="nil"/>
            </w:tcBorders>
            <w:shd w:val="clear" w:color="auto" w:fill="auto"/>
            <w:noWrap/>
            <w:vAlign w:val="center"/>
          </w:tcPr>
          <w:p w14:paraId="7B67CF2E"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49.6</w:t>
            </w:r>
          </w:p>
        </w:tc>
        <w:tc>
          <w:tcPr>
            <w:tcW w:w="1100" w:type="dxa"/>
            <w:tcBorders>
              <w:top w:val="nil"/>
              <w:left w:val="nil"/>
              <w:bottom w:val="nil"/>
              <w:right w:val="nil"/>
            </w:tcBorders>
            <w:shd w:val="clear" w:color="auto" w:fill="auto"/>
            <w:noWrap/>
            <w:vAlign w:val="center"/>
          </w:tcPr>
          <w:p w14:paraId="58840508"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150</w:t>
            </w:r>
          </w:p>
        </w:tc>
      </w:tr>
      <w:tr w:rsidR="00A077EE" w14:paraId="70A66A3A" w14:textId="77777777">
        <w:trPr>
          <w:trHeight w:val="320"/>
          <w:jc w:val="center"/>
        </w:trPr>
        <w:tc>
          <w:tcPr>
            <w:tcW w:w="1300" w:type="dxa"/>
            <w:tcBorders>
              <w:top w:val="nil"/>
              <w:left w:val="nil"/>
              <w:bottom w:val="nil"/>
              <w:right w:val="nil"/>
            </w:tcBorders>
            <w:shd w:val="clear" w:color="auto" w:fill="auto"/>
            <w:noWrap/>
            <w:vAlign w:val="center"/>
          </w:tcPr>
          <w:p w14:paraId="377BB906" w14:textId="77777777" w:rsidR="00A077EE" w:rsidRDefault="00A077EE">
            <w:pPr>
              <w:jc w:val="both"/>
              <w:rPr>
                <w:rFonts w:ascii="Times New Roman" w:eastAsia="DengXian" w:hAnsi="Times New Roman" w:cs="Times New Roman"/>
                <w:color w:val="000000"/>
                <w:sz w:val="20"/>
                <w:szCs w:val="20"/>
              </w:rPr>
            </w:pPr>
          </w:p>
        </w:tc>
        <w:tc>
          <w:tcPr>
            <w:tcW w:w="1300" w:type="dxa"/>
            <w:tcBorders>
              <w:top w:val="nil"/>
              <w:left w:val="nil"/>
              <w:bottom w:val="nil"/>
              <w:right w:val="nil"/>
            </w:tcBorders>
            <w:shd w:val="clear" w:color="auto" w:fill="auto"/>
            <w:noWrap/>
            <w:vAlign w:val="center"/>
          </w:tcPr>
          <w:p w14:paraId="2075F9F7"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C5T1</w:t>
            </w:r>
          </w:p>
        </w:tc>
        <w:tc>
          <w:tcPr>
            <w:tcW w:w="1180" w:type="dxa"/>
            <w:vMerge/>
            <w:tcBorders>
              <w:top w:val="nil"/>
              <w:left w:val="nil"/>
              <w:bottom w:val="single" w:sz="8" w:space="0" w:color="000000"/>
              <w:right w:val="nil"/>
            </w:tcBorders>
            <w:vAlign w:val="center"/>
          </w:tcPr>
          <w:p w14:paraId="690349F3" w14:textId="77777777" w:rsidR="00A077EE" w:rsidRDefault="00A077EE">
            <w:pPr>
              <w:jc w:val="both"/>
              <w:rPr>
                <w:rFonts w:ascii="Times New Roman" w:eastAsia="DengXian" w:hAnsi="Times New Roman" w:cs="Times New Roman"/>
                <w:color w:val="000000"/>
                <w:sz w:val="20"/>
                <w:szCs w:val="20"/>
              </w:rPr>
            </w:pPr>
          </w:p>
        </w:tc>
        <w:tc>
          <w:tcPr>
            <w:tcW w:w="1140" w:type="dxa"/>
            <w:tcBorders>
              <w:top w:val="nil"/>
              <w:left w:val="nil"/>
              <w:bottom w:val="nil"/>
              <w:right w:val="nil"/>
            </w:tcBorders>
            <w:shd w:val="clear" w:color="auto" w:fill="auto"/>
            <w:noWrap/>
            <w:vAlign w:val="center"/>
          </w:tcPr>
          <w:p w14:paraId="3E38EB95"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51.7427M</w:t>
            </w:r>
          </w:p>
        </w:tc>
        <w:tc>
          <w:tcPr>
            <w:tcW w:w="1000" w:type="dxa"/>
            <w:tcBorders>
              <w:top w:val="nil"/>
              <w:left w:val="nil"/>
              <w:bottom w:val="nil"/>
              <w:right w:val="nil"/>
            </w:tcBorders>
            <w:shd w:val="clear" w:color="auto" w:fill="auto"/>
            <w:noWrap/>
            <w:vAlign w:val="center"/>
          </w:tcPr>
          <w:p w14:paraId="28B29A15"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7.7395G</w:t>
            </w:r>
          </w:p>
        </w:tc>
        <w:tc>
          <w:tcPr>
            <w:tcW w:w="800" w:type="dxa"/>
            <w:tcBorders>
              <w:top w:val="nil"/>
              <w:left w:val="nil"/>
              <w:bottom w:val="nil"/>
              <w:right w:val="nil"/>
            </w:tcBorders>
            <w:shd w:val="clear" w:color="auto" w:fill="auto"/>
            <w:noWrap/>
            <w:vAlign w:val="center"/>
          </w:tcPr>
          <w:p w14:paraId="66CDE122"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94.97</w:t>
            </w:r>
          </w:p>
        </w:tc>
        <w:tc>
          <w:tcPr>
            <w:tcW w:w="800" w:type="dxa"/>
            <w:tcBorders>
              <w:top w:val="nil"/>
              <w:left w:val="nil"/>
              <w:bottom w:val="nil"/>
              <w:right w:val="nil"/>
            </w:tcBorders>
            <w:shd w:val="clear" w:color="auto" w:fill="auto"/>
            <w:noWrap/>
            <w:vAlign w:val="center"/>
          </w:tcPr>
          <w:p w14:paraId="0342B676"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85.43</w:t>
            </w:r>
          </w:p>
        </w:tc>
        <w:tc>
          <w:tcPr>
            <w:tcW w:w="740" w:type="dxa"/>
            <w:tcBorders>
              <w:top w:val="nil"/>
              <w:left w:val="nil"/>
              <w:bottom w:val="nil"/>
              <w:right w:val="nil"/>
            </w:tcBorders>
            <w:shd w:val="clear" w:color="auto" w:fill="auto"/>
            <w:noWrap/>
            <w:vAlign w:val="center"/>
          </w:tcPr>
          <w:p w14:paraId="315E8FEE"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49.46</w:t>
            </w:r>
          </w:p>
        </w:tc>
        <w:tc>
          <w:tcPr>
            <w:tcW w:w="1100" w:type="dxa"/>
            <w:tcBorders>
              <w:top w:val="nil"/>
              <w:left w:val="nil"/>
              <w:bottom w:val="nil"/>
              <w:right w:val="nil"/>
            </w:tcBorders>
            <w:shd w:val="clear" w:color="auto" w:fill="auto"/>
            <w:noWrap/>
            <w:vAlign w:val="center"/>
          </w:tcPr>
          <w:p w14:paraId="13C466BF"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147</w:t>
            </w:r>
          </w:p>
        </w:tc>
      </w:tr>
      <w:tr w:rsidR="00A077EE" w14:paraId="397A280C" w14:textId="77777777">
        <w:trPr>
          <w:trHeight w:val="340"/>
          <w:jc w:val="center"/>
        </w:trPr>
        <w:tc>
          <w:tcPr>
            <w:tcW w:w="1300" w:type="dxa"/>
            <w:tcBorders>
              <w:top w:val="nil"/>
              <w:left w:val="nil"/>
              <w:bottom w:val="single" w:sz="8" w:space="0" w:color="auto"/>
              <w:right w:val="nil"/>
            </w:tcBorders>
            <w:shd w:val="clear" w:color="auto" w:fill="auto"/>
            <w:noWrap/>
            <w:vAlign w:val="center"/>
          </w:tcPr>
          <w:p w14:paraId="3B461FCB"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F1</w:t>
            </w:r>
          </w:p>
        </w:tc>
        <w:tc>
          <w:tcPr>
            <w:tcW w:w="1300" w:type="dxa"/>
            <w:tcBorders>
              <w:top w:val="nil"/>
              <w:left w:val="nil"/>
              <w:bottom w:val="single" w:sz="8" w:space="0" w:color="auto"/>
              <w:right w:val="nil"/>
            </w:tcBorders>
            <w:shd w:val="clear" w:color="auto" w:fill="auto"/>
            <w:noWrap/>
            <w:vAlign w:val="center"/>
          </w:tcPr>
          <w:p w14:paraId="0C3E77CE"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F1T1</w:t>
            </w:r>
          </w:p>
        </w:tc>
        <w:tc>
          <w:tcPr>
            <w:tcW w:w="1180" w:type="dxa"/>
            <w:vMerge/>
            <w:tcBorders>
              <w:top w:val="nil"/>
              <w:left w:val="nil"/>
              <w:bottom w:val="single" w:sz="8" w:space="0" w:color="000000"/>
              <w:right w:val="nil"/>
            </w:tcBorders>
            <w:vAlign w:val="center"/>
          </w:tcPr>
          <w:p w14:paraId="5386D122" w14:textId="77777777" w:rsidR="00A077EE" w:rsidRDefault="00A077EE">
            <w:pPr>
              <w:jc w:val="both"/>
              <w:rPr>
                <w:rFonts w:ascii="Times New Roman" w:eastAsia="DengXian" w:hAnsi="Times New Roman" w:cs="Times New Roman"/>
                <w:color w:val="000000"/>
                <w:sz w:val="20"/>
                <w:szCs w:val="20"/>
              </w:rPr>
            </w:pPr>
          </w:p>
        </w:tc>
        <w:tc>
          <w:tcPr>
            <w:tcW w:w="1140" w:type="dxa"/>
            <w:tcBorders>
              <w:top w:val="nil"/>
              <w:left w:val="nil"/>
              <w:bottom w:val="single" w:sz="8" w:space="0" w:color="auto"/>
              <w:right w:val="nil"/>
            </w:tcBorders>
            <w:shd w:val="clear" w:color="auto" w:fill="auto"/>
            <w:noWrap/>
            <w:vAlign w:val="center"/>
          </w:tcPr>
          <w:p w14:paraId="7611E123"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54.0031M</w:t>
            </w:r>
          </w:p>
        </w:tc>
        <w:tc>
          <w:tcPr>
            <w:tcW w:w="1000" w:type="dxa"/>
            <w:tcBorders>
              <w:top w:val="nil"/>
              <w:left w:val="nil"/>
              <w:bottom w:val="single" w:sz="8" w:space="0" w:color="auto"/>
              <w:right w:val="nil"/>
            </w:tcBorders>
            <w:shd w:val="clear" w:color="auto" w:fill="auto"/>
            <w:noWrap/>
            <w:vAlign w:val="center"/>
          </w:tcPr>
          <w:p w14:paraId="26F6E91D"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8.0774G</w:t>
            </w:r>
          </w:p>
        </w:tc>
        <w:tc>
          <w:tcPr>
            <w:tcW w:w="800" w:type="dxa"/>
            <w:tcBorders>
              <w:top w:val="nil"/>
              <w:left w:val="nil"/>
              <w:bottom w:val="single" w:sz="8" w:space="0" w:color="auto"/>
              <w:right w:val="nil"/>
            </w:tcBorders>
            <w:shd w:val="clear" w:color="auto" w:fill="auto"/>
            <w:noWrap/>
            <w:vAlign w:val="center"/>
          </w:tcPr>
          <w:p w14:paraId="6959B880"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94.96</w:t>
            </w:r>
          </w:p>
        </w:tc>
        <w:tc>
          <w:tcPr>
            <w:tcW w:w="800" w:type="dxa"/>
            <w:tcBorders>
              <w:top w:val="nil"/>
              <w:left w:val="nil"/>
              <w:bottom w:val="single" w:sz="8" w:space="0" w:color="auto"/>
              <w:right w:val="nil"/>
            </w:tcBorders>
            <w:shd w:val="clear" w:color="auto" w:fill="auto"/>
            <w:noWrap/>
            <w:vAlign w:val="center"/>
          </w:tcPr>
          <w:p w14:paraId="320804D5"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85.3</w:t>
            </w:r>
          </w:p>
        </w:tc>
        <w:tc>
          <w:tcPr>
            <w:tcW w:w="740" w:type="dxa"/>
            <w:tcBorders>
              <w:top w:val="nil"/>
              <w:left w:val="nil"/>
              <w:bottom w:val="single" w:sz="8" w:space="0" w:color="auto"/>
              <w:right w:val="nil"/>
            </w:tcBorders>
            <w:shd w:val="clear" w:color="auto" w:fill="auto"/>
            <w:noWrap/>
            <w:vAlign w:val="center"/>
          </w:tcPr>
          <w:p w14:paraId="78AE1C4B"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49.32</w:t>
            </w:r>
          </w:p>
        </w:tc>
        <w:tc>
          <w:tcPr>
            <w:tcW w:w="1100" w:type="dxa"/>
            <w:tcBorders>
              <w:top w:val="nil"/>
              <w:left w:val="nil"/>
              <w:bottom w:val="single" w:sz="8" w:space="0" w:color="auto"/>
              <w:right w:val="nil"/>
            </w:tcBorders>
            <w:shd w:val="clear" w:color="auto" w:fill="auto"/>
            <w:noWrap/>
            <w:vAlign w:val="center"/>
          </w:tcPr>
          <w:p w14:paraId="4A805CEF" w14:textId="77777777" w:rsidR="00A077EE" w:rsidRDefault="00D76748">
            <w:pPr>
              <w:jc w:val="both"/>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150</w:t>
            </w:r>
          </w:p>
        </w:tc>
      </w:tr>
    </w:tbl>
    <w:p w14:paraId="7A8B2BF6" w14:textId="20B52D69" w:rsidR="00A077EE" w:rsidRDefault="00D76748" w:rsidP="008876F9">
      <w:pPr>
        <w:spacing w:beforeLines="50" w:before="163"/>
        <w:ind w:firstLineChars="200" w:firstLine="480"/>
        <w:jc w:val="both"/>
        <w:rPr>
          <w:rFonts w:ascii="Times New Roman" w:hAnsi="Times New Roman" w:cs="Times New Roman"/>
          <w:bCs/>
        </w:rPr>
      </w:pPr>
      <w:r>
        <w:rPr>
          <w:rFonts w:ascii="Times New Roman" w:hAnsi="Times New Roman" w:cs="Times New Roman"/>
          <w:bCs/>
        </w:rPr>
        <w:t>#NOTE: Reads: Total number of sequenced fragments after filtering; Bases: Total number of bases after filtering; ReadLength: Length of sequenced fragments; Q20: Number of nucleotides/total number of nucleotides with sequencing quality greater than 20; GC: Guanine (or cytosine) Number of nucleotides/total number of nucleotides.</w:t>
      </w:r>
    </w:p>
    <w:p w14:paraId="55BAB14C" w14:textId="77777777" w:rsidR="00880B6D" w:rsidRDefault="00880B6D" w:rsidP="008876F9">
      <w:pPr>
        <w:spacing w:beforeLines="50" w:before="163"/>
        <w:ind w:firstLineChars="200" w:firstLine="420"/>
        <w:jc w:val="both"/>
        <w:rPr>
          <w:sz w:val="21"/>
          <w:szCs w:val="21"/>
        </w:rPr>
      </w:pPr>
    </w:p>
    <w:p w14:paraId="62A8DDA2" w14:textId="77777777" w:rsidR="006D3D41" w:rsidRDefault="006D3D41" w:rsidP="008876F9">
      <w:pPr>
        <w:spacing w:beforeLines="50" w:before="163"/>
        <w:ind w:firstLineChars="200" w:firstLine="420"/>
        <w:jc w:val="both"/>
        <w:rPr>
          <w:sz w:val="21"/>
          <w:szCs w:val="21"/>
        </w:rPr>
      </w:pPr>
    </w:p>
    <w:p w14:paraId="51E85BE1" w14:textId="77777777" w:rsidR="006D3D41" w:rsidRDefault="006D3D41" w:rsidP="008876F9">
      <w:pPr>
        <w:spacing w:beforeLines="50" w:before="163"/>
        <w:ind w:firstLineChars="200" w:firstLine="420"/>
        <w:jc w:val="both"/>
        <w:rPr>
          <w:sz w:val="21"/>
          <w:szCs w:val="21"/>
        </w:rPr>
      </w:pPr>
    </w:p>
    <w:p w14:paraId="6C4286A3" w14:textId="77777777" w:rsidR="006D3D41" w:rsidRPr="008876F9" w:rsidRDefault="006D3D41" w:rsidP="008876F9">
      <w:pPr>
        <w:spacing w:beforeLines="50" w:before="163"/>
        <w:ind w:firstLineChars="200" w:firstLine="420"/>
        <w:jc w:val="both"/>
        <w:rPr>
          <w:sz w:val="21"/>
          <w:szCs w:val="21"/>
        </w:rPr>
      </w:pPr>
    </w:p>
    <w:p w14:paraId="3CE4C0E8" w14:textId="77777777" w:rsidR="00A511AC" w:rsidRDefault="00A511AC" w:rsidP="00A511AC">
      <w:pPr>
        <w:pStyle w:val="af0"/>
        <w:spacing w:line="360" w:lineRule="auto"/>
        <w:rPr>
          <w:rFonts w:ascii="Times New Roman" w:hAnsi="Times New Roman" w:cs="Times New Roman"/>
          <w:b/>
        </w:rPr>
      </w:pPr>
      <w:r>
        <w:rPr>
          <w:rFonts w:ascii="Times New Roman" w:hAnsi="Times New Roman" w:cs="Times New Roman" w:hint="eastAsia"/>
          <w:b/>
        </w:rPr>
        <w:lastRenderedPageBreak/>
        <w:t>Reference</w:t>
      </w:r>
    </w:p>
    <w:sdt>
      <w:sdtPr>
        <w:rPr>
          <w:color w:val="000000"/>
        </w:rPr>
        <w:tag w:val="MENDELEY_BIBLIOGRAPHY"/>
        <w:id w:val="-2146106537"/>
        <w:placeholder>
          <w:docPart w:val="DefaultPlaceholder_-1854013440"/>
        </w:placeholder>
      </w:sdtPr>
      <w:sdtContent>
        <w:p w14:paraId="5CC1174F" w14:textId="77777777" w:rsidR="00E9463D" w:rsidRPr="00E9463D" w:rsidRDefault="00E9463D">
          <w:pPr>
            <w:autoSpaceDE w:val="0"/>
            <w:autoSpaceDN w:val="0"/>
            <w:ind w:hanging="640"/>
            <w:divId w:val="1875189323"/>
            <w:rPr>
              <w:rFonts w:ascii="Times New Roman" w:hAnsi="Times New Roman" w:cs="Times New Roman"/>
              <w:color w:val="000000"/>
              <w:sz w:val="21"/>
              <w:szCs w:val="21"/>
            </w:rPr>
          </w:pPr>
          <w:r w:rsidRPr="00E9463D">
            <w:rPr>
              <w:rFonts w:ascii="Times New Roman" w:hAnsi="Times New Roman" w:cs="Times New Roman"/>
              <w:color w:val="000000"/>
              <w:sz w:val="21"/>
              <w:szCs w:val="21"/>
            </w:rPr>
            <w:t xml:space="preserve">1. </w:t>
          </w:r>
          <w:r w:rsidRPr="00E9463D">
            <w:rPr>
              <w:rFonts w:ascii="Times New Roman" w:hAnsi="Times New Roman" w:cs="Times New Roman"/>
              <w:color w:val="000000"/>
              <w:sz w:val="21"/>
              <w:szCs w:val="21"/>
            </w:rPr>
            <w:tab/>
            <w:t xml:space="preserve">Chen Y, Chen Y, Shi C, Huang Z, Zhang Y, Li S, Li Y, Ye J, Yu C, Li Z, Zhang X, Wang J, Yang H, Fang L, Chen Q. SOAPnuke: A MapReduce acceleration-supported software for integrated quality control and preprocessing of high-throughput sequencing data. </w:t>
          </w:r>
          <w:r w:rsidRPr="00E9463D">
            <w:rPr>
              <w:rFonts w:ascii="Times New Roman" w:hAnsi="Times New Roman" w:cs="Times New Roman"/>
              <w:i/>
              <w:iCs/>
              <w:color w:val="000000"/>
              <w:sz w:val="21"/>
              <w:szCs w:val="21"/>
            </w:rPr>
            <w:t>Gigascience</w:t>
          </w:r>
          <w:r w:rsidRPr="00E9463D">
            <w:rPr>
              <w:rFonts w:ascii="Times New Roman" w:hAnsi="Times New Roman" w:cs="Times New Roman"/>
              <w:color w:val="000000"/>
              <w:sz w:val="21"/>
              <w:szCs w:val="21"/>
            </w:rPr>
            <w:t>. 2018; 7:1-6. &lt;https://doi.org/10.1093/gigascience/gix120&gt;.</w:t>
          </w:r>
        </w:p>
        <w:p w14:paraId="76A80CCF" w14:textId="77777777" w:rsidR="00E9463D" w:rsidRPr="00E9463D" w:rsidRDefault="00E9463D">
          <w:pPr>
            <w:autoSpaceDE w:val="0"/>
            <w:autoSpaceDN w:val="0"/>
            <w:ind w:hanging="640"/>
            <w:divId w:val="1150484795"/>
            <w:rPr>
              <w:rFonts w:ascii="Times New Roman" w:hAnsi="Times New Roman" w:cs="Times New Roman"/>
              <w:color w:val="000000"/>
              <w:sz w:val="21"/>
              <w:szCs w:val="21"/>
            </w:rPr>
          </w:pPr>
          <w:r w:rsidRPr="00E9463D">
            <w:rPr>
              <w:rFonts w:ascii="Times New Roman" w:hAnsi="Times New Roman" w:cs="Times New Roman"/>
              <w:color w:val="000000"/>
              <w:sz w:val="21"/>
              <w:szCs w:val="21"/>
            </w:rPr>
            <w:t xml:space="preserve">2. </w:t>
          </w:r>
          <w:r w:rsidRPr="00E9463D">
            <w:rPr>
              <w:rFonts w:ascii="Times New Roman" w:hAnsi="Times New Roman" w:cs="Times New Roman"/>
              <w:color w:val="000000"/>
              <w:sz w:val="21"/>
              <w:szCs w:val="21"/>
            </w:rPr>
            <w:tab/>
            <w:t xml:space="preserve">Gao S, Zou D, Mao L, Zhou Q, Jia W, Huang Y, Zhao S, Chen G, Wu S, Li D, Xia F, Chen H, Chen M, Ørntoft TF, Bolund L, Sørensen KD. SMAP: A streamlined methylation analysis pipeline for bisulfite sequencing. </w:t>
          </w:r>
          <w:r w:rsidRPr="00E9463D">
            <w:rPr>
              <w:rFonts w:ascii="Times New Roman" w:hAnsi="Times New Roman" w:cs="Times New Roman"/>
              <w:i/>
              <w:iCs/>
              <w:color w:val="000000"/>
              <w:sz w:val="21"/>
              <w:szCs w:val="21"/>
            </w:rPr>
            <w:t>Gigascience</w:t>
          </w:r>
          <w:r w:rsidRPr="00E9463D">
            <w:rPr>
              <w:rFonts w:ascii="Times New Roman" w:hAnsi="Times New Roman" w:cs="Times New Roman"/>
              <w:color w:val="000000"/>
              <w:sz w:val="21"/>
              <w:szCs w:val="21"/>
            </w:rPr>
            <w:t>. 2015; 4. &lt;https://doi.org/10.1186/s13742-015-0070-9&gt;.</w:t>
          </w:r>
        </w:p>
        <w:p w14:paraId="28005C9C" w14:textId="77777777" w:rsidR="00E9463D" w:rsidRPr="00E9463D" w:rsidRDefault="00E9463D">
          <w:pPr>
            <w:autoSpaceDE w:val="0"/>
            <w:autoSpaceDN w:val="0"/>
            <w:ind w:hanging="640"/>
            <w:divId w:val="2027242679"/>
            <w:rPr>
              <w:rFonts w:ascii="Times New Roman" w:hAnsi="Times New Roman" w:cs="Times New Roman"/>
              <w:color w:val="000000"/>
              <w:sz w:val="21"/>
              <w:szCs w:val="21"/>
            </w:rPr>
          </w:pPr>
          <w:r w:rsidRPr="00E9463D">
            <w:rPr>
              <w:rFonts w:ascii="Times New Roman" w:hAnsi="Times New Roman" w:cs="Times New Roman"/>
              <w:color w:val="000000"/>
              <w:sz w:val="21"/>
              <w:szCs w:val="21"/>
            </w:rPr>
            <w:t xml:space="preserve">3. </w:t>
          </w:r>
          <w:r w:rsidRPr="00E9463D">
            <w:rPr>
              <w:rFonts w:ascii="Times New Roman" w:hAnsi="Times New Roman" w:cs="Times New Roman"/>
              <w:color w:val="000000"/>
              <w:sz w:val="21"/>
              <w:szCs w:val="21"/>
            </w:rPr>
            <w:tab/>
            <w:t>Chen S, Zhou Y, Chen Y, Gu J. Fastp: An ultra-fast all-in-one FASTQ preprocessor. In: Bioinformatics. Vol 34. Oxford University Press, 2018, pp i884-i890.</w:t>
          </w:r>
        </w:p>
        <w:p w14:paraId="30ED8671" w14:textId="77777777" w:rsidR="00E9463D" w:rsidRPr="00E9463D" w:rsidRDefault="00E9463D">
          <w:pPr>
            <w:autoSpaceDE w:val="0"/>
            <w:autoSpaceDN w:val="0"/>
            <w:ind w:hanging="640"/>
            <w:divId w:val="2142992960"/>
            <w:rPr>
              <w:rFonts w:ascii="Times New Roman" w:hAnsi="Times New Roman" w:cs="Times New Roman"/>
              <w:color w:val="000000"/>
              <w:sz w:val="21"/>
              <w:szCs w:val="21"/>
            </w:rPr>
          </w:pPr>
          <w:r w:rsidRPr="00E9463D">
            <w:rPr>
              <w:rFonts w:ascii="Times New Roman" w:hAnsi="Times New Roman" w:cs="Times New Roman"/>
              <w:color w:val="000000"/>
              <w:sz w:val="21"/>
              <w:szCs w:val="21"/>
            </w:rPr>
            <w:t xml:space="preserve">4. </w:t>
          </w:r>
          <w:r w:rsidRPr="00E9463D">
            <w:rPr>
              <w:rFonts w:ascii="Times New Roman" w:hAnsi="Times New Roman" w:cs="Times New Roman"/>
              <w:color w:val="000000"/>
              <w:sz w:val="21"/>
              <w:szCs w:val="21"/>
            </w:rPr>
            <w:tab/>
            <w:t xml:space="preserve">Li H, Durbin R. Fast and accurate short read alignment with Burrows-Wheeler transform. </w:t>
          </w:r>
          <w:r w:rsidRPr="00E9463D">
            <w:rPr>
              <w:rFonts w:ascii="Times New Roman" w:hAnsi="Times New Roman" w:cs="Times New Roman"/>
              <w:i/>
              <w:iCs/>
              <w:color w:val="000000"/>
              <w:sz w:val="21"/>
              <w:szCs w:val="21"/>
            </w:rPr>
            <w:t>Bioinformatics</w:t>
          </w:r>
          <w:r w:rsidRPr="00E9463D">
            <w:rPr>
              <w:rFonts w:ascii="Times New Roman" w:hAnsi="Times New Roman" w:cs="Times New Roman"/>
              <w:color w:val="000000"/>
              <w:sz w:val="21"/>
              <w:szCs w:val="21"/>
            </w:rPr>
            <w:t>. 2009; 25:1754-1760. &lt;https://doi.org/10.1093/bioinformatics/btp324&gt;.</w:t>
          </w:r>
        </w:p>
        <w:p w14:paraId="234B789D" w14:textId="77777777" w:rsidR="00E9463D" w:rsidRPr="00E9463D" w:rsidRDefault="00E9463D">
          <w:pPr>
            <w:autoSpaceDE w:val="0"/>
            <w:autoSpaceDN w:val="0"/>
            <w:ind w:hanging="640"/>
            <w:divId w:val="805315962"/>
            <w:rPr>
              <w:rFonts w:ascii="Times New Roman" w:hAnsi="Times New Roman" w:cs="Times New Roman"/>
              <w:color w:val="000000"/>
              <w:sz w:val="21"/>
              <w:szCs w:val="21"/>
            </w:rPr>
          </w:pPr>
          <w:r w:rsidRPr="00E9463D">
            <w:rPr>
              <w:rFonts w:ascii="Times New Roman" w:hAnsi="Times New Roman" w:cs="Times New Roman"/>
              <w:color w:val="000000"/>
              <w:sz w:val="21"/>
              <w:szCs w:val="21"/>
            </w:rPr>
            <w:t xml:space="preserve">5. </w:t>
          </w:r>
          <w:r w:rsidRPr="00E9463D">
            <w:rPr>
              <w:rFonts w:ascii="Times New Roman" w:hAnsi="Times New Roman" w:cs="Times New Roman"/>
              <w:color w:val="000000"/>
              <w:sz w:val="21"/>
              <w:szCs w:val="21"/>
            </w:rPr>
            <w:tab/>
            <w:t xml:space="preserve">Kim D, Paggi JM, Park C, Bennett C, Salzberg SL. Graph-based genome alignment and genotyping with HISAT2 and HISAT-genotype. </w:t>
          </w:r>
          <w:r w:rsidRPr="00E9463D">
            <w:rPr>
              <w:rFonts w:ascii="Times New Roman" w:hAnsi="Times New Roman" w:cs="Times New Roman"/>
              <w:i/>
              <w:iCs/>
              <w:color w:val="000000"/>
              <w:sz w:val="21"/>
              <w:szCs w:val="21"/>
            </w:rPr>
            <w:t>Nat Biotechnol</w:t>
          </w:r>
          <w:r w:rsidRPr="00E9463D">
            <w:rPr>
              <w:rFonts w:ascii="Times New Roman" w:hAnsi="Times New Roman" w:cs="Times New Roman"/>
              <w:color w:val="000000"/>
              <w:sz w:val="21"/>
              <w:szCs w:val="21"/>
            </w:rPr>
            <w:t>. 2019; 37:907-915. &lt;https://doi.org/10.1038/s41587-019-0201-4&gt;.</w:t>
          </w:r>
        </w:p>
        <w:p w14:paraId="215EF787" w14:textId="77777777" w:rsidR="00E9463D" w:rsidRPr="00E9463D" w:rsidRDefault="00E9463D">
          <w:pPr>
            <w:autoSpaceDE w:val="0"/>
            <w:autoSpaceDN w:val="0"/>
            <w:ind w:hanging="640"/>
            <w:divId w:val="461729308"/>
            <w:rPr>
              <w:rFonts w:ascii="Times New Roman" w:hAnsi="Times New Roman" w:cs="Times New Roman"/>
              <w:color w:val="000000"/>
              <w:sz w:val="21"/>
              <w:szCs w:val="21"/>
            </w:rPr>
          </w:pPr>
          <w:r w:rsidRPr="00E9463D">
            <w:rPr>
              <w:rFonts w:ascii="Times New Roman" w:hAnsi="Times New Roman" w:cs="Times New Roman"/>
              <w:color w:val="000000"/>
              <w:sz w:val="21"/>
              <w:szCs w:val="21"/>
            </w:rPr>
            <w:t xml:space="preserve">6. </w:t>
          </w:r>
          <w:r w:rsidRPr="00E9463D">
            <w:rPr>
              <w:rFonts w:ascii="Times New Roman" w:hAnsi="Times New Roman" w:cs="Times New Roman"/>
              <w:color w:val="000000"/>
              <w:sz w:val="21"/>
              <w:szCs w:val="21"/>
            </w:rPr>
            <w:tab/>
            <w:t>Poplin R, Ruano-Rubio V, DePristo MA, Fennell TJ, Carneiro MO, Van der Auwera GA, Kling DE, Gauthier LD, Levy-Moonshine A, Roazen D, Shakir K, Thibault J, Chandran S, Whelan C, Lek M, Gabriel S, Daly MJ, Neale B, MacArthur DG, Banks E. Scaling accurate genetic variant discovery to tens of thousands of samples. November 2017. &lt;https://doi.org/10.1101/201178&gt;.</w:t>
          </w:r>
        </w:p>
        <w:p w14:paraId="534ABD60" w14:textId="77777777" w:rsidR="00E9463D" w:rsidRPr="00E9463D" w:rsidRDefault="00E9463D">
          <w:pPr>
            <w:autoSpaceDE w:val="0"/>
            <w:autoSpaceDN w:val="0"/>
            <w:ind w:hanging="640"/>
            <w:divId w:val="1707678917"/>
            <w:rPr>
              <w:rFonts w:ascii="Times New Roman" w:hAnsi="Times New Roman" w:cs="Times New Roman"/>
              <w:color w:val="000000"/>
              <w:sz w:val="21"/>
              <w:szCs w:val="21"/>
            </w:rPr>
          </w:pPr>
          <w:r w:rsidRPr="00E9463D">
            <w:rPr>
              <w:rFonts w:ascii="Times New Roman" w:hAnsi="Times New Roman" w:cs="Times New Roman"/>
              <w:color w:val="000000"/>
              <w:sz w:val="21"/>
              <w:szCs w:val="21"/>
            </w:rPr>
            <w:t xml:space="preserve">7. </w:t>
          </w:r>
          <w:r w:rsidRPr="00E9463D">
            <w:rPr>
              <w:rFonts w:ascii="Times New Roman" w:hAnsi="Times New Roman" w:cs="Times New Roman"/>
              <w:color w:val="000000"/>
              <w:sz w:val="21"/>
              <w:szCs w:val="21"/>
            </w:rPr>
            <w:tab/>
            <w:t xml:space="preserve">Gao S, Zou D, Mao L, Liu H, Song P, Chen Y, Zhao S, Gao C, Li X, Gao Z, Fang X, Yang H, Ørntoft TF, Sørensen KD, Bolund L. BS-SNPer: SNP calling in bisulfite-seq data. </w:t>
          </w:r>
          <w:r w:rsidRPr="00E9463D">
            <w:rPr>
              <w:rFonts w:ascii="Times New Roman" w:hAnsi="Times New Roman" w:cs="Times New Roman"/>
              <w:i/>
              <w:iCs/>
              <w:color w:val="000000"/>
              <w:sz w:val="21"/>
              <w:szCs w:val="21"/>
            </w:rPr>
            <w:t>Bioinformatics</w:t>
          </w:r>
          <w:r w:rsidRPr="00E9463D">
            <w:rPr>
              <w:rFonts w:ascii="Times New Roman" w:hAnsi="Times New Roman" w:cs="Times New Roman"/>
              <w:color w:val="000000"/>
              <w:sz w:val="21"/>
              <w:szCs w:val="21"/>
            </w:rPr>
            <w:t>. 2015; 31:4006-4008. &lt;https://doi.org/10.1093/bioinformatics/btv507&gt;.</w:t>
          </w:r>
        </w:p>
        <w:p w14:paraId="754FE2B7" w14:textId="77777777" w:rsidR="00E9463D" w:rsidRPr="00E9463D" w:rsidRDefault="00E9463D">
          <w:pPr>
            <w:autoSpaceDE w:val="0"/>
            <w:autoSpaceDN w:val="0"/>
            <w:ind w:hanging="640"/>
            <w:divId w:val="1043753968"/>
            <w:rPr>
              <w:color w:val="000000"/>
            </w:rPr>
          </w:pPr>
          <w:r w:rsidRPr="00E9463D">
            <w:rPr>
              <w:rFonts w:ascii="Times New Roman" w:hAnsi="Times New Roman" w:cs="Times New Roman"/>
              <w:color w:val="000000"/>
              <w:sz w:val="21"/>
              <w:szCs w:val="21"/>
            </w:rPr>
            <w:t xml:space="preserve">8. </w:t>
          </w:r>
          <w:r w:rsidRPr="00E9463D">
            <w:rPr>
              <w:rFonts w:ascii="Times New Roman" w:hAnsi="Times New Roman" w:cs="Times New Roman"/>
              <w:color w:val="000000"/>
              <w:sz w:val="21"/>
              <w:szCs w:val="21"/>
            </w:rPr>
            <w:tab/>
            <w:t xml:space="preserve">Love MI, Huber W, Anders S. Moderated estimation of fold change and dispersion for RNA-seq data with DESeq2. </w:t>
          </w:r>
          <w:r w:rsidRPr="00E9463D">
            <w:rPr>
              <w:rFonts w:ascii="Times New Roman" w:hAnsi="Times New Roman" w:cs="Times New Roman"/>
              <w:i/>
              <w:iCs/>
              <w:color w:val="000000"/>
              <w:sz w:val="21"/>
              <w:szCs w:val="21"/>
            </w:rPr>
            <w:t>Genome Biol</w:t>
          </w:r>
          <w:r w:rsidRPr="00E9463D">
            <w:rPr>
              <w:rFonts w:ascii="Times New Roman" w:hAnsi="Times New Roman" w:cs="Times New Roman"/>
              <w:color w:val="000000"/>
              <w:sz w:val="21"/>
              <w:szCs w:val="21"/>
            </w:rPr>
            <w:t>. 2014; 15. &lt;https://doi.org/10.1186/s13059-014-0550-8&gt;.</w:t>
          </w:r>
        </w:p>
        <w:p w14:paraId="416D9F67" w14:textId="057F3971" w:rsidR="00A077EE" w:rsidRPr="006D3D41" w:rsidRDefault="00E9463D" w:rsidP="006D3D41">
          <w:pPr>
            <w:jc w:val="both"/>
          </w:pPr>
          <w:r w:rsidRPr="00E9463D">
            <w:rPr>
              <w:color w:val="000000"/>
            </w:rPr>
            <w:t> </w:t>
          </w:r>
        </w:p>
      </w:sdtContent>
    </w:sdt>
    <w:sectPr w:rsidR="00A077EE" w:rsidRPr="006D3D41" w:rsidSect="006D3D41">
      <w:pgSz w:w="11906" w:h="16838"/>
      <w:pgMar w:top="1440" w:right="1800" w:bottom="1440" w:left="1800" w:header="851" w:footer="992" w:gutter="0"/>
      <w:lnNumType w:countBy="1" w:restart="continuous"/>
      <w:cols w:space="425"/>
      <w:docGrid w:type="lines"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71AF7"/>
    <w:multiLevelType w:val="hybridMultilevel"/>
    <w:tmpl w:val="813EB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63866"/>
    <w:multiLevelType w:val="multilevel"/>
    <w:tmpl w:val="0B963866"/>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2AB3519D"/>
    <w:multiLevelType w:val="multilevel"/>
    <w:tmpl w:val="A0F45A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DAF1F9E"/>
    <w:multiLevelType w:val="singleLevel"/>
    <w:tmpl w:val="2DAF1F9E"/>
    <w:lvl w:ilvl="0">
      <w:start w:val="1"/>
      <w:numFmt w:val="decimal"/>
      <w:suff w:val="space"/>
      <w:lvlText w:val="(%1)"/>
      <w:lvlJc w:val="left"/>
    </w:lvl>
  </w:abstractNum>
  <w:abstractNum w:abstractNumId="4" w15:restartNumberingAfterBreak="0">
    <w:nsid w:val="344446F4"/>
    <w:multiLevelType w:val="hybridMultilevel"/>
    <w:tmpl w:val="34924C00"/>
    <w:lvl w:ilvl="0" w:tplc="63A07364">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9850341">
    <w:abstractNumId w:val="1"/>
  </w:num>
  <w:num w:numId="2" w16cid:durableId="1262109832">
    <w:abstractNumId w:val="3"/>
  </w:num>
  <w:num w:numId="3" w16cid:durableId="532884640">
    <w:abstractNumId w:val="2"/>
  </w:num>
  <w:num w:numId="4" w16cid:durableId="815730780">
    <w:abstractNumId w:val="0"/>
  </w:num>
  <w:num w:numId="5" w16cid:durableId="1542296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embedSystemFonts/>
  <w:bordersDoNotSurroundHeader/>
  <w:bordersDoNotSurroundFooter/>
  <w:hideSpellingErrors/>
  <w:hideGrammaticalErrors/>
  <w:defaultTabStop w:val="420"/>
  <w:drawingGridHorizontalSpacing w:val="120"/>
  <w:drawingGridVerticalSpacing w:val="163"/>
  <w:displayHorizontalDrawingGridEvery w:val="2"/>
  <w:displayVerticalDrawingGridEvery w:val="2"/>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MzMWIyMGQzOGIxNjRlZTdiODIzN2RmZTFlNzkwM2IifQ=="/>
  </w:docVars>
  <w:rsids>
    <w:rsidRoot w:val="51D50D15"/>
    <w:rsid w:val="00017269"/>
    <w:rsid w:val="00024556"/>
    <w:rsid w:val="00036E45"/>
    <w:rsid w:val="00065E90"/>
    <w:rsid w:val="0007007B"/>
    <w:rsid w:val="000A7032"/>
    <w:rsid w:val="000B0173"/>
    <w:rsid w:val="000F75FE"/>
    <w:rsid w:val="00115ACD"/>
    <w:rsid w:val="001272C2"/>
    <w:rsid w:val="00141470"/>
    <w:rsid w:val="00147E4F"/>
    <w:rsid w:val="00166C3F"/>
    <w:rsid w:val="00170302"/>
    <w:rsid w:val="00185A4E"/>
    <w:rsid w:val="00187C3B"/>
    <w:rsid w:val="001A2486"/>
    <w:rsid w:val="001A26C2"/>
    <w:rsid w:val="001B320E"/>
    <w:rsid w:val="001B7147"/>
    <w:rsid w:val="001C1103"/>
    <w:rsid w:val="001D0ABE"/>
    <w:rsid w:val="001E4B25"/>
    <w:rsid w:val="001F52E3"/>
    <w:rsid w:val="002107CB"/>
    <w:rsid w:val="00225920"/>
    <w:rsid w:val="00235424"/>
    <w:rsid w:val="002664A0"/>
    <w:rsid w:val="002B2DCF"/>
    <w:rsid w:val="002C36E6"/>
    <w:rsid w:val="002C4D60"/>
    <w:rsid w:val="002D5173"/>
    <w:rsid w:val="002E0540"/>
    <w:rsid w:val="002E76CB"/>
    <w:rsid w:val="002F101A"/>
    <w:rsid w:val="003163CD"/>
    <w:rsid w:val="0032747A"/>
    <w:rsid w:val="0033083E"/>
    <w:rsid w:val="003347FD"/>
    <w:rsid w:val="00346B22"/>
    <w:rsid w:val="00355082"/>
    <w:rsid w:val="003574D9"/>
    <w:rsid w:val="003C1CD8"/>
    <w:rsid w:val="003C3B39"/>
    <w:rsid w:val="003F2391"/>
    <w:rsid w:val="003F3C03"/>
    <w:rsid w:val="003F4423"/>
    <w:rsid w:val="003F511B"/>
    <w:rsid w:val="00424F82"/>
    <w:rsid w:val="004440ED"/>
    <w:rsid w:val="004459C5"/>
    <w:rsid w:val="004475CC"/>
    <w:rsid w:val="00450D44"/>
    <w:rsid w:val="0045216D"/>
    <w:rsid w:val="0046131A"/>
    <w:rsid w:val="004D578B"/>
    <w:rsid w:val="00504B53"/>
    <w:rsid w:val="005378E6"/>
    <w:rsid w:val="0056725B"/>
    <w:rsid w:val="0058574A"/>
    <w:rsid w:val="005A63F6"/>
    <w:rsid w:val="005D0947"/>
    <w:rsid w:val="005D4799"/>
    <w:rsid w:val="005D5534"/>
    <w:rsid w:val="005D5B75"/>
    <w:rsid w:val="005D6A64"/>
    <w:rsid w:val="005F0A15"/>
    <w:rsid w:val="005F30D9"/>
    <w:rsid w:val="005F70EF"/>
    <w:rsid w:val="00635526"/>
    <w:rsid w:val="00637245"/>
    <w:rsid w:val="00652BBB"/>
    <w:rsid w:val="00661A32"/>
    <w:rsid w:val="00675D7E"/>
    <w:rsid w:val="006A0390"/>
    <w:rsid w:val="006B4D9E"/>
    <w:rsid w:val="006C2004"/>
    <w:rsid w:val="006D3D41"/>
    <w:rsid w:val="006F1A79"/>
    <w:rsid w:val="0070627F"/>
    <w:rsid w:val="007213B2"/>
    <w:rsid w:val="0073609D"/>
    <w:rsid w:val="00765ADE"/>
    <w:rsid w:val="007A1633"/>
    <w:rsid w:val="007C0157"/>
    <w:rsid w:val="007C4312"/>
    <w:rsid w:val="007C6BED"/>
    <w:rsid w:val="007C7341"/>
    <w:rsid w:val="007C75D4"/>
    <w:rsid w:val="007D5051"/>
    <w:rsid w:val="007D5A1D"/>
    <w:rsid w:val="00800F3F"/>
    <w:rsid w:val="00801234"/>
    <w:rsid w:val="0081396A"/>
    <w:rsid w:val="008658CA"/>
    <w:rsid w:val="00880B6D"/>
    <w:rsid w:val="008876F9"/>
    <w:rsid w:val="008B073A"/>
    <w:rsid w:val="008D3696"/>
    <w:rsid w:val="008E6DFC"/>
    <w:rsid w:val="008F4E53"/>
    <w:rsid w:val="009061F3"/>
    <w:rsid w:val="0093527B"/>
    <w:rsid w:val="009446B9"/>
    <w:rsid w:val="00952B30"/>
    <w:rsid w:val="009602FF"/>
    <w:rsid w:val="0097173D"/>
    <w:rsid w:val="00971FE2"/>
    <w:rsid w:val="00974678"/>
    <w:rsid w:val="009F5716"/>
    <w:rsid w:val="009F705F"/>
    <w:rsid w:val="00A05114"/>
    <w:rsid w:val="00A077EE"/>
    <w:rsid w:val="00A455B0"/>
    <w:rsid w:val="00A511AC"/>
    <w:rsid w:val="00A629FE"/>
    <w:rsid w:val="00A62BDB"/>
    <w:rsid w:val="00A757EA"/>
    <w:rsid w:val="00A95376"/>
    <w:rsid w:val="00A97100"/>
    <w:rsid w:val="00AA4887"/>
    <w:rsid w:val="00AB0D9A"/>
    <w:rsid w:val="00AB6CE3"/>
    <w:rsid w:val="00AE15B6"/>
    <w:rsid w:val="00B17015"/>
    <w:rsid w:val="00B537AF"/>
    <w:rsid w:val="00B608EB"/>
    <w:rsid w:val="00B62538"/>
    <w:rsid w:val="00BA4B4A"/>
    <w:rsid w:val="00BA4B8A"/>
    <w:rsid w:val="00BB76E3"/>
    <w:rsid w:val="00BE5091"/>
    <w:rsid w:val="00BF77F8"/>
    <w:rsid w:val="00C2590E"/>
    <w:rsid w:val="00C41E1F"/>
    <w:rsid w:val="00C62C15"/>
    <w:rsid w:val="00C764D6"/>
    <w:rsid w:val="00C84F68"/>
    <w:rsid w:val="00CD35E4"/>
    <w:rsid w:val="00CD4532"/>
    <w:rsid w:val="00D012E3"/>
    <w:rsid w:val="00D1705E"/>
    <w:rsid w:val="00D35631"/>
    <w:rsid w:val="00D557A7"/>
    <w:rsid w:val="00D61361"/>
    <w:rsid w:val="00D76748"/>
    <w:rsid w:val="00DB0228"/>
    <w:rsid w:val="00DD2FB2"/>
    <w:rsid w:val="00DD4324"/>
    <w:rsid w:val="00E220EF"/>
    <w:rsid w:val="00E46166"/>
    <w:rsid w:val="00E76200"/>
    <w:rsid w:val="00E9463D"/>
    <w:rsid w:val="00EB16DE"/>
    <w:rsid w:val="00EB3278"/>
    <w:rsid w:val="00EF0543"/>
    <w:rsid w:val="00EF064F"/>
    <w:rsid w:val="00F108ED"/>
    <w:rsid w:val="00F32AC0"/>
    <w:rsid w:val="00F53E83"/>
    <w:rsid w:val="00F54E5D"/>
    <w:rsid w:val="00F57821"/>
    <w:rsid w:val="00F61FB5"/>
    <w:rsid w:val="00FC7F4C"/>
    <w:rsid w:val="00FD16E3"/>
    <w:rsid w:val="00FD6FF6"/>
    <w:rsid w:val="00FD79C7"/>
    <w:rsid w:val="00FF1E13"/>
    <w:rsid w:val="00FF1E79"/>
    <w:rsid w:val="00FF6623"/>
    <w:rsid w:val="037C79DA"/>
    <w:rsid w:val="04F66284"/>
    <w:rsid w:val="05526F28"/>
    <w:rsid w:val="06444A19"/>
    <w:rsid w:val="066A3FE3"/>
    <w:rsid w:val="0EA80A3E"/>
    <w:rsid w:val="0EEC7E92"/>
    <w:rsid w:val="107A7A27"/>
    <w:rsid w:val="13270A1E"/>
    <w:rsid w:val="1B1A206D"/>
    <w:rsid w:val="1DE93395"/>
    <w:rsid w:val="23A06EF7"/>
    <w:rsid w:val="245579EB"/>
    <w:rsid w:val="261A7FD1"/>
    <w:rsid w:val="27FD2EBC"/>
    <w:rsid w:val="2A342BBC"/>
    <w:rsid w:val="2BBC18B1"/>
    <w:rsid w:val="2D6541B7"/>
    <w:rsid w:val="3153143F"/>
    <w:rsid w:val="315F679D"/>
    <w:rsid w:val="316B27E6"/>
    <w:rsid w:val="31E171FA"/>
    <w:rsid w:val="399860D0"/>
    <w:rsid w:val="3AA50EC6"/>
    <w:rsid w:val="3EBF64F2"/>
    <w:rsid w:val="41AA6C17"/>
    <w:rsid w:val="44A5718C"/>
    <w:rsid w:val="4AAB5684"/>
    <w:rsid w:val="5078285E"/>
    <w:rsid w:val="50A22564"/>
    <w:rsid w:val="51D50D15"/>
    <w:rsid w:val="53F6379B"/>
    <w:rsid w:val="549744F6"/>
    <w:rsid w:val="559D56EE"/>
    <w:rsid w:val="55DB38B5"/>
    <w:rsid w:val="5743402E"/>
    <w:rsid w:val="5909515E"/>
    <w:rsid w:val="5C775101"/>
    <w:rsid w:val="6026230A"/>
    <w:rsid w:val="652C0822"/>
    <w:rsid w:val="655774BA"/>
    <w:rsid w:val="66196403"/>
    <w:rsid w:val="668823F7"/>
    <w:rsid w:val="68233B01"/>
    <w:rsid w:val="685810D0"/>
    <w:rsid w:val="698042C3"/>
    <w:rsid w:val="6BB14583"/>
    <w:rsid w:val="70B43191"/>
    <w:rsid w:val="727B32C3"/>
    <w:rsid w:val="79FB79EC"/>
    <w:rsid w:val="7B943A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FFBA57F"/>
  <w15:docId w15:val="{1E400CB2-49B9-47A6-B274-142B7AB44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iPriority="9"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宋体" w:hAnsi="宋体" w:cs="宋体"/>
      <w:sz w:val="24"/>
      <w:szCs w:val="2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widowControl w:val="0"/>
      <w:spacing w:before="260" w:after="260" w:line="416" w:lineRule="auto"/>
      <w:jc w:val="both"/>
      <w:outlineLvl w:val="2"/>
    </w:pPr>
    <w:rPr>
      <w:rFonts w:asciiTheme="minorHAnsi" w:eastAsiaTheme="minorEastAsia" w:hAnsiTheme="minorHAnsi" w:cstheme="minorBidi"/>
      <w:b/>
      <w:bCs/>
      <w:kern w:val="2"/>
      <w:sz w:val="32"/>
      <w:szCs w:val="32"/>
    </w:rPr>
  </w:style>
  <w:style w:type="paragraph" w:styleId="4">
    <w:name w:val="heading 4"/>
    <w:basedOn w:val="a"/>
    <w:next w:val="a"/>
    <w:uiPriority w:val="9"/>
    <w:unhideWhenUsed/>
    <w:qFormat/>
    <w:pPr>
      <w:keepNext/>
      <w:keepLines/>
      <w:widowControl w:val="0"/>
      <w:spacing w:before="280" w:after="290" w:line="376" w:lineRule="auto"/>
      <w:jc w:val="both"/>
      <w:outlineLvl w:val="3"/>
    </w:pPr>
    <w:rPr>
      <w:rFonts w:asciiTheme="majorHAnsi" w:eastAsiaTheme="majorEastAsia" w:hAnsiTheme="majorHAnsi" w:cstheme="majorBidi"/>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widowControl w:val="0"/>
    </w:pPr>
    <w:rPr>
      <w:rFonts w:asciiTheme="minorHAnsi" w:eastAsiaTheme="minorEastAsia" w:hAnsiTheme="minorHAnsi" w:cstheme="minorBidi"/>
      <w:kern w:val="2"/>
      <w:sz w:val="21"/>
    </w:rPr>
  </w:style>
  <w:style w:type="paragraph" w:styleId="a5">
    <w:name w:val="Balloon Text"/>
    <w:basedOn w:val="a"/>
    <w:link w:val="a6"/>
    <w:qFormat/>
    <w:pPr>
      <w:widowControl w:val="0"/>
      <w:jc w:val="both"/>
    </w:pPr>
    <w:rPr>
      <w:rFonts w:hAnsiTheme="minorHAnsi" w:cstheme="minorBidi"/>
      <w:kern w:val="2"/>
      <w:sz w:val="18"/>
      <w:szCs w:val="18"/>
    </w:rPr>
  </w:style>
  <w:style w:type="paragraph" w:styleId="a7">
    <w:name w:val="footer"/>
    <w:basedOn w:val="a"/>
    <w:link w:val="a8"/>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9">
    <w:name w:val="header"/>
    <w:basedOn w:val="a"/>
    <w:link w:val="aa"/>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b">
    <w:name w:val="annotation subject"/>
    <w:basedOn w:val="a3"/>
    <w:next w:val="a3"/>
    <w:link w:val="ac"/>
    <w:qFormat/>
    <w:rPr>
      <w:b/>
      <w:bCs/>
    </w:rPr>
  </w:style>
  <w:style w:type="table" w:styleId="ad">
    <w:name w:val="Table Grid"/>
    <w:basedOn w:val="a1"/>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qFormat/>
    <w:rPr>
      <w:color w:val="0000FF"/>
      <w:u w:val="single"/>
    </w:rPr>
  </w:style>
  <w:style w:type="character" w:styleId="af">
    <w:name w:val="annotation reference"/>
    <w:basedOn w:val="a0"/>
    <w:qFormat/>
    <w:rPr>
      <w:sz w:val="21"/>
      <w:szCs w:val="21"/>
    </w:rPr>
  </w:style>
  <w:style w:type="table" w:customStyle="1" w:styleId="1">
    <w:name w:val="网格型浅色1"/>
    <w:basedOn w:val="a1"/>
    <w:uiPriority w:val="40"/>
    <w:qFormat/>
    <w:rPr>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0">
    <w:name w:val="附内"/>
    <w:basedOn w:val="a"/>
    <w:qFormat/>
    <w:pPr>
      <w:widowControl w:val="0"/>
      <w:spacing w:line="400" w:lineRule="exact"/>
    </w:pPr>
    <w:rPr>
      <w:rFonts w:asciiTheme="minorHAnsi" w:hAnsiTheme="minorHAnsi" w:cstheme="minorBidi"/>
      <w:kern w:val="2"/>
    </w:rPr>
  </w:style>
  <w:style w:type="table" w:customStyle="1" w:styleId="61">
    <w:name w:val="清单表 6 彩色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6">
    <w:name w:val="批注框文本 字符"/>
    <w:basedOn w:val="a0"/>
    <w:link w:val="a5"/>
    <w:qFormat/>
    <w:rPr>
      <w:rFonts w:ascii="宋体" w:hAnsiTheme="minorHAnsi" w:cstheme="minorBidi"/>
      <w:kern w:val="2"/>
      <w:sz w:val="18"/>
      <w:szCs w:val="18"/>
    </w:rPr>
  </w:style>
  <w:style w:type="character" w:customStyle="1" w:styleId="aa">
    <w:name w:val="页眉 字符"/>
    <w:basedOn w:val="a0"/>
    <w:link w:val="a9"/>
    <w:qFormat/>
    <w:rPr>
      <w:rFonts w:asciiTheme="minorHAnsi" w:eastAsiaTheme="minorEastAsia" w:hAnsiTheme="minorHAnsi" w:cstheme="minorBidi"/>
      <w:kern w:val="2"/>
      <w:sz w:val="18"/>
      <w:szCs w:val="18"/>
    </w:rPr>
  </w:style>
  <w:style w:type="character" w:customStyle="1" w:styleId="a8">
    <w:name w:val="页脚 字符"/>
    <w:basedOn w:val="a0"/>
    <w:link w:val="a7"/>
    <w:qFormat/>
    <w:rPr>
      <w:rFonts w:asciiTheme="minorHAnsi" w:eastAsiaTheme="minorEastAsia" w:hAnsiTheme="minorHAnsi" w:cstheme="minorBidi"/>
      <w:kern w:val="2"/>
      <w:sz w:val="18"/>
      <w:szCs w:val="18"/>
    </w:rPr>
  </w:style>
  <w:style w:type="character" w:customStyle="1" w:styleId="a4">
    <w:name w:val="批注文字 字符"/>
    <w:basedOn w:val="a0"/>
    <w:link w:val="a3"/>
    <w:qFormat/>
    <w:rPr>
      <w:rFonts w:asciiTheme="minorHAnsi" w:eastAsiaTheme="minorEastAsia" w:hAnsiTheme="minorHAnsi" w:cstheme="minorBidi"/>
      <w:kern w:val="2"/>
      <w:sz w:val="21"/>
      <w:szCs w:val="24"/>
    </w:rPr>
  </w:style>
  <w:style w:type="character" w:customStyle="1" w:styleId="ac">
    <w:name w:val="批注主题 字符"/>
    <w:basedOn w:val="a4"/>
    <w:link w:val="ab"/>
    <w:qFormat/>
    <w:rPr>
      <w:rFonts w:asciiTheme="minorHAnsi" w:eastAsiaTheme="minorEastAsia" w:hAnsiTheme="minorHAnsi" w:cstheme="minorBidi"/>
      <w:b/>
      <w:bCs/>
      <w:kern w:val="2"/>
      <w:sz w:val="21"/>
      <w:szCs w:val="24"/>
    </w:rPr>
  </w:style>
  <w:style w:type="paragraph" w:customStyle="1" w:styleId="10">
    <w:name w:val="修订1"/>
    <w:hidden/>
    <w:uiPriority w:val="99"/>
    <w:semiHidden/>
    <w:qFormat/>
    <w:rPr>
      <w:rFonts w:asciiTheme="minorHAnsi" w:eastAsiaTheme="minorEastAsia" w:hAnsiTheme="minorHAnsi" w:cstheme="minorBidi"/>
      <w:kern w:val="2"/>
      <w:sz w:val="21"/>
      <w:szCs w:val="24"/>
    </w:rPr>
  </w:style>
  <w:style w:type="character" w:customStyle="1" w:styleId="30">
    <w:name w:val="标题 3 字符"/>
    <w:basedOn w:val="a0"/>
    <w:link w:val="3"/>
    <w:uiPriority w:val="9"/>
    <w:qFormat/>
    <w:rPr>
      <w:rFonts w:asciiTheme="minorHAnsi" w:eastAsiaTheme="minorEastAsia" w:hAnsiTheme="minorHAnsi" w:cstheme="minorBidi"/>
      <w:b/>
      <w:bCs/>
      <w:kern w:val="2"/>
      <w:sz w:val="32"/>
      <w:szCs w:val="32"/>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paragraph" w:styleId="af1">
    <w:name w:val="List Paragraph"/>
    <w:basedOn w:val="a"/>
    <w:uiPriority w:val="99"/>
    <w:qFormat/>
    <w:pPr>
      <w:ind w:firstLineChars="200" w:firstLine="420"/>
    </w:pPr>
  </w:style>
  <w:style w:type="character" w:styleId="af2">
    <w:name w:val="Placeholder Text"/>
    <w:basedOn w:val="a0"/>
    <w:uiPriority w:val="99"/>
    <w:semiHidden/>
    <w:rsid w:val="00E9463D"/>
    <w:rPr>
      <w:color w:val="666666"/>
    </w:rPr>
  </w:style>
  <w:style w:type="character" w:styleId="af3">
    <w:name w:val="line number"/>
    <w:basedOn w:val="a0"/>
    <w:rsid w:val="006D3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99747">
      <w:bodyDiv w:val="1"/>
      <w:marLeft w:val="0"/>
      <w:marRight w:val="0"/>
      <w:marTop w:val="0"/>
      <w:marBottom w:val="0"/>
      <w:divBdr>
        <w:top w:val="none" w:sz="0" w:space="0" w:color="auto"/>
        <w:left w:val="none" w:sz="0" w:space="0" w:color="auto"/>
        <w:bottom w:val="none" w:sz="0" w:space="0" w:color="auto"/>
        <w:right w:val="none" w:sz="0" w:space="0" w:color="auto"/>
      </w:divBdr>
    </w:div>
    <w:div w:id="592318872">
      <w:bodyDiv w:val="1"/>
      <w:marLeft w:val="0"/>
      <w:marRight w:val="0"/>
      <w:marTop w:val="0"/>
      <w:marBottom w:val="0"/>
      <w:divBdr>
        <w:top w:val="none" w:sz="0" w:space="0" w:color="auto"/>
        <w:left w:val="none" w:sz="0" w:space="0" w:color="auto"/>
        <w:bottom w:val="none" w:sz="0" w:space="0" w:color="auto"/>
        <w:right w:val="none" w:sz="0" w:space="0" w:color="auto"/>
      </w:divBdr>
      <w:divsChild>
        <w:div w:id="1875189323">
          <w:marLeft w:val="640"/>
          <w:marRight w:val="0"/>
          <w:marTop w:val="0"/>
          <w:marBottom w:val="0"/>
          <w:divBdr>
            <w:top w:val="none" w:sz="0" w:space="0" w:color="auto"/>
            <w:left w:val="none" w:sz="0" w:space="0" w:color="auto"/>
            <w:bottom w:val="none" w:sz="0" w:space="0" w:color="auto"/>
            <w:right w:val="none" w:sz="0" w:space="0" w:color="auto"/>
          </w:divBdr>
        </w:div>
        <w:div w:id="1150484795">
          <w:marLeft w:val="640"/>
          <w:marRight w:val="0"/>
          <w:marTop w:val="0"/>
          <w:marBottom w:val="0"/>
          <w:divBdr>
            <w:top w:val="none" w:sz="0" w:space="0" w:color="auto"/>
            <w:left w:val="none" w:sz="0" w:space="0" w:color="auto"/>
            <w:bottom w:val="none" w:sz="0" w:space="0" w:color="auto"/>
            <w:right w:val="none" w:sz="0" w:space="0" w:color="auto"/>
          </w:divBdr>
        </w:div>
        <w:div w:id="2027242679">
          <w:marLeft w:val="640"/>
          <w:marRight w:val="0"/>
          <w:marTop w:val="0"/>
          <w:marBottom w:val="0"/>
          <w:divBdr>
            <w:top w:val="none" w:sz="0" w:space="0" w:color="auto"/>
            <w:left w:val="none" w:sz="0" w:space="0" w:color="auto"/>
            <w:bottom w:val="none" w:sz="0" w:space="0" w:color="auto"/>
            <w:right w:val="none" w:sz="0" w:space="0" w:color="auto"/>
          </w:divBdr>
        </w:div>
        <w:div w:id="2142992960">
          <w:marLeft w:val="640"/>
          <w:marRight w:val="0"/>
          <w:marTop w:val="0"/>
          <w:marBottom w:val="0"/>
          <w:divBdr>
            <w:top w:val="none" w:sz="0" w:space="0" w:color="auto"/>
            <w:left w:val="none" w:sz="0" w:space="0" w:color="auto"/>
            <w:bottom w:val="none" w:sz="0" w:space="0" w:color="auto"/>
            <w:right w:val="none" w:sz="0" w:space="0" w:color="auto"/>
          </w:divBdr>
        </w:div>
        <w:div w:id="805315962">
          <w:marLeft w:val="640"/>
          <w:marRight w:val="0"/>
          <w:marTop w:val="0"/>
          <w:marBottom w:val="0"/>
          <w:divBdr>
            <w:top w:val="none" w:sz="0" w:space="0" w:color="auto"/>
            <w:left w:val="none" w:sz="0" w:space="0" w:color="auto"/>
            <w:bottom w:val="none" w:sz="0" w:space="0" w:color="auto"/>
            <w:right w:val="none" w:sz="0" w:space="0" w:color="auto"/>
          </w:divBdr>
        </w:div>
        <w:div w:id="461729308">
          <w:marLeft w:val="640"/>
          <w:marRight w:val="0"/>
          <w:marTop w:val="0"/>
          <w:marBottom w:val="0"/>
          <w:divBdr>
            <w:top w:val="none" w:sz="0" w:space="0" w:color="auto"/>
            <w:left w:val="none" w:sz="0" w:space="0" w:color="auto"/>
            <w:bottom w:val="none" w:sz="0" w:space="0" w:color="auto"/>
            <w:right w:val="none" w:sz="0" w:space="0" w:color="auto"/>
          </w:divBdr>
        </w:div>
        <w:div w:id="1707678917">
          <w:marLeft w:val="640"/>
          <w:marRight w:val="0"/>
          <w:marTop w:val="0"/>
          <w:marBottom w:val="0"/>
          <w:divBdr>
            <w:top w:val="none" w:sz="0" w:space="0" w:color="auto"/>
            <w:left w:val="none" w:sz="0" w:space="0" w:color="auto"/>
            <w:bottom w:val="none" w:sz="0" w:space="0" w:color="auto"/>
            <w:right w:val="none" w:sz="0" w:space="0" w:color="auto"/>
          </w:divBdr>
        </w:div>
        <w:div w:id="1043753968">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oleObject" Target="embeddings/oleObject2.bin"/><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8.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oleObject" Target="embeddings/oleObject1.bin"/><Relationship Id="rId28" Type="http://schemas.openxmlformats.org/officeDocument/2006/relationships/image" Target="media/image20.w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oleObject" Target="embeddings/oleObject3.bin"/><Relationship Id="rId30" Type="http://schemas.openxmlformats.org/officeDocument/2006/relationships/image" Target="media/image21.jpeg"/><Relationship Id="rId8"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常规"/>
          <w:gallery w:val="placeholder"/>
        </w:category>
        <w:types>
          <w:type w:val="bbPlcHdr"/>
        </w:types>
        <w:behaviors>
          <w:behavior w:val="content"/>
        </w:behaviors>
        <w:guid w:val="{C604C5CE-E71B-EA4C-A776-63453A0B19A6}"/>
      </w:docPartPr>
      <w:docPartBody>
        <w:p w:rsidR="006A0446" w:rsidRDefault="005D1EE1">
          <w:r w:rsidRPr="000E4392">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EE1"/>
    <w:rsid w:val="002172AB"/>
    <w:rsid w:val="0032747A"/>
    <w:rsid w:val="00433DEE"/>
    <w:rsid w:val="004473F8"/>
    <w:rsid w:val="005D1EE1"/>
    <w:rsid w:val="006A0446"/>
    <w:rsid w:val="00B62538"/>
    <w:rsid w:val="00F578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D1EE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1653BE7-76B6-B54D-946E-72A35CF9B089}">
  <we:reference id="wa104382081" version="1.55.1.0" store="zh-CN" storeType="OMEX"/>
  <we:alternateReferences>
    <we:reference id="wa104382081" version="1.55.1.0" store="zh-CN" storeType="OMEX"/>
  </we:alternateReferences>
  <we:properties>
    <we:property name="MENDELEY_CITATIONS" value="[{&quot;citationID&quot;:&quot;MENDELEY_CITATION_414c2623-85d4-4da5-9651-69eb826d63b1&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&quot;,&quot;citationItems&quot;:[{&quot;id&quot;:&quot;ee2fb036-7925-306e-9ed8-b32433763d0c&quot;,&quot;itemData&quot;:{&quot;type&quot;:&quot;article-journal&quot;,&quot;id&quot;:&quot;ee2fb036-7925-306e-9ed8-b32433763d0c&quot;,&quot;title&quot;:&quot;SOAPnuke: A MapReduce acceleration-supported software for integrated quality control and preprocessing of high-throughput sequencing data&quot;,&quot;author&quot;:[{&quot;family&quot;:&quot;Chen&quot;,&quot;given&quot;:&quot;Yuxin&quot;,&quot;parse-names&quot;:false,&quot;dropping-particle&quot;:&quot;&quot;,&quot;non-dropping-particle&quot;:&quot;&quot;},{&quot;family&quot;:&quot;Chen&quot;,&quot;given&quot;:&quot;Yongsheng&quot;,&quot;parse-names&quot;:false,&quot;dropping-particle&quot;:&quot;&quot;,&quot;non-dropping-particle&quot;:&quot;&quot;},{&quot;family&quot;:&quot;Shi&quot;,&quot;given&quot;:&quot;Chunmei&quot;,&quot;parse-names&quot;:false,&quot;dropping-particle&quot;:&quot;&quot;,&quot;non-dropping-particle&quot;:&quot;&quot;},{&quot;family&quot;:&quot;Huang&quot;,&quot;given&quot;:&quot;Zhibo&quot;,&quot;parse-names&quot;:false,&quot;dropping-particle&quot;:&quot;&quot;,&quot;non-dropping-particle&quot;:&quot;&quot;},{&quot;family&quot;:&quot;Zhang&quot;,&quot;given&quot;:&quot;Yong&quot;,&quot;parse-names&quot;:false,&quot;dropping-particle&quot;:&quot;&quot;,&quot;non-dropping-particle&quot;:&quot;&quot;},{&quot;family&quot;:&quot;Li&quot;,&quot;given&quot;:&quot;Shengkang&quot;,&quot;parse-names&quot;:false,&quot;dropping-particle&quot;:&quot;&quot;,&quot;non-dropping-particle&quot;:&quot;&quot;},{&quot;family&quot;:&quot;Li&quot;,&quot;given&quot;:&quot;Yan&quot;,&quot;parse-names&quot;:false,&quot;dropping-particle&quot;:&quot;&quot;,&quot;non-dropping-particle&quot;:&quot;&quot;},{&quot;family&quot;:&quot;Ye&quot;,&quot;given&quot;:&quot;Jia&quot;,&quot;parse-names&quot;:false,&quot;dropping-particle&quot;:&quot;&quot;,&quot;non-dropping-particle&quot;:&quot;&quot;},{&quot;family&quot;:&quot;Yu&quot;,&quot;given&quot;:&quot;Chang&quot;,&quot;parse-names&quot;:false,&quot;dropping-particle&quot;:&quot;&quot;,&quot;non-dropping-particle&quot;:&quot;&quot;},{&quot;family&quot;:&quot;Li&quot;,&quot;given&quot;:&quot;Zhuo&quot;,&quot;parse-names&quot;:false,&quot;dropping-particle&quot;:&quot;&quot;,&quot;non-dropping-particle&quot;:&quot;&quot;},{&quot;family&quot;:&quot;Zhang&quot;,&quot;given&quot;:&quot;Xiuqing&quot;,&quot;parse-names&quot;:false,&quot;dropping-particle&quot;:&quot;&quot;,&quot;non-dropping-particle&quot;:&quot;&quot;},{&quot;family&quot;:&quot;Wang&quot;,&quot;given&quot;:&quot;Jian&quot;,&quot;parse-names&quot;:false,&quot;dropping-particle&quot;:&quot;&quot;,&quot;non-dropping-particle&quot;:&quot;&quot;},{&quot;family&quot;:&quot;Yang&quot;,&quot;given&quot;:&quot;Huanming&quot;,&quot;parse-names&quot;:false,&quot;dropping-particle&quot;:&quot;&quot;,&quot;non-dropping-particle&quot;:&quot;&quot;},{&quot;family&quot;:&quot;Fang&quot;,&quot;given&quot;:&quot;Lin&quot;,&quot;parse-names&quot;:false,&quot;dropping-particle&quot;:&quot;&quot;,&quot;non-dropping-particle&quot;:&quot;&quot;},{&quot;family&quot;:&quot;Chen&quot;,&quot;given&quot;:&quot;Qiang&quot;,&quot;parse-names&quot;:false,&quot;dropping-particle&quot;:&quot;&quot;,&quot;non-dropping-particle&quot;:&quot;&quot;}],&quot;container-title&quot;:&quot;GigaScience&quot;,&quot;container-title-short&quot;:&quot;Gigascience&quot;,&quot;DOI&quot;:&quot;10.1093/gigascience/gix120&quot;,&quot;ISSN&quot;:&quot;2047217X&quot;,&quot;PMID&quot;:&quot;29220494&quot;,&quot;issued&quot;:{&quot;date-parts&quot;:[[2018,1,1]]},&quot;page&quot;:&quot;1-6&quot;,&quot;abstract&quot;:&quot;Quality control (QC) and preprocessing are essential steps for sequencing data analysis to ensure the accuracy of results. However, existing tools cannot provide a satisfying solution with integrated comprehensive functions, proper architectures, and highly scalable acceleration. In this article, we demonstrate SOAPnuke as a tool with abundant functions for a \&quot;QC-Preprocess-QC\&quot; workflow and MapReduce acceleration framework. Four modules with different preprocessing functions are designed for processing datasets from genomic, small RNA, Digital Gene Expression, and metagenomic experiments, respectively. As a workflow-like tool, SOAPnuke centralizes processing functions into 1 executable and predefines their order to avoid the necessity of reformatting different files when switching tools. Furthermore, the MapReduce framework enables large scalability to distribute all the processing works to an entire compute cluster. We conducted a benchmarking where SOAPnuke and other tools are used to preprocess a ~30× NA12878 dataset published by GIAB. The standalone operation of SOAPnuke struck a balance between resource occupancy and performance. When accelerated on 16 working nodes with MapReduce, SOAPnuke achieved ~5.7 times the fastest speed of other tools.&quot;,&quot;publisher&quot;:&quot;Oxford University Press&quot;,&quot;issue&quot;:&quot;1&quot;,&quot;volume&quot;:&quot;7&quot;},&quot;isTemporary&quot;:false}]},{&quot;citationID&quot;:&quot;MENDELEY_CITATION_ced330a0-29ad-4c96-87d6-8fdd017a06fa&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&quot;,&quot;citationItems&quot;:[{&quot;id&quot;:&quot;4197ecb1-5d68-3b18-b04a-bda421aae5f2&quot;,&quot;itemData&quot;:{&quot;type&quot;:&quot;article-journal&quot;,&quot;id&quot;:&quot;4197ecb1-5d68-3b18-b04a-bda421aae5f2&quot;,&quot;title&quot;:&quot;SMAP: A streamlined methylation analysis pipeline for bisulfite sequencing&quot;,&quot;author&quot;:[{&quot;family&quot;:&quot;Gao&quot;,&quot;given&quot;:&quot;Shengjie&quot;,&quot;parse-names&quot;:false,&quot;dropping-particle&quot;:&quot;&quot;,&quot;non-dropping-particle&quot;:&quot;&quot;},{&quot;family&quot;:&quot;Zou&quot;,&quot;given&quot;:&quot;Dan&quot;,&quot;parse-names&quot;:false,&quot;dropping-particle&quot;:&quot;&quot;,&quot;non-dropping-particle&quot;:&quot;&quot;},{&quot;family&quot;:&quot;Mao&quot;,&quot;given&quot;:&quot;Likai&quot;,&quot;parse-names&quot;:false,&quot;dropping-particle&quot;:&quot;&quot;,&quot;non-dropping-particle&quot;:&quot;&quot;},{&quot;family&quot;:&quot;Zhou&quot;,&quot;given&quot;:&quot;Quan&quot;,&quot;parse-names&quot;:false,&quot;dropping-particle&quot;:&quot;&quot;,&quot;non-dropping-particle&quot;:&quot;&quot;},{&quot;family&quot;:&quot;Jia&quot;,&quot;given&quot;:&quot;Wenlong&quot;,&quot;parse-names&quot;:false,&quot;dropping-particle&quot;:&quot;&quot;,&quot;non-dropping-particle&quot;:&quot;&quot;},{&quot;family&quot;:&quot;Huang&quot;,&quot;given&quot;:&quot;Yi&quot;,&quot;parse-names&quot;:false,&quot;dropping-particle&quot;:&quot;&quot;,&quot;non-dropping-particle&quot;:&quot;&quot;},{&quot;family&quot;:&quot;Zhao&quot;,&quot;given&quot;:&quot;Shancen&quot;,&quot;parse-names&quot;:false,&quot;dropping-particle&quot;:&quot;&quot;,&quot;non-dropping-particle&quot;:&quot;&quot;},{&quot;family&quot;:&quot;Chen&quot;,&quot;given&quot;:&quot;Gang&quot;,&quot;parse-names&quot;:false,&quot;dropping-particle&quot;:&quot;&quot;,&quot;non-dropping-particle&quot;:&quot;&quot;},{&quot;family&quot;:&quot;Wu&quot;,&quot;given&quot;:&quot;Song&quot;,&quot;parse-names&quot;:false,&quot;dropping-particle&quot;:&quot;&quot;,&quot;non-dropping-particle&quot;:&quot;&quot;},{&quot;family&quot;:&quot;Li&quot;,&quot;given&quot;:&quot;Dongdong&quot;,&quot;parse-names&quot;:false,&quot;dropping-particle&quot;:&quot;&quot;,&quot;non-dropping-particle&quot;:&quot;&quot;},{&quot;family&quot;:&quot;Xia&quot;,&quot;given&quot;:&quot;Fei&quot;,&quot;parse-names&quot;:false,&quot;dropping-particle&quot;:&quot;&quot;,&quot;non-dropping-particle&quot;:&quot;&quot;},{&quot;family&quot;:&quot;Chen&quot;,&quot;given&quot;:&quot;Huafeng&quot;,&quot;parse-names&quot;:false,&quot;dropping-particle&quot;:&quot;&quot;,&quot;non-dropping-particle&quot;:&quot;&quot;},{&quot;family&quot;:&quot;Chen&quot;,&quot;given&quot;:&quot;Maoshan&quot;,&quot;parse-names&quot;:false,&quot;dropping-particle&quot;:&quot;&quot;,&quot;non-dropping-particle&quot;:&quot;&quot;},{&quot;family&quot;:&quot;Ørntoft&quot;,&quot;given&quot;:&quot;Torben F.&quot;,&quot;parse-names&quot;:false,&quot;dropping-particle&quot;:&quot;&quot;,&quot;non-dropping-particle&quot;:&quot;&quot;},{&quot;family&quot;:&quot;Bolund&quot;,&quot;given&quot;:&quot;Lars&quot;,&quot;parse-names&quot;:false,&quot;dropping-particle&quot;:&quot;&quot;,&quot;non-dropping-particle&quot;:&quot;&quot;},{&quot;family&quot;:&quot;Sørensen&quot;,&quot;given&quot;:&quot;Karina D.&quot;,&quot;parse-names&quot;:false,&quot;dropping-particle&quot;:&quot;&quot;,&quot;non-dropping-particle&quot;:&quot;&quot;}],&quot;container-title&quot;:&quot;GigaScience&quot;,&quot;container-title-short&quot;:&quot;Gigascience&quot;,&quot;DOI&quot;:&quot;10.1186/s13742-015-0070-9&quot;,&quot;ISSN&quot;:&quot;2047217X&quot;,&quot;PMID&quot;:&quot;26140213&quot;,&quot;issued&quot;:{&quot;date-parts&quot;:[[2015]]},&quot;abstract&quot;:&quot;Background: DNA methylation has important roles in the regulation of gene expression and cellular specification. Reduced representation bisulfite sequencing (RRBS) has prevailed in methylation studies due to its costeffectiveness and single-base resolution. The rapid accumulation of RRBS data demands well designed analytical tools. Findings: To streamline the data processing of DNA methylation from multiple RRBS samples, we present a flexible pipeline named SMAP, whose features include: (i) handling of single-and/or paired-end diverse bisulfite sequencing data with reduced false-positive rates in differentially methylated regions; (ii) detection of allele-specific methylation events with improved algorithms; (iii) a built-in pipeline for detection of novel single nucleotide polymorphisms (SNPs); (iv) support of multiple user-defined restriction enzymes; (v) conduction of all methylation analyses in a single-step operation when well configured. Conclusions: Simulation and experimental data validated the high accuracy of SMAP for SNP detection and methylation identification. Most analyses required in methylation studies (such as estimation of methylation levels, differentially methylated cytosine groups, and allele-specific methylation regions) can be executed readily with SMAP. All raw data from diverse samples could be processed in parallel and 'packetized' streams. A simple user guide to the methylation applications is also provided.&quot;,&quot;publisher&quot;:&quot;BioMed Central Ltd.&quot;,&quot;issue&quot;:&quot;1&quot;,&quot;volume&quot;:&quot;4&quot;},&quot;isTemporary&quot;:false}]},{&quot;citationID&quot;:&quot;MENDELEY_CITATION_ef095c66-566e-4a97-9df8-262a2eb5ee86&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&quot;,&quot;citationItems&quot;:[{&quot;id&quot;:&quot;976064e6-39c3-385a-9715-5bd1a9184522&quot;,&quot;itemData&quot;:{&quot;type&quot;:&quot;paper-conference&quot;,&quot;id&quot;:&quot;976064e6-39c3-385a-9715-5bd1a9184522&quot;,&quot;title&quot;:&quot;Fastp: An ultra-fast all-in-one FASTQ preprocessor&quot;,&quot;author&quot;:[{&quot;family&quot;:&quot;Chen&quot;,&quot;given&quot;:&quot;Shifu&quot;,&quot;parse-names&quot;:false,&quot;dropping-particle&quot;:&quot;&quot;,&quot;non-dropping-particle&quot;:&quot;&quot;},{&quot;family&quot;:&quot;Zhou&quot;,&quot;given&quot;:&quot;Yanqing&quot;,&quot;parse-names&quot;:false,&quot;dropping-particle&quot;:&quot;&quot;,&quot;non-dropping-particle&quot;:&quot;&quot;},{&quot;family&quot;:&quot;Chen&quot;,&quot;given&quot;:&quot;Yaru&quot;,&quot;parse-names&quot;:false,&quot;dropping-particle&quot;:&quot;&quot;,&quot;non-dropping-particle&quot;:&quot;&quot;},{&quot;family&quot;:&quot;Gu&quot;,&quot;given&quot;:&quot;Jia&quot;,&quot;parse-names&quot;:false,&quot;dropping-particle&quot;:&quot;&quot;,&quot;non-dropping-particle&quot;:&quot;&quot;}],&quot;container-title&quot;:&quot;Bioinformatics&quot;,&quot;DOI&quot;:&quot;10.1093/bioinformatics/bty560&quot;,&quot;ISSN&quot;:&quot;14602059&quot;,&quot;PMID&quot;:&quot;30423086&quot;,&quot;issued&quot;:{&quot;date-parts&quot;:[[2018,9,1]]},&quot;page&quot;:&quot;i884-i890&quot;,&quot;abstract&quot;:&quot;Motivation Quality control and preprocessing of FASTQ files are essential to providing clean data for downstream analysis. Traditionally, a different tool is used for each operation, such as quality control, adapter trimming and quality filtering. These tools are often insufficiently fast as most are developed using high-level programming languages (e.g. Python and Java) and provide limited multi-threading support. Reading and loading data multiple times also renders preprocessing slow and I/O inefficient. Results We developed fastp as an ultra-fast FASTQ preprocessor with useful quality control and data-filtering features. It can perform quality control, adapter trimming, quality filtering, per-read quality pruning and many other operations with a single scan of the FASTQ data. This tool is developed in C++ and has multi-threading support. Based on our evaluation, fastp is 2-5 times faster than other FASTQ preprocessing tools such as Trimmomatic or Cutadapt despite performing far more operations than similar tools. Availability and implementation The open-source code and corresponding instructions are available at https://github.com/OpenGene/fastp.&quot;,&quot;publisher&quot;:&quot;Oxford University Press&quot;,&quot;issue&quot;:&quot;17&quot;,&quot;volume&quot;:&quot;34&quot;,&quot;container-title-short&quot;:&quot;&quot;},&quot;isTemporary&quot;:false}]},{&quot;citationID&quot;:&quot;MENDELEY_CITATION_6b99f3f1-3130-4d2a-85ea-4b935006356e&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&quot;,&quot;citationItems&quot;:[{&quot;id&quot;:&quot;d29bd29f-b348-3158-b8de-5c7bb5eff6aa&quot;,&quot;itemData&quot;:{&quot;type&quot;:&quot;article-journal&quot;,&quot;id&quot;:&quot;d29bd29f-b348-3158-b8de-5c7bb5eff6aa&quot;,&quot;title&quot;:&quot;Fast and accurate short read alignment with Burrows-Wheeler transform&quot;,&quot;author&quot;:[{&quot;family&quot;:&quot;Li&quot;,&quot;given&quot;:&quot;Heng&quot;,&quot;parse-names&quot;:false,&quot;dropping-particle&quot;:&quot;&quot;,&quot;non-dropping-particle&quot;:&quot;&quot;},{&quot;family&quot;:&quot;Durbin&quot;,&quot;given&quot;:&quot;Richard&quot;,&quot;parse-names&quot;:false,&quot;dropping-particle&quot;:&quot;&quot;,&quot;non-dropping-particle&quot;:&quot;&quot;}],&quot;container-title&quot;:&quot;Bioinformatics&quot;,&quot;DOI&quot;:&quot;10.1093/bioinformatics/btp324&quot;,&quot;ISSN&quot;:&quot;13674803&quot;,&quot;PMID&quot;:&quot;19451168&quot;,&quot;issued&quot;:{&quot;date-parts&quot;:[[2009,7]]},&quot;page&quot;:&quot;1754-1760&quot;,&quot;abstract&quot;:&quot;Motivation: The enormous amount of short reads generated by the new DNA sequencing technologies call for the development of fast and accurate read alignment programs. A first generation of hash table-based methods has been developed, including MAQ, which is accurate, feature rich and fast enough to align short reads from a single individual. However, MAQ does not support gapped alignment for single-end reads, which makes it unsuitable for alignment of longer reads where indels may occur frequently. The speed of MAQ is also a concern when the alignment is scaled up to the resequencing of hundreds of individuals. Results: We implemented Burrows-Wheeler Alignment tool (BWA), a new read alignment package that is based on backward search with Burrows-Wheeler Transform (BWT), to efficiently align short sequencing reads against a large reference sequence such as the human genome, allowing mismatches and gaps. BWA supports both base space reads, e.g. from Illumina sequencing machines, and color space reads from AB SOLiD machines. Evaluations on both simulated and real data suggest that BWA is ∼10-20× faster than MAQ, while achieving similar accuracy. In addition, BWA outputs alignment in the new standard SAM (Sequence Alignment/Map) format. Variant calling and other downstream analyses after the alignment can be achieved with the open source SAMtools software package. © 2009 The Author(s).&quot;,&quot;issue&quot;:&quot;14&quot;,&quot;volume&quot;:&quot;25&quot;,&quot;container-title-short&quot;:&quot;&quot;},&quot;isTemporary&quot;:false}]},{&quot;citationID&quot;:&quot;MENDELEY_CITATION_4304ee1d-8cb2-42d4-a3fa-b39ce1e7b182&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&quot;,&quot;citationItems&quot;:[{&quot;id&quot;:&quot;4197ecb1-5d68-3b18-b04a-bda421aae5f2&quot;,&quot;itemData&quot;:{&quot;type&quot;:&quot;article-journal&quot;,&quot;id&quot;:&quot;4197ecb1-5d68-3b18-b04a-bda421aae5f2&quot;,&quot;title&quot;:&quot;SMAP: A streamlined methylation analysis pipeline for bisulfite sequencing&quot;,&quot;author&quot;:[{&quot;family&quot;:&quot;Gao&quot;,&quot;given&quot;:&quot;Shengjie&quot;,&quot;parse-names&quot;:false,&quot;dropping-particle&quot;:&quot;&quot;,&quot;non-dropping-particle&quot;:&quot;&quot;},{&quot;family&quot;:&quot;Zou&quot;,&quot;given&quot;:&quot;Dan&quot;,&quot;parse-names&quot;:false,&quot;dropping-particle&quot;:&quot;&quot;,&quot;non-dropping-particle&quot;:&quot;&quot;},{&quot;family&quot;:&quot;Mao&quot;,&quot;given&quot;:&quot;Likai&quot;,&quot;parse-names&quot;:false,&quot;dropping-particle&quot;:&quot;&quot;,&quot;non-dropping-particle&quot;:&quot;&quot;},{&quot;family&quot;:&quot;Zhou&quot;,&quot;given&quot;:&quot;Quan&quot;,&quot;parse-names&quot;:false,&quot;dropping-particle&quot;:&quot;&quot;,&quot;non-dropping-particle&quot;:&quot;&quot;},{&quot;family&quot;:&quot;Jia&quot;,&quot;given&quot;:&quot;Wenlong&quot;,&quot;parse-names&quot;:false,&quot;dropping-particle&quot;:&quot;&quot;,&quot;non-dropping-particle&quot;:&quot;&quot;},{&quot;family&quot;:&quot;Huang&quot;,&quot;given&quot;:&quot;Yi&quot;,&quot;parse-names&quot;:false,&quot;dropping-particle&quot;:&quot;&quot;,&quot;non-dropping-particle&quot;:&quot;&quot;},{&quot;family&quot;:&quot;Zhao&quot;,&quot;given&quot;:&quot;Shancen&quot;,&quot;parse-names&quot;:false,&quot;dropping-particle&quot;:&quot;&quot;,&quot;non-dropping-particle&quot;:&quot;&quot;},{&quot;family&quot;:&quot;Chen&quot;,&quot;given&quot;:&quot;Gang&quot;,&quot;parse-names&quot;:false,&quot;dropping-particle&quot;:&quot;&quot;,&quot;non-dropping-particle&quot;:&quot;&quot;},{&quot;family&quot;:&quot;Wu&quot;,&quot;given&quot;:&quot;Song&quot;,&quot;parse-names&quot;:false,&quot;dropping-particle&quot;:&quot;&quot;,&quot;non-dropping-particle&quot;:&quot;&quot;},{&quot;family&quot;:&quot;Li&quot;,&quot;given&quot;:&quot;Dongdong&quot;,&quot;parse-names&quot;:false,&quot;dropping-particle&quot;:&quot;&quot;,&quot;non-dropping-particle&quot;:&quot;&quot;},{&quot;family&quot;:&quot;Xia&quot;,&quot;given&quot;:&quot;Fei&quot;,&quot;parse-names&quot;:false,&quot;dropping-particle&quot;:&quot;&quot;,&quot;non-dropping-particle&quot;:&quot;&quot;},{&quot;family&quot;:&quot;Chen&quot;,&quot;given&quot;:&quot;Huafeng&quot;,&quot;parse-names&quot;:false,&quot;dropping-particle&quot;:&quot;&quot;,&quot;non-dropping-particle&quot;:&quot;&quot;},{&quot;family&quot;:&quot;Chen&quot;,&quot;given&quot;:&quot;Maoshan&quot;,&quot;parse-names&quot;:false,&quot;dropping-particle&quot;:&quot;&quot;,&quot;non-dropping-particle&quot;:&quot;&quot;},{&quot;family&quot;:&quot;Ørntoft&quot;,&quot;given&quot;:&quot;Torben F.&quot;,&quot;parse-names&quot;:false,&quot;dropping-particle&quot;:&quot;&quot;,&quot;non-dropping-particle&quot;:&quot;&quot;},{&quot;family&quot;:&quot;Bolund&quot;,&quot;given&quot;:&quot;Lars&quot;,&quot;parse-names&quot;:false,&quot;dropping-particle&quot;:&quot;&quot;,&quot;non-dropping-particle&quot;:&quot;&quot;},{&quot;family&quot;:&quot;Sørensen&quot;,&quot;given&quot;:&quot;Karina D.&quot;,&quot;parse-names&quot;:false,&quot;dropping-particle&quot;:&quot;&quot;,&quot;non-dropping-particle&quot;:&quot;&quot;}],&quot;container-title&quot;:&quot;GigaScience&quot;,&quot;container-title-short&quot;:&quot;Gigascience&quot;,&quot;DOI&quot;:&quot;10.1186/s13742-015-0070-9&quot;,&quot;ISSN&quot;:&quot;2047217X&quot;,&quot;PMID&quot;:&quot;26140213&quot;,&quot;issued&quot;:{&quot;date-parts&quot;:[[2015]]},&quot;abstract&quot;:&quot;Background: DNA methylation has important roles in the regulation of gene expression and cellular specification. Reduced representation bisulfite sequencing (RRBS) has prevailed in methylation studies due to its costeffectiveness and single-base resolution. The rapid accumulation of RRBS data demands well designed analytical tools. Findings: To streamline the data processing of DNA methylation from multiple RRBS samples, we present a flexible pipeline named SMAP, whose features include: (i) handling of single-and/or paired-end diverse bisulfite sequencing data with reduced false-positive rates in differentially methylated regions; (ii) detection of allele-specific methylation events with improved algorithms; (iii) a built-in pipeline for detection of novel single nucleotide polymorphisms (SNPs); (iv) support of multiple user-defined restriction enzymes; (v) conduction of all methylation analyses in a single-step operation when well configured. Conclusions: Simulation and experimental data validated the high accuracy of SMAP for SNP detection and methylation identification. Most analyses required in methylation studies (such as estimation of methylation levels, differentially methylated cytosine groups, and allele-specific methylation regions) can be executed readily with SMAP. All raw data from diverse samples could be processed in parallel and 'packetized' streams. A simple user guide to the methylation applications is also provided.&quot;,&quot;publisher&quot;:&quot;BioMed Central Ltd.&quot;,&quot;issue&quot;:&quot;1&quot;,&quot;volume&quot;:&quot;4&quot;},&quot;isTemporary&quot;:false}]},{&quot;citationID&quot;:&quot;MENDELEY_CITATION_b8b05453-991a-43be-b887-d1dec6a50281&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&quot;,&quot;citationItems&quot;:[{&quot;id&quot;:&quot;cec052ac-fd5e-3b57-9e0d-14244ccacf7b&quot;,&quot;itemData&quot;:{&quot;type&quot;:&quot;article-journal&quot;,&quot;id&quot;:&quot;cec052ac-fd5e-3b57-9e0d-14244ccacf7b&quot;,&quot;title&quot;:&quot;Graph-based genome alignment and genotyping with HISAT2 and HISAT-genotype&quot;,&quot;author&quot;:[{&quot;family&quot;:&quot;Kim&quot;,&quot;given&quot;:&quot;Daehwan&quot;,&quot;parse-names&quot;:false,&quot;dropping-particle&quot;:&quot;&quot;,&quot;non-dropping-particle&quot;:&quot;&quot;},{&quot;family&quot;:&quot;Paggi&quot;,&quot;given&quot;:&quot;Joseph M.&quot;,&quot;parse-names&quot;:false,&quot;dropping-particle&quot;:&quot;&quot;,&quot;non-dropping-particle&quot;:&quot;&quot;},{&quot;family&quot;:&quot;Park&quot;,&quot;given&quot;:&quot;Chanhee&quot;,&quot;parse-names&quot;:false,&quot;dropping-particle&quot;:&quot;&quot;,&quot;non-dropping-particle&quot;:&quot;&quot;},{&quot;family&quot;:&quot;Bennett&quot;,&quot;given&quot;:&quot;Christopher&quot;,&quot;parse-names&quot;:false,&quot;dropping-particle&quot;:&quot;&quot;,&quot;non-dropping-particle&quot;:&quot;&quot;},{&quot;family&quot;:&quot;Salzberg&quot;,&quot;given&quot;:&quot;Steven L.&quot;,&quot;parse-names&quot;:false,&quot;dropping-particle&quot;:&quot;&quot;,&quot;non-dropping-particle&quot;:&quot;&quot;}],&quot;container-title&quot;:&quot;Nature Biotechnology&quot;,&quot;container-title-short&quot;:&quot;Nat Biotechnol&quot;,&quot;DOI&quot;:&quot;10.1038/s41587-019-0201-4&quot;,&quot;ISSN&quot;:&quot;15461696&quot;,&quot;PMID&quot;:&quot;31375807&quot;,&quot;issued&quot;:{&quot;date-parts&quot;:[[2019,8,1]]},&quot;page&quot;:&quot;907-915&quot;,&quot;abstract&quot;:&quot;The human reference genome represents only a small number of individuals, which limits its usefulness for genotyping. We present a method named HISAT2 (hierarchical indexing for spliced alignment of transcripts 2) that can align both DNA and RNA sequences using a graph Ferragina Manzini index. We use HISAT2 to represent and search an expanded model of the human reference genome in which over 14.5 million genomic variants in combination with haplotypes are incorporated into the data structure used for searching and alignment. We benchmark HISAT2 using simulated and real datasets to demonstrate that our strategy of representing a population of genomes, together with a fast, memory-efficient search algorithm, provides more detailed and accurate variant analyses than other methods. We apply HISAT2 for HLA typing and DNA fingerprinting; both applications form part of the HISAT-genotype software that enables analysis of haplotype-resolved genes or genomic regions. HISAT-genotype outperforms other computational methods and matches or exceeds the performance of laboratory-based assays.&quot;,&quot;publisher&quot;:&quot;Nature Publishing Group&quot;,&quot;issue&quot;:&quot;8&quot;,&quot;volume&quot;:&quot;37&quot;},&quot;isTemporary&quot;:false}]},{&quot;citationID&quot;:&quot;MENDELEY_CITATION_6272516a-6a62-45ba-8c18-b95e411779c2&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&quot;,&quot;citationItems&quot;:[{&quot;id&quot;:&quot;891a76c0-a1ad-363a-a3dd-77ce2958ac76&quot;,&quot;itemData&quot;:{&quot;type&quot;:&quot;article&quot;,&quot;id&quot;:&quot;891a76c0-a1ad-363a-a3dd-77ce2958ac76&quot;,&quot;title&quot;:&quot;Scaling accurate genetic variant discovery to tens of thousands of samples&quot;,&quot;author&quot;:[{&quot;family&quot;:&quot;Poplin&quot;,&quot;given&quot;:&quot;Ryan&quot;,&quot;parse-names&quot;:false,&quot;dropping-particle&quot;:&quot;&quot;,&quot;non-dropping-particle&quot;:&quot;&quot;},{&quot;family&quot;:&quot;Ruano-Rubio&quot;,&quot;given&quot;:&quot;Valentin&quot;,&quot;parse-names&quot;:false,&quot;dropping-particle&quot;:&quot;&quot;,&quot;non-dropping-particle&quot;:&quot;&quot;},{&quot;family&quot;:&quot;DePristo&quot;,&quot;given&quot;:&quot;Mark A.&quot;,&quot;parse-names&quot;:false,&quot;dropping-particle&quot;:&quot;&quot;,&quot;non-dropping-particle&quot;:&quot;&quot;},{&quot;family&quot;:&quot;Fennell&quot;,&quot;given&quot;:&quot;Tim J.&quot;,&quot;parse-names&quot;:false,&quot;dropping-particle&quot;:&quot;&quot;,&quot;non-dropping-particle&quot;:&quot;&quot;},{&quot;family&quot;:&quot;Carneiro&quot;,&quot;given&quot;:&quot;Mauricio O.&quot;,&quot;parse-names&quot;:false,&quot;dropping-particle&quot;:&quot;&quot;,&quot;non-dropping-particle&quot;:&quot;&quot;},{&quot;family&quot;:&quot;Auwera&quot;,&quot;given&quot;:&quot;Geraldine A.&quot;,&quot;parse-names&quot;:false,&quot;dropping-particle&quot;:&quot;&quot;,&quot;non-dropping-particle&quot;:&quot;Van der&quot;},{&quot;family&quot;:&quot;Kling&quot;,&quot;given&quot;:&quot;David E.&quot;,&quot;parse-names&quot;:false,&quot;dropping-particle&quot;:&quot;&quot;,&quot;non-dropping-particle&quot;:&quot;&quot;},{&quot;family&quot;:&quot;Gauthier&quot;,&quot;given&quot;:&quot;Laura D.&quot;,&quot;parse-names&quot;:false,&quot;dropping-particle&quot;:&quot;&quot;,&quot;non-dropping-particle&quot;:&quot;&quot;},{&quot;family&quot;:&quot;Levy-Moonshine&quot;,&quot;given&quot;:&quot;Ami&quot;,&quot;parse-names&quot;:false,&quot;dropping-particle&quot;:&quot;&quot;,&quot;non-dropping-particle&quot;:&quot;&quot;},{&quot;family&quot;:&quot;Roazen&quot;,&quot;given&quot;:&quot;David&quot;,&quot;parse-names&quot;:false,&quot;dropping-particle&quot;:&quot;&quot;,&quot;non-dropping-particle&quot;:&quot;&quot;},{&quot;family&quot;:&quot;Shakir&quot;,&quot;given&quot;:&quot;Khalid&quot;,&quot;parse-names&quot;:false,&quot;dropping-particle&quot;:&quot;&quot;,&quot;non-dropping-particle&quot;:&quot;&quot;},{&quot;family&quot;:&quot;Thibault&quot;,&quot;given&quot;:&quot;Joel&quot;,&quot;parse-names&quot;:false,&quot;dropping-particle&quot;:&quot;&quot;,&quot;non-dropping-particle&quot;:&quot;&quot;},{&quot;family&quot;:&quot;Chandran&quot;,&quot;given&quot;:&quot;Sheila&quot;,&quot;parse-names&quot;:false,&quot;dropping-particle&quot;:&quot;&quot;,&quot;non-dropping-particle&quot;:&quot;&quot;},{&quot;family&quot;:&quot;Whelan&quot;,&quot;given&quot;:&quot;Chris&quot;,&quot;parse-names&quot;:false,&quot;dropping-particle&quot;:&quot;&quot;,&quot;non-dropping-particle&quot;:&quot;&quot;},{&quot;family&quot;:&quot;Lek&quot;,&quot;given&quot;:&quot;Monkol&quot;,&quot;parse-names&quot;:false,&quot;dropping-particle&quot;:&quot;&quot;,&quot;non-dropping-particle&quot;:&quot;&quot;},{&quot;family&quot;:&quot;Gabriel&quot;,&quot;given&quot;:&quot;Stacey&quot;,&quot;parse-names&quot;:false,&quot;dropping-particle&quot;:&quot;&quot;,&quot;non-dropping-particle&quot;:&quot;&quot;},{&quot;family&quot;:&quot;Daly&quot;,&quot;given&quot;:&quot;Mark J&quot;,&quot;parse-names&quot;:false,&quot;dropping-particle&quot;:&quot;&quot;,&quot;non-dropping-particle&quot;:&quot;&quot;},{&quot;family&quot;:&quot;Neale&quot;,&quot;given&quot;:&quot;Ben&quot;,&quot;parse-names&quot;:false,&quot;dropping-particle&quot;:&quot;&quot;,&quot;non-dropping-particle&quot;:&quot;&quot;},{&quot;family&quot;:&quot;MacArthur&quot;,&quot;given&quot;:&quot;Daniel G.&quot;,&quot;parse-names&quot;:false,&quot;dropping-particle&quot;:&quot;&quot;,&quot;non-dropping-particle&quot;:&quot;&quot;},{&quot;family&quot;:&quot;Banks&quot;,&quot;given&quot;:&quot;Eric&quot;,&quot;parse-names&quot;:false,&quot;dropping-particle&quot;:&quot;&quot;,&quot;non-dropping-particle&quot;:&quot;&quot;}],&quot;DOI&quot;:&quot;10.1101/201178&quot;,&quot;URL&quot;:&quot;http://biorxiv.org/lookup/doi/10.1101/201178&quot;,&quot;issued&quot;:{&quot;date-parts&quot;:[[2017,11,14]]},&quot;abstract&quot;:&quot;&lt;p&gt;Comprehensive disease gene discovery in both common and rare diseases will require the efficient and accurate detection of all classes of genetic variation across tens to hundreds of thousands of human samples. We describe here a novel assembly-based approach to variant calling, the GATK HaplotypeCaller (HC) and Reference Confidence Model (RCM), that determines genotype likelihoods independently per-sample but performs joint calling across all samples within a project simultaneously. We show by calling over 90,000 samples from the Exome Aggregation Consortium (ExAC) that, in contrast to other algorithms, the HC-RCM scales efficiently to very large sample sizes without loss in accuracy; and that the accuracy of indel variant calling is superior in comparison to other algorithms. More importantly, the HC-RCM produces a fully squared-off matrix of genotypes across all samples at every genomic position being investigated. The HC-RCM is a novel, scalable, assembly-based algorithm with abundant applications for population genetics and clinical studies.&lt;/p&gt;&quot;,&quot;container-title-short&quot;:&quot;&quot;},&quot;isTemporary&quot;:false}]},{&quot;citationID&quot;:&quot;MENDELEY_CITATION_06f6aaa3-58e1-4788-af17-66a41dd2fa25&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&quot;,&quot;citationItems&quot;:[{&quot;id&quot;:&quot;80245b01-aa84-3981-a41f-4f39c9d96dfc&quot;,&quot;itemData&quot;:{&quot;type&quot;:&quot;article-journal&quot;,&quot;id&quot;:&quot;80245b01-aa84-3981-a41f-4f39c9d96dfc&quot;,&quot;title&quot;:&quot;BS-SNPer: SNP calling in bisulfite-seq data&quot;,&quot;author&quot;:[{&quot;family&quot;:&quot;Gao&quot;,&quot;given&quot;:&quot;Shengjie&quot;,&quot;parse-names&quot;:false,&quot;dropping-particle&quot;:&quot;&quot;,&quot;non-dropping-particle&quot;:&quot;&quot;},{&quot;family&quot;:&quot;Zou&quot;,&quot;given&quot;:&quot;Dan&quot;,&quot;parse-names&quot;:false,&quot;dropping-particle&quot;:&quot;&quot;,&quot;non-dropping-particle&quot;:&quot;&quot;},{&quot;family&quot;:&quot;Mao&quot;,&quot;given&quot;:&quot;Likai&quot;,&quot;parse-names&quot;:false,&quot;dropping-particle&quot;:&quot;&quot;,&quot;non-dropping-particle&quot;:&quot;&quot;},{&quot;family&quot;:&quot;Liu&quot;,&quot;given&quot;:&quot;Huayu&quot;,&quot;parse-names&quot;:false,&quot;dropping-particle&quot;:&quot;&quot;,&quot;non-dropping-particle&quot;:&quot;&quot;},{&quot;family&quot;:&quot;Song&quot;,&quot;given&quot;:&quot;Pengfei&quot;,&quot;parse-names&quot;:false,&quot;dropping-particle&quot;:&quot;&quot;,&quot;non-dropping-particle&quot;:&quot;&quot;},{&quot;family&quot;:&quot;Chen&quot;,&quot;given&quot;:&quot;Youguo&quot;,&quot;parse-names&quot;:false,&quot;dropping-particle&quot;:&quot;&quot;,&quot;non-dropping-particle&quot;:&quot;&quot;},{&quot;family&quot;:&quot;Zhao&quot;,&quot;given&quot;:&quot;Shancen&quot;,&quot;parse-names&quot;:false,&quot;dropping-particle&quot;:&quot;&quot;,&quot;non-dropping-particle&quot;:&quot;&quot;},{&quot;family&quot;:&quot;Gao&quot;,&quot;given&quot;:&quot;Changduo&quot;,&quot;parse-names&quot;:false,&quot;dropping-particle&quot;:&quot;&quot;,&quot;non-dropping-particle&quot;:&quot;&quot;},{&quot;family&quot;:&quot;Li&quot;,&quot;given&quot;:&quot;Xiangchun&quot;,&quot;parse-names&quot;:false,&quot;dropping-particle&quot;:&quot;&quot;,&quot;non-dropping-particle&quot;:&quot;&quot;},{&quot;family&quot;:&quot;Gao&quot;,&quot;given&quot;:&quot;Zhibo&quot;,&quot;parse-names&quot;:false,&quot;dropping-particle&quot;:&quot;&quot;,&quot;non-dropping-particle&quot;:&quot;&quot;},{&quot;family&quot;:&quot;Fang&quot;,&quot;given&quot;:&quot;Xiaodong&quot;,&quot;parse-names&quot;:false,&quot;dropping-particle&quot;:&quot;&quot;,&quot;non-dropping-particle&quot;:&quot;&quot;},{&quot;family&quot;:&quot;Yang&quot;,&quot;given&quot;:&quot;Huanming&quot;,&quot;parse-names&quot;:false,&quot;dropping-particle&quot;:&quot;&quot;,&quot;non-dropping-particle&quot;:&quot;&quot;},{&quot;family&quot;:&quot;Ørntoft&quot;,&quot;given&quot;:&quot;Torben F.&quot;,&quot;parse-names&quot;:false,&quot;dropping-particle&quot;:&quot;&quot;,&quot;non-dropping-particle&quot;:&quot;&quot;},{&quot;family&quot;:&quot;Sørensen&quot;,&quot;given&quot;:&quot;Karina D.&quot;,&quot;parse-names&quot;:false,&quot;dropping-particle&quot;:&quot;&quot;,&quot;non-dropping-particle&quot;:&quot;&quot;},{&quot;family&quot;:&quot;Bolund&quot;,&quot;given&quot;:&quot;Lars&quot;,&quot;parse-names&quot;:false,&quot;dropping-particle&quot;:&quot;&quot;,&quot;non-dropping-particle&quot;:&quot;&quot;}],&quot;container-title&quot;:&quot;Bioinformatics&quot;,&quot;DOI&quot;:&quot;10.1093/bioinformatics/btv507&quot;,&quot;ISSN&quot;:&quot;14602059&quot;,&quot;PMID&quot;:&quot;26319221&quot;,&quot;issued&quot;:{&quot;date-parts&quot;:[[2015,7,3]]},&quot;page&quot;:&quot;4006-4008&quot;,&quot;abstract&quot;:&quot;Sodium bisulfite conversion followed by sequencing (BS-Seq, such as whole genome bisulfite sequencing or reduced representation bisulfite sequencing) has become popular for studying human epigenetic profiles. Identifying single nucleotide polymorphisms (SNPs) is important for quantification of methylation levels and for study of allele-specific epigenetic events such as imprinting. However, SNP calling in such data is complex and time consuming. Here, we present an ultrafast and memory-efficient package named BS-SNPer for the exploration of SNP sites from BS-Seq data. Compared with Bis-SNP, a popular BS-Seq specific SNP caller, BS-SNPer is over 100 times faster and uses less memory. BS-SNPer also offers higher sensitivity and specificity compared with existing methods.&quot;,&quot;publisher&quot;:&quot;Oxford University Press&quot;,&quot;issue&quot;:&quot;24&quot;,&quot;volume&quot;:&quot;31&quot;,&quot;container-title-short&quot;:&quot;&quot;},&quot;isTemporary&quot;:false}]},{&quot;citationID&quot;:&quot;MENDELEY_CITATION_34599281-9bce-410e-a972-a8a2dc22862f&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&quot;,&quot;citationItems&quot;:[{&quot;id&quot;:&quot;891a76c0-a1ad-363a-a3dd-77ce2958ac76&quot;,&quot;itemData&quot;:{&quot;type&quot;:&quot;article&quot;,&quot;id&quot;:&quot;891a76c0-a1ad-363a-a3dd-77ce2958ac76&quot;,&quot;title&quot;:&quot;Scaling accurate genetic variant discovery to tens of thousands of samples&quot;,&quot;author&quot;:[{&quot;family&quot;:&quot;Poplin&quot;,&quot;given&quot;:&quot;Ryan&quot;,&quot;parse-names&quot;:false,&quot;dropping-particle&quot;:&quot;&quot;,&quot;non-dropping-particle&quot;:&quot;&quot;},{&quot;family&quot;:&quot;Ruano-Rubio&quot;,&quot;given&quot;:&quot;Valentin&quot;,&quot;parse-names&quot;:false,&quot;dropping-particle&quot;:&quot;&quot;,&quot;non-dropping-particle&quot;:&quot;&quot;},{&quot;family&quot;:&quot;DePristo&quot;,&quot;given&quot;:&quot;Mark A.&quot;,&quot;parse-names&quot;:false,&quot;dropping-particle&quot;:&quot;&quot;,&quot;non-dropping-particle&quot;:&quot;&quot;},{&quot;family&quot;:&quot;Fennell&quot;,&quot;given&quot;:&quot;Tim J.&quot;,&quot;parse-names&quot;:false,&quot;dropping-particle&quot;:&quot;&quot;,&quot;non-dropping-particle&quot;:&quot;&quot;},{&quot;family&quot;:&quot;Carneiro&quot;,&quot;given&quot;:&quot;Mauricio O.&quot;,&quot;parse-names&quot;:false,&quot;dropping-particle&quot;:&quot;&quot;,&quot;non-dropping-particle&quot;:&quot;&quot;},{&quot;family&quot;:&quot;Auwera&quot;,&quot;given&quot;:&quot;Geraldine A.&quot;,&quot;parse-names&quot;:false,&quot;dropping-particle&quot;:&quot;&quot;,&quot;non-dropping-particle&quot;:&quot;Van der&quot;},{&quot;family&quot;:&quot;Kling&quot;,&quot;given&quot;:&quot;David E.&quot;,&quot;parse-names&quot;:false,&quot;dropping-particle&quot;:&quot;&quot;,&quot;non-dropping-particle&quot;:&quot;&quot;},{&quot;family&quot;:&quot;Gauthier&quot;,&quot;given&quot;:&quot;Laura D.&quot;,&quot;parse-names&quot;:false,&quot;dropping-particle&quot;:&quot;&quot;,&quot;non-dropping-particle&quot;:&quot;&quot;},{&quot;family&quot;:&quot;Levy-Moonshine&quot;,&quot;given&quot;:&quot;Ami&quot;,&quot;parse-names&quot;:false,&quot;dropping-particle&quot;:&quot;&quot;,&quot;non-dropping-particle&quot;:&quot;&quot;},{&quot;family&quot;:&quot;Roazen&quot;,&quot;given&quot;:&quot;David&quot;,&quot;parse-names&quot;:false,&quot;dropping-particle&quot;:&quot;&quot;,&quot;non-dropping-particle&quot;:&quot;&quot;},{&quot;family&quot;:&quot;Shakir&quot;,&quot;given&quot;:&quot;Khalid&quot;,&quot;parse-names&quot;:false,&quot;dropping-particle&quot;:&quot;&quot;,&quot;non-dropping-particle&quot;:&quot;&quot;},{&quot;family&quot;:&quot;Thibault&quot;,&quot;given&quot;:&quot;Joel&quot;,&quot;parse-names&quot;:false,&quot;dropping-particle&quot;:&quot;&quot;,&quot;non-dropping-particle&quot;:&quot;&quot;},{&quot;family&quot;:&quot;Chandran&quot;,&quot;given&quot;:&quot;Sheila&quot;,&quot;parse-names&quot;:false,&quot;dropping-particle&quot;:&quot;&quot;,&quot;non-dropping-particle&quot;:&quot;&quot;},{&quot;family&quot;:&quot;Whelan&quot;,&quot;given&quot;:&quot;Chris&quot;,&quot;parse-names&quot;:false,&quot;dropping-particle&quot;:&quot;&quot;,&quot;non-dropping-particle&quot;:&quot;&quot;},{&quot;family&quot;:&quot;Lek&quot;,&quot;given&quot;:&quot;Monkol&quot;,&quot;parse-names&quot;:false,&quot;dropping-particle&quot;:&quot;&quot;,&quot;non-dropping-particle&quot;:&quot;&quot;},{&quot;family&quot;:&quot;Gabriel&quot;,&quot;given&quot;:&quot;Stacey&quot;,&quot;parse-names&quot;:false,&quot;dropping-particle&quot;:&quot;&quot;,&quot;non-dropping-particle&quot;:&quot;&quot;},{&quot;family&quot;:&quot;Daly&quot;,&quot;given&quot;:&quot;Mark J&quot;,&quot;parse-names&quot;:false,&quot;dropping-particle&quot;:&quot;&quot;,&quot;non-dropping-particle&quot;:&quot;&quot;},{&quot;family&quot;:&quot;Neale&quot;,&quot;given&quot;:&quot;Ben&quot;,&quot;parse-names&quot;:false,&quot;dropping-particle&quot;:&quot;&quot;,&quot;non-dropping-particle&quot;:&quot;&quot;},{&quot;family&quot;:&quot;MacArthur&quot;,&quot;given&quot;:&quot;Daniel G.&quot;,&quot;parse-names&quot;:false,&quot;dropping-particle&quot;:&quot;&quot;,&quot;non-dropping-particle&quot;:&quot;&quot;},{&quot;family&quot;:&quot;Banks&quot;,&quot;given&quot;:&quot;Eric&quot;,&quot;parse-names&quot;:false,&quot;dropping-particle&quot;:&quot;&quot;,&quot;non-dropping-particle&quot;:&quot;&quot;}],&quot;DOI&quot;:&quot;10.1101/201178&quot;,&quot;URL&quot;:&quot;http://biorxiv.org/lookup/doi/10.1101/201178&quot;,&quot;issued&quot;:{&quot;date-parts&quot;:[[2017,11,14]]},&quot;abstract&quot;:&quot;&lt;p&gt;Comprehensive disease gene discovery in both common and rare diseases will require the efficient and accurate detection of all classes of genetic variation across tens to hundreds of thousands of human samples. We describe here a novel assembly-based approach to variant calling, the GATK HaplotypeCaller (HC) and Reference Confidence Model (RCM), that determines genotype likelihoods independently per-sample but performs joint calling across all samples within a project simultaneously. We show by calling over 90,000 samples from the Exome Aggregation Consortium (ExAC) that, in contrast to other algorithms, the HC-RCM scales efficiently to very large sample sizes without loss in accuracy; and that the accuracy of indel variant calling is superior in comparison to other algorithms. More importantly, the HC-RCM produces a fully squared-off matrix of genotypes across all samples at every genomic position being investigated. The HC-RCM is a novel, scalable, assembly-based algorithm with abundant applications for population genetics and clinical studies.&lt;/p&gt;&quot;,&quot;container-title-short&quot;:&quot;&quot;},&quot;isTemporary&quot;:false}]},{&quot;citationID&quot;:&quot;MENDELEY_CITATION_fed7911a-b8c5-4599-9604-42476314a13f&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&quot;,&quot;citationItems&quot;:[{&quot;id&quot;:&quot;4197ecb1-5d68-3b18-b04a-bda421aae5f2&quot;,&quot;itemData&quot;:{&quot;type&quot;:&quot;article-journal&quot;,&quot;id&quot;:&quot;4197ecb1-5d68-3b18-b04a-bda421aae5f2&quot;,&quot;title&quot;:&quot;SMAP: A streamlined methylation analysis pipeline for bisulfite sequencing&quot;,&quot;author&quot;:[{&quot;family&quot;:&quot;Gao&quot;,&quot;given&quot;:&quot;Shengjie&quot;,&quot;parse-names&quot;:false,&quot;dropping-particle&quot;:&quot;&quot;,&quot;non-dropping-particle&quot;:&quot;&quot;},{&quot;family&quot;:&quot;Zou&quot;,&quot;given&quot;:&quot;Dan&quot;,&quot;parse-names&quot;:false,&quot;dropping-particle&quot;:&quot;&quot;,&quot;non-dropping-particle&quot;:&quot;&quot;},{&quot;family&quot;:&quot;Mao&quot;,&quot;given&quot;:&quot;Likai&quot;,&quot;parse-names&quot;:false,&quot;dropping-particle&quot;:&quot;&quot;,&quot;non-dropping-particle&quot;:&quot;&quot;},{&quot;family&quot;:&quot;Zhou&quot;,&quot;given&quot;:&quot;Quan&quot;,&quot;parse-names&quot;:false,&quot;dropping-particle&quot;:&quot;&quot;,&quot;non-dropping-particle&quot;:&quot;&quot;},{&quot;family&quot;:&quot;Jia&quot;,&quot;given&quot;:&quot;Wenlong&quot;,&quot;parse-names&quot;:false,&quot;dropping-particle&quot;:&quot;&quot;,&quot;non-dropping-particle&quot;:&quot;&quot;},{&quot;family&quot;:&quot;Huang&quot;,&quot;given&quot;:&quot;Yi&quot;,&quot;parse-names&quot;:false,&quot;dropping-particle&quot;:&quot;&quot;,&quot;non-dropping-particle&quot;:&quot;&quot;},{&quot;family&quot;:&quot;Zhao&quot;,&quot;given&quot;:&quot;Shancen&quot;,&quot;parse-names&quot;:false,&quot;dropping-particle&quot;:&quot;&quot;,&quot;non-dropping-particle&quot;:&quot;&quot;},{&quot;family&quot;:&quot;Chen&quot;,&quot;given&quot;:&quot;Gang&quot;,&quot;parse-names&quot;:false,&quot;dropping-particle&quot;:&quot;&quot;,&quot;non-dropping-particle&quot;:&quot;&quot;},{&quot;family&quot;:&quot;Wu&quot;,&quot;given&quot;:&quot;Song&quot;,&quot;parse-names&quot;:false,&quot;dropping-particle&quot;:&quot;&quot;,&quot;non-dropping-particle&quot;:&quot;&quot;},{&quot;family&quot;:&quot;Li&quot;,&quot;given&quot;:&quot;Dongdong&quot;,&quot;parse-names&quot;:false,&quot;dropping-particle&quot;:&quot;&quot;,&quot;non-dropping-particle&quot;:&quot;&quot;},{&quot;family&quot;:&quot;Xia&quot;,&quot;given&quot;:&quot;Fei&quot;,&quot;parse-names&quot;:false,&quot;dropping-particle&quot;:&quot;&quot;,&quot;non-dropping-particle&quot;:&quot;&quot;},{&quot;family&quot;:&quot;Chen&quot;,&quot;given&quot;:&quot;Huafeng&quot;,&quot;parse-names&quot;:false,&quot;dropping-particle&quot;:&quot;&quot;,&quot;non-dropping-particle&quot;:&quot;&quot;},{&quot;family&quot;:&quot;Chen&quot;,&quot;given&quot;:&quot;Maoshan&quot;,&quot;parse-names&quot;:false,&quot;dropping-particle&quot;:&quot;&quot;,&quot;non-dropping-particle&quot;:&quot;&quot;},{&quot;family&quot;:&quot;Ørntoft&quot;,&quot;given&quot;:&quot;Torben F.&quot;,&quot;parse-names&quot;:false,&quot;dropping-particle&quot;:&quot;&quot;,&quot;non-dropping-particle&quot;:&quot;&quot;},{&quot;family&quot;:&quot;Bolund&quot;,&quot;given&quot;:&quot;Lars&quot;,&quot;parse-names&quot;:false,&quot;dropping-particle&quot;:&quot;&quot;,&quot;non-dropping-particle&quot;:&quot;&quot;},{&quot;family&quot;:&quot;Sørensen&quot;,&quot;given&quot;:&quot;Karina D.&quot;,&quot;parse-names&quot;:false,&quot;dropping-particle&quot;:&quot;&quot;,&quot;non-dropping-particle&quot;:&quot;&quot;}],&quot;container-title&quot;:&quot;GigaScience&quot;,&quot;container-title-short&quot;:&quot;Gigascience&quot;,&quot;DOI&quot;:&quot;10.1186/s13742-015-0070-9&quot;,&quot;ISSN&quot;:&quot;2047217X&quot;,&quot;PMID&quot;:&quot;26140213&quot;,&quot;issued&quot;:{&quot;date-parts&quot;:[[2015]]},&quot;abstract&quot;:&quot;Background: DNA methylation has important roles in the regulation of gene expression and cellular specification. Reduced representation bisulfite sequencing (RRBS) has prevailed in methylation studies due to its costeffectiveness and single-base resolution. The rapid accumulation of RRBS data demands well designed analytical tools. Findings: To streamline the data processing of DNA methylation from multiple RRBS samples, we present a flexible pipeline named SMAP, whose features include: (i) handling of single-and/or paired-end diverse bisulfite sequencing data with reduced false-positive rates in differentially methylated regions; (ii) detection of allele-specific methylation events with improved algorithms; (iii) a built-in pipeline for detection of novel single nucleotide polymorphisms (SNPs); (iv) support of multiple user-defined restriction enzymes; (v) conduction of all methylation analyses in a single-step operation when well configured. Conclusions: Simulation and experimental data validated the high accuracy of SMAP for SNP detection and methylation identification. Most analyses required in methylation studies (such as estimation of methylation levels, differentially methylated cytosine groups, and allele-specific methylation regions) can be executed readily with SMAP. All raw data from diverse samples could be processed in parallel and 'packetized' streams. A simple user guide to the methylation applications is also provided.&quot;,&quot;publisher&quot;:&quot;BioMed Central Ltd.&quot;,&quot;issue&quot;:&quot;1&quot;,&quot;volume&quot;:&quot;4&quot;},&quot;isTemporary&quot;:false}]},{&quot;citationID&quot;:&quot;MENDELEY_CITATION_104d14d7-a774-450e-a221-9da3b84bc7a3&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&quot;,&quot;citationItems&quot;:[{&quot;id&quot;:&quot;500f0bbe-6c04-3fa8-a4cf-aefdbf1e3460&quot;,&quot;itemData&quot;:{&quot;type&quot;:&quot;article-journal&quot;,&quot;id&quot;:&quot;500f0bbe-6c04-3fa8-a4cf-aefdbf1e3460&quot;,&quot;title&quot;:&quot;Moderated estimation of fold change and dispersion for RNA-seq data with DESeq2&quot;,&quot;author&quot;:[{&quot;family&quot;:&quot;Love&quot;,&quot;given&quot;:&quot;Michael I.&quot;,&quot;parse-names&quot;:false,&quot;dropping-particle&quot;:&quot;&quot;,&quot;non-dropping-particle&quot;:&quot;&quot;},{&quot;family&quot;:&quot;Huber&quot;,&quot;given&quot;:&quot;Wolfgang&quot;,&quot;parse-names&quot;:false,&quot;dropping-particle&quot;:&quot;&quot;,&quot;non-dropping-particle&quot;:&quot;&quot;},{&quot;family&quot;:&quot;Anders&quot;,&quot;given&quot;:&quot;Simon&quot;,&quot;parse-names&quot;:false,&quot;dropping-particle&quot;:&quot;&quot;,&quot;non-dropping-particle&quot;:&quot;&quot;}],&quot;container-title&quot;:&quot;Genome Biology&quot;,&quot;container-title-short&quot;:&quot;Genome Biol&quot;,&quot;DOI&quot;:&quot;10.1186/s13059-014-0550-8&quot;,&quot;ISSN&quot;:&quot;1474760X&quot;,&quot;PMID&quot;:&quot;25516281&quot;,&quot;issued&quot;:{&quot;date-parts&quot;:[[2014,12,5]]},&quot;abstract&quot;:&quot;In comparative high-throughput sequencing assays, a fundamental task is the analysis of count data, such as read counts per gene in RNA-seq, for evidence of systematic changes across experimental conditions. Small replicate numbers, discreteness, large dynamic range and the presence of outliers require a suitable statistical approach. We present DESeq2, a method for differential analysis of count data, using shrinkage estimation for dispersions and fold changes to improve stability and interpretability of estimates. This enables a more quantitative analysis focused on the strength rather than the mere presence of differential expression. The DESeq2 package is available at http://www.bioconductor.org/packages/release/bioc/html/DESeq2.html.&quot;,&quot;publisher&quot;:&quot;BioMed Central Ltd.&quot;,&quot;issue&quot;:&quot;12&quot;,&quot;volume&quot;:&quot;15&quot;},&quot;isTemporary&quot;:false}]}]"/>
    <we:property name="MENDELEY_CITATIONS_LOCALE_CODE" value="&quot;en-US&quot;"/>
    <we:property name="MENDELEY_CITATIONS_STYLE" value="{&quot;id&quot;:&quot;https://www.zotero.org/styles/american-journal-of-hypertension&quot;,&quot;title&quot;:&quot;American Journal of Hypertens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18237-772F-3E41-93AC-42E3C13B6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3437</Words>
  <Characters>19593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刘小喵</dc:creator>
  <cp:lastModifiedBy>高升杰</cp:lastModifiedBy>
  <cp:revision>2</cp:revision>
  <dcterms:created xsi:type="dcterms:W3CDTF">2025-02-24T03:22:00Z</dcterms:created>
  <dcterms:modified xsi:type="dcterms:W3CDTF">2025-02-24T03:22:00Z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53671E4EB4C04184BA041C0A47D6CD4E</vt:lpwstr>
  </property>
</Properties>
</file>