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spacing w:line="360" w:lineRule="auto"/>
        <w:rPr/>
      </w:pPr>
      <w:bookmarkStart w:colFirst="0" w:colLast="0" w:name="_y7gc4aly0kxj" w:id="0"/>
      <w:bookmarkEnd w:id="0"/>
      <w:r w:rsidDel="00000000" w:rsidR="00000000" w:rsidRPr="00000000">
        <w:rPr>
          <w:rtl w:val="0"/>
        </w:rPr>
        <w:t xml:space="preserve">Supplemental Information</w:t>
      </w:r>
    </w:p>
    <w:p w:rsidR="00000000" w:rsidDel="00000000" w:rsidP="00000000" w:rsidRDefault="00000000" w:rsidRPr="00000000" w14:paraId="00000002">
      <w:pPr>
        <w:spacing w:line="36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Synthetic control methods enable stronger causal inference using participatory science data in cities</w:t>
      </w:r>
    </w:p>
    <w:p w:rsidR="00000000" w:rsidDel="00000000" w:rsidP="00000000" w:rsidRDefault="00000000" w:rsidRPr="00000000" w14:paraId="00000004">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Asia Kaiser</w:t>
      </w: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Fonts w:ascii="Times New Roman" w:cs="Times New Roman" w:eastAsia="Times New Roman" w:hAnsi="Times New Roman"/>
          <w:sz w:val="24"/>
          <w:szCs w:val="24"/>
          <w:rtl w:val="0"/>
        </w:rPr>
        <w:t xml:space="preserve">, Julian Resasco</w:t>
      </w: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Fonts w:ascii="Times New Roman" w:cs="Times New Roman" w:eastAsia="Times New Roman" w:hAnsi="Times New Roman"/>
          <w:sz w:val="24"/>
          <w:szCs w:val="24"/>
          <w:rtl w:val="0"/>
        </w:rPr>
        <w:t xml:space="preserve">, Laura E. Dee</w:t>
      </w: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tl w:val="0"/>
        </w:rPr>
      </w:r>
    </w:p>
    <w:p w:rsidR="00000000" w:rsidDel="00000000" w:rsidP="00000000" w:rsidRDefault="00000000" w:rsidRPr="00000000" w14:paraId="00000006">
      <w:pPr>
        <w:spacing w:line="360" w:lineRule="auto"/>
        <w:rPr>
          <w:rFonts w:ascii="Times New Roman" w:cs="Times New Roman" w:eastAsia="Times New Roman" w:hAnsi="Times New Roman"/>
          <w:sz w:val="24"/>
          <w:szCs w:val="24"/>
          <w:vertAlign w:val="superscript"/>
        </w:rPr>
      </w:pPr>
      <w:r w:rsidDel="00000000" w:rsidR="00000000" w:rsidRPr="00000000">
        <w:rPr>
          <w:rtl w:val="0"/>
        </w:rPr>
      </w:r>
    </w:p>
    <w:p w:rsidR="00000000" w:rsidDel="00000000" w:rsidP="00000000" w:rsidRDefault="00000000" w:rsidRPr="00000000" w14:paraId="00000007">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superscript"/>
          <w:rtl w:val="0"/>
        </w:rPr>
        <w:t xml:space="preserve">1 </w:t>
      </w:r>
      <w:r w:rsidDel="00000000" w:rsidR="00000000" w:rsidRPr="00000000">
        <w:rPr>
          <w:rFonts w:ascii="Times New Roman" w:cs="Times New Roman" w:eastAsia="Times New Roman" w:hAnsi="Times New Roman"/>
          <w:sz w:val="24"/>
          <w:szCs w:val="24"/>
          <w:rtl w:val="0"/>
        </w:rPr>
        <w:t xml:space="preserve">Department of Ecology and Evolutionary Biology, The University of Colorado at Boulder, Boulder, CO, USA</w:t>
      </w:r>
    </w:p>
    <w:p w:rsidR="00000000" w:rsidDel="00000000" w:rsidP="00000000" w:rsidRDefault="00000000" w:rsidRPr="00000000" w14:paraId="00000008">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rtl w:val="0"/>
        </w:rPr>
        <w:t xml:space="preserve">*Corresponding author:</w:t>
      </w:r>
      <w:r w:rsidDel="00000000" w:rsidR="00000000" w:rsidRPr="00000000">
        <w:rPr>
          <w:rFonts w:ascii="Times New Roman" w:cs="Times New Roman" w:eastAsia="Times New Roman" w:hAnsi="Times New Roman"/>
          <w:rtl w:val="0"/>
        </w:rPr>
        <w:t xml:space="preserve"> Asia Kaiser, </w:t>
      </w:r>
      <w:hyperlink r:id="rId6">
        <w:r w:rsidDel="00000000" w:rsidR="00000000" w:rsidRPr="00000000">
          <w:rPr>
            <w:rFonts w:ascii="Times New Roman" w:cs="Times New Roman" w:eastAsia="Times New Roman" w:hAnsi="Times New Roman"/>
            <w:color w:val="1155cc"/>
            <w:u w:val="single"/>
            <w:rtl w:val="0"/>
          </w:rPr>
          <w:t xml:space="preserve">asia.kaiser@colorado.edu</w:t>
        </w:r>
      </w:hyperlink>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superscript"/>
          <w:rtl w:val="0"/>
        </w:rPr>
        <w:t xml:space="preserve">† </w:t>
      </w:r>
      <w:r w:rsidDel="00000000" w:rsidR="00000000" w:rsidRPr="00000000">
        <w:rPr>
          <w:rFonts w:ascii="Times New Roman" w:cs="Times New Roman" w:eastAsia="Times New Roman" w:hAnsi="Times New Roman"/>
          <w:sz w:val="24"/>
          <w:szCs w:val="24"/>
          <w:rtl w:val="0"/>
        </w:rPr>
        <w:t xml:space="preserve">Laura Dee and Julian Resasco contributed equally to this work as co-senior authors</w:t>
      </w:r>
    </w:p>
    <w:p w:rsidR="00000000" w:rsidDel="00000000" w:rsidP="00000000" w:rsidRDefault="00000000" w:rsidRPr="00000000" w14:paraId="0000000B">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360" w:lineRule="auto"/>
        <w:ind w:left="0" w:firstLine="0"/>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0F">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729038" cy="4602293"/>
            <wp:effectExtent b="0" l="0" r="0" t="0"/>
            <wp:docPr id="6"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3729038" cy="4602293"/>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Figure S1.</w:t>
      </w:r>
      <w:r w:rsidDel="00000000" w:rsidR="00000000" w:rsidRPr="00000000">
        <w:rPr>
          <w:rFonts w:ascii="Times New Roman" w:cs="Times New Roman" w:eastAsia="Times New Roman" w:hAnsi="Times New Roman"/>
          <w:sz w:val="24"/>
          <w:szCs w:val="24"/>
          <w:rtl w:val="0"/>
        </w:rPr>
        <w:t xml:space="preserve"> Hurri</w:t>
      </w:r>
      <w:r w:rsidDel="00000000" w:rsidR="00000000" w:rsidRPr="00000000">
        <w:rPr>
          <w:rFonts w:ascii="Times New Roman" w:cs="Times New Roman" w:eastAsia="Times New Roman" w:hAnsi="Times New Roman"/>
          <w:sz w:val="24"/>
          <w:szCs w:val="24"/>
          <w:rtl w:val="0"/>
        </w:rPr>
        <w:t xml:space="preserve">cane Ida flood map showing rainfall in inches. Hurricane Ida originated in Louisiana as a Category 4 hurricane, with winds up to 150 mph on August 29, 2021, and traveled from the Gulf Coast to the Northeastern coast of the United States. Figure from the US Weather Prediction Center (2021). </w:t>
      </w:r>
    </w:p>
    <w:p w:rsidR="00000000" w:rsidDel="00000000" w:rsidP="00000000" w:rsidRDefault="00000000" w:rsidRPr="00000000" w14:paraId="00000012">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pStyle w:val="Heading4"/>
        <w:spacing w:line="360" w:lineRule="auto"/>
        <w:rPr/>
      </w:pPr>
      <w:bookmarkStart w:colFirst="0" w:colLast="0" w:name="_ghcdxudx2d4b" w:id="1"/>
      <w:bookmarkEnd w:id="1"/>
      <w:r w:rsidDel="00000000" w:rsidR="00000000" w:rsidRPr="00000000">
        <w:br w:type="page"/>
      </w:r>
      <w:r w:rsidDel="00000000" w:rsidR="00000000" w:rsidRPr="00000000">
        <w:rPr>
          <w:rtl w:val="0"/>
        </w:rPr>
      </w:r>
    </w:p>
    <w:p w:rsidR="00000000" w:rsidDel="00000000" w:rsidP="00000000" w:rsidRDefault="00000000" w:rsidRPr="00000000" w14:paraId="00000014">
      <w:pPr>
        <w:pStyle w:val="Heading4"/>
        <w:spacing w:line="360" w:lineRule="auto"/>
        <w:rPr>
          <w:rFonts w:ascii="Times New Roman" w:cs="Times New Roman" w:eastAsia="Times New Roman" w:hAnsi="Times New Roman"/>
          <w:sz w:val="24"/>
          <w:szCs w:val="24"/>
        </w:rPr>
      </w:pPr>
      <w:bookmarkStart w:colFirst="0" w:colLast="0" w:name="_ka4cmnjucpma" w:id="2"/>
      <w:bookmarkEnd w:id="2"/>
      <w:r w:rsidDel="00000000" w:rsidR="00000000" w:rsidRPr="00000000">
        <w:rPr>
          <w:rtl w:val="0"/>
        </w:rPr>
        <w:t xml:space="preserve">Section I: </w:t>
      </w:r>
      <w:r w:rsidDel="00000000" w:rsidR="00000000" w:rsidRPr="00000000">
        <w:rPr>
          <w:rtl w:val="0"/>
        </w:rPr>
        <w:t xml:space="preserve">Case Study - Data Collection and Analysis Pipeline</w:t>
      </w:r>
      <w:r w:rsidDel="00000000" w:rsidR="00000000" w:rsidRPr="00000000">
        <w:rPr>
          <w:rtl w:val="0"/>
        </w:rPr>
      </w:r>
    </w:p>
    <w:p w:rsidR="00000000" w:rsidDel="00000000" w:rsidP="00000000" w:rsidRDefault="00000000" w:rsidRPr="00000000" w14:paraId="00000015">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Donor Pool Selection</w:t>
        <w:br w:type="textWrapping"/>
      </w:r>
      <w:r w:rsidDel="00000000" w:rsidR="00000000" w:rsidRPr="00000000">
        <w:rPr>
          <w:rFonts w:ascii="Times New Roman" w:cs="Times New Roman" w:eastAsia="Times New Roman" w:hAnsi="Times New Roman"/>
          <w:sz w:val="24"/>
          <w:szCs w:val="24"/>
          <w:rtl w:val="0"/>
        </w:rPr>
        <w:t xml:space="preserve">The initial dataset comprised 325 large U.S. cities with populations exceeding 100,000. Central latitude and longitude coordinates for each city were obtained from the online geographic tool Latlong.net. Population data for U.S. cities between 2010 and 2023, as well as city land area (in km²), were sourced from the U.S. Census Bureau (US Census Bureau, 2020; Bureau, 2021). To enhance the similarity between our donor pool and the treated city, Philadelphia, the dataset was filtered to include only cities with populations greater than 300,000 in 2023.</w:t>
      </w:r>
    </w:p>
    <w:p w:rsidR="00000000" w:rsidDel="00000000" w:rsidP="00000000" w:rsidRDefault="00000000" w:rsidRPr="00000000" w14:paraId="00000016">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Predictor Variables</w:t>
        <w:br w:type="textWrapping"/>
      </w:r>
      <w:r w:rsidDel="00000000" w:rsidR="00000000" w:rsidRPr="00000000">
        <w:rPr>
          <w:rFonts w:ascii="Times New Roman" w:cs="Times New Roman" w:eastAsia="Times New Roman" w:hAnsi="Times New Roman"/>
          <w:sz w:val="24"/>
          <w:szCs w:val="24"/>
          <w:rtl w:val="0"/>
        </w:rPr>
        <w:t xml:space="preserve">Bioclimatic variables, including Annual Mean Temperature (℃) and Annual Precipitation (kg m⁻²), were retrieved from WorldClim and calculated based on the central coordinate of each city. Land use and land cover data were obtained from the National Land Cover Database (NLCD) for the Continental United States (CONUS). Specifically, we used the NLCD 2019 Percent Developed Imperviousness and the NLCD 2021 USFS Tree Canopy Cover rasters. The summed raster values within a 45 km buffer around each city's central coordinates were extracted using the ‘terra’ package in R (v1.7.78, Hijmans 2024). </w:t>
      </w:r>
    </w:p>
    <w:p w:rsidR="00000000" w:rsidDel="00000000" w:rsidP="00000000" w:rsidRDefault="00000000" w:rsidRPr="00000000" w14:paraId="00000017">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734050" cy="1933575"/>
            <wp:effectExtent b="0" l="0" r="0" t="0"/>
            <wp:docPr id="5" name="image6.png"/>
            <a:graphic>
              <a:graphicData uri="http://schemas.openxmlformats.org/drawingml/2006/picture">
                <pic:pic>
                  <pic:nvPicPr>
                    <pic:cNvPr id="0" name="image6.png"/>
                    <pic:cNvPicPr preferRelativeResize="0"/>
                  </pic:nvPicPr>
                  <pic:blipFill>
                    <a:blip r:embed="rId8"/>
                    <a:srcRect b="20938" l="1602" r="1923" t="21256"/>
                    <a:stretch>
                      <a:fillRect/>
                    </a:stretch>
                  </pic:blipFill>
                  <pic:spPr>
                    <a:xfrm>
                      <a:off x="0" y="0"/>
                      <a:ext cx="5734050" cy="1933575"/>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Figure S2.</w:t>
      </w:r>
      <w:r w:rsidDel="00000000" w:rsidR="00000000" w:rsidRPr="00000000">
        <w:rPr>
          <w:rFonts w:ascii="Times New Roman" w:cs="Times New Roman" w:eastAsia="Times New Roman" w:hAnsi="Times New Roman"/>
          <w:sz w:val="24"/>
          <w:szCs w:val="24"/>
          <w:rtl w:val="0"/>
        </w:rPr>
        <w:t xml:space="preserve"> Plots of </w:t>
      </w:r>
      <w:r w:rsidDel="00000000" w:rsidR="00000000" w:rsidRPr="00000000">
        <w:rPr>
          <w:rFonts w:ascii="Times New Roman" w:cs="Times New Roman" w:eastAsia="Times New Roman" w:hAnsi="Times New Roman"/>
          <w:b w:val="1"/>
          <w:sz w:val="24"/>
          <w:szCs w:val="24"/>
          <w:rtl w:val="0"/>
        </w:rPr>
        <w:t xml:space="preserve">A)</w:t>
      </w:r>
      <w:r w:rsidDel="00000000" w:rsidR="00000000" w:rsidRPr="00000000">
        <w:rPr>
          <w:rFonts w:ascii="Times New Roman" w:cs="Times New Roman" w:eastAsia="Times New Roman" w:hAnsi="Times New Roman"/>
          <w:sz w:val="24"/>
          <w:szCs w:val="24"/>
          <w:rtl w:val="0"/>
        </w:rPr>
        <w:t xml:space="preserve"> The National Land Cover Database (NLCD) 2019 Percent Developed Imperviousness and </w:t>
      </w:r>
      <w:r w:rsidDel="00000000" w:rsidR="00000000" w:rsidRPr="00000000">
        <w:rPr>
          <w:rFonts w:ascii="Times New Roman" w:cs="Times New Roman" w:eastAsia="Times New Roman" w:hAnsi="Times New Roman"/>
          <w:b w:val="1"/>
          <w:sz w:val="24"/>
          <w:szCs w:val="24"/>
          <w:rtl w:val="0"/>
        </w:rPr>
        <w:t xml:space="preserve">B)</w:t>
      </w:r>
      <w:r w:rsidDel="00000000" w:rsidR="00000000" w:rsidRPr="00000000">
        <w:rPr>
          <w:rFonts w:ascii="Times New Roman" w:cs="Times New Roman" w:eastAsia="Times New Roman" w:hAnsi="Times New Roman"/>
          <w:sz w:val="24"/>
          <w:szCs w:val="24"/>
          <w:rtl w:val="0"/>
        </w:rPr>
        <w:t xml:space="preserve"> 2021 USFS Tree Canopy Cover rasters for the Continental United States.</w:t>
      </w:r>
    </w:p>
    <w:p w:rsidR="00000000" w:rsidDel="00000000" w:rsidP="00000000" w:rsidRDefault="00000000" w:rsidRPr="00000000" w14:paraId="00000019">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Biodiversity Metrics</w:t>
        <w:br w:type="textWrapping"/>
      </w:r>
      <w:r w:rsidDel="00000000" w:rsidR="00000000" w:rsidRPr="00000000">
        <w:rPr>
          <w:rFonts w:ascii="Times New Roman" w:cs="Times New Roman" w:eastAsia="Times New Roman" w:hAnsi="Times New Roman"/>
          <w:sz w:val="24"/>
          <w:szCs w:val="24"/>
          <w:rtl w:val="0"/>
        </w:rPr>
        <w:t xml:space="preserve">Research-grade iNaturalist data, downloaded from GBIF on March 12, 2024 (GBIF, 2024), served as the basis for our biodiversity metrics. The sample period spanned from 2015 to 2023, the latest year of available data, and the expected duration for the attenuation of the event's impact. The data were filtered to include only bee taxa found in the continental United States (families: Apidae, Halictidae, Megachilidae, Andrenidae, Colletidae, Melittidae). Bee abundance values were calculated from observations within a 45 km buffer of each city's central coordinates for each year in the dataset.</w:t>
      </w:r>
    </w:p>
    <w:p w:rsidR="00000000" w:rsidDel="00000000" w:rsidP="00000000" w:rsidRDefault="00000000" w:rsidRPr="00000000" w14:paraId="0000001A">
      <w:pPr>
        <w:spacing w:after="240" w:before="24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Creating the Synthetic Control</w:t>
        <w:br w:type="textWrapping"/>
      </w:r>
      <w:r w:rsidDel="00000000" w:rsidR="00000000" w:rsidRPr="00000000">
        <w:rPr>
          <w:rFonts w:ascii="Times New Roman" w:cs="Times New Roman" w:eastAsia="Times New Roman" w:hAnsi="Times New Roman"/>
          <w:sz w:val="24"/>
          <w:szCs w:val="24"/>
          <w:rtl w:val="0"/>
        </w:rPr>
        <w:t xml:space="preserve">The final dataset included bee abundance, annual precipitation, mean annual temperature, and population by year for each city</w:t>
      </w:r>
      <w:r w:rsidDel="00000000" w:rsidR="00000000" w:rsidRPr="00000000">
        <w:rPr>
          <w:rFonts w:ascii="Times New Roman" w:cs="Times New Roman" w:eastAsia="Times New Roman" w:hAnsi="Times New Roman"/>
          <w:sz w:val="24"/>
          <w:szCs w:val="24"/>
          <w:rtl w:val="0"/>
        </w:rPr>
        <w:t xml:space="preserve">. Since annual data for some variables were not available, the most recent yearly values for tree canopy cover, percent imperviousness, and </w:t>
      </w:r>
      <w:r w:rsidDel="00000000" w:rsidR="00000000" w:rsidRPr="00000000">
        <w:rPr>
          <w:rFonts w:ascii="Times New Roman" w:cs="Times New Roman" w:eastAsia="Times New Roman" w:hAnsi="Times New Roman"/>
          <w:sz w:val="24"/>
          <w:szCs w:val="24"/>
          <w:rtl w:val="0"/>
        </w:rPr>
        <w:t xml:space="preserve">city area</w:t>
      </w:r>
      <w:r w:rsidDel="00000000" w:rsidR="00000000" w:rsidRPr="00000000">
        <w:rPr>
          <w:rFonts w:ascii="Times New Roman" w:cs="Times New Roman" w:eastAsia="Times New Roman" w:hAnsi="Times New Roman"/>
          <w:sz w:val="24"/>
          <w:szCs w:val="24"/>
          <w:rtl w:val="0"/>
        </w:rPr>
        <w:t xml:space="preserve"> were included, as these variables were not expected to change significantly during the study period. These variables were included as predictors because iNaturalist data collection is influenced by city population size and density, while bee populations are affected by impervious surfaces, tree canopy cover, temperature, and precipitation. Cities that may have been affected by the event (i.e., spillover) or showed unusual changes in bee abundance in the pretreatment era—Boston, Atlanta, Baltimore, and Houston—were excluded from the donor pool to meet the key assumptions outlined in Table 1 in the main text.</w:t>
      </w:r>
    </w:p>
    <w:p w:rsidR="00000000" w:rsidDel="00000000" w:rsidP="00000000" w:rsidRDefault="00000000" w:rsidRPr="00000000" w14:paraId="0000001C">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6012408" cy="3561755"/>
            <wp:effectExtent b="0" l="0" r="0" t="0"/>
            <wp:docPr id="1" name="image7.png"/>
            <a:graphic>
              <a:graphicData uri="http://schemas.openxmlformats.org/drawingml/2006/picture">
                <pic:pic>
                  <pic:nvPicPr>
                    <pic:cNvPr id="0" name="image7.png"/>
                    <pic:cNvPicPr preferRelativeResize="0"/>
                  </pic:nvPicPr>
                  <pic:blipFill>
                    <a:blip r:embed="rId9"/>
                    <a:srcRect b="0" l="2295" r="2786" t="0"/>
                    <a:stretch>
                      <a:fillRect/>
                    </a:stretch>
                  </pic:blipFill>
                  <pic:spPr>
                    <a:xfrm>
                      <a:off x="0" y="0"/>
                      <a:ext cx="6012408" cy="3561755"/>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Figure S3. </w:t>
      </w:r>
      <w:r w:rsidDel="00000000" w:rsidR="00000000" w:rsidRPr="00000000">
        <w:rPr>
          <w:rFonts w:ascii="Times New Roman" w:cs="Times New Roman" w:eastAsia="Times New Roman" w:hAnsi="Times New Roman"/>
          <w:sz w:val="24"/>
          <w:szCs w:val="24"/>
          <w:rtl w:val="0"/>
        </w:rPr>
        <w:t xml:space="preserve">Map of the final cities in the donor pool (n = 26), with the treated city, Philadelphia, labelled. 45 km buffers are shown surrounding the central point for each city. The base map is a Sentinel-2 10m land use/land cover map showing data from 2021 - 2022, produced by Impact Observatory and Esri (Karra et al., 2021). </w:t>
      </w:r>
    </w:p>
    <w:p w:rsidR="00000000" w:rsidDel="00000000" w:rsidP="00000000" w:rsidRDefault="00000000" w:rsidRPr="00000000" w14:paraId="0000001E">
      <w:pPr>
        <w:pStyle w:val="Heading4"/>
        <w:spacing w:after="240" w:before="240" w:line="360" w:lineRule="auto"/>
        <w:rPr/>
      </w:pPr>
      <w:bookmarkStart w:colFirst="0" w:colLast="0" w:name="_algsxngvtpc5" w:id="3"/>
      <w:bookmarkEnd w:id="3"/>
      <w:r w:rsidDel="00000000" w:rsidR="00000000" w:rsidRPr="00000000">
        <w:rPr>
          <w:rtl w:val="0"/>
        </w:rPr>
      </w:r>
    </w:p>
    <w:p w:rsidR="00000000" w:rsidDel="00000000" w:rsidP="00000000" w:rsidRDefault="00000000" w:rsidRPr="00000000" w14:paraId="0000001F">
      <w:pPr>
        <w:pStyle w:val="Heading4"/>
        <w:spacing w:after="240" w:before="240" w:line="360" w:lineRule="auto"/>
        <w:rPr/>
      </w:pPr>
      <w:bookmarkStart w:colFirst="0" w:colLast="0" w:name="_5gt59gf0kovc" w:id="4"/>
      <w:bookmarkEnd w:id="4"/>
      <w:r w:rsidDel="00000000" w:rsidR="00000000" w:rsidRPr="00000000">
        <w:br w:type="page"/>
      </w:r>
      <w:r w:rsidDel="00000000" w:rsidR="00000000" w:rsidRPr="00000000">
        <w:rPr>
          <w:rtl w:val="0"/>
        </w:rPr>
      </w:r>
    </w:p>
    <w:p w:rsidR="00000000" w:rsidDel="00000000" w:rsidP="00000000" w:rsidRDefault="00000000" w:rsidRPr="00000000" w14:paraId="00000020">
      <w:pPr>
        <w:pStyle w:val="Heading4"/>
        <w:spacing w:after="240" w:before="240" w:line="360" w:lineRule="auto"/>
        <w:rPr/>
      </w:pPr>
      <w:bookmarkStart w:colFirst="0" w:colLast="0" w:name="_mh9phqps9ozx" w:id="5"/>
      <w:bookmarkEnd w:id="5"/>
      <w:r w:rsidDel="00000000" w:rsidR="00000000" w:rsidRPr="00000000">
        <w:rPr>
          <w:rtl w:val="0"/>
        </w:rPr>
        <w:t xml:space="preserve">Section II: Case Study - </w:t>
      </w:r>
      <w:r w:rsidDel="00000000" w:rsidR="00000000" w:rsidRPr="00000000">
        <w:rPr>
          <w:rtl w:val="0"/>
        </w:rPr>
        <w:t xml:space="preserve">Inference from the Synthetic Control</w:t>
      </w:r>
      <w:r w:rsidDel="00000000" w:rsidR="00000000" w:rsidRPr="00000000">
        <w:rPr>
          <w:rtl w:val="0"/>
        </w:rPr>
      </w:r>
    </w:p>
    <w:p w:rsidR="00000000" w:rsidDel="00000000" w:rsidP="00000000" w:rsidRDefault="00000000" w:rsidRPr="00000000" w14:paraId="00000021">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synthetic control was generated using the tidysynth package in R (v0.2.0, Dunford 2023). Predictors included in the synthetic control were mean temperature (℃), annual precipitation (kg m⁻²), population, total impervious surface, total tree canopy cover, and city area (km²). The optimization window for generating weights in the synthetic control was set from 2015 to 2021, representing the pre-event period.</w:t>
      </w:r>
      <w:r w:rsidDel="00000000" w:rsidR="00000000" w:rsidRPr="00000000">
        <w:rPr>
          <w:rtl w:val="0"/>
        </w:rPr>
      </w:r>
    </w:p>
    <w:p w:rsidR="00000000" w:rsidDel="00000000" w:rsidP="00000000" w:rsidRDefault="00000000" w:rsidRPr="00000000" w14:paraId="00000022">
      <w:pPr>
        <w:spacing w:line="36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Pr>
        <w:drawing>
          <wp:inline distB="114300" distT="114300" distL="114300" distR="114300">
            <wp:extent cx="5805488" cy="5334496"/>
            <wp:effectExtent b="0" l="0" r="0" t="0"/>
            <wp:docPr id="2" name="image5.png"/>
            <a:graphic>
              <a:graphicData uri="http://schemas.openxmlformats.org/drawingml/2006/picture">
                <pic:pic>
                  <pic:nvPicPr>
                    <pic:cNvPr id="0" name="image5.png"/>
                    <pic:cNvPicPr preferRelativeResize="0"/>
                  </pic:nvPicPr>
                  <pic:blipFill>
                    <a:blip r:embed="rId10"/>
                    <a:srcRect b="0" l="0" r="0" t="0"/>
                    <a:stretch>
                      <a:fillRect/>
                    </a:stretch>
                  </pic:blipFill>
                  <pic:spPr>
                    <a:xfrm>
                      <a:off x="0" y="0"/>
                      <a:ext cx="5805488" cy="5334496"/>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Figure S4.</w:t>
      </w:r>
      <w:r w:rsidDel="00000000" w:rsidR="00000000" w:rsidRPr="00000000">
        <w:rPr>
          <w:rFonts w:ascii="Times New Roman" w:cs="Times New Roman" w:eastAsia="Times New Roman" w:hAnsi="Times New Roman"/>
          <w:sz w:val="24"/>
          <w:szCs w:val="24"/>
          <w:rtl w:val="0"/>
        </w:rPr>
        <w:t xml:space="preserve"> Control unit and predictor variable weights in the ‘tidysynth’ synthetic control.</w:t>
      </w:r>
    </w:p>
    <w:p w:rsidR="00000000" w:rsidDel="00000000" w:rsidP="00000000" w:rsidRDefault="00000000" w:rsidRPr="00000000" w14:paraId="00000024">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706960" cy="5706960"/>
            <wp:effectExtent b="0" l="0" r="0" t="0"/>
            <wp:docPr id="7" name="image4.png"/>
            <a:graphic>
              <a:graphicData uri="http://schemas.openxmlformats.org/drawingml/2006/picture">
                <pic:pic>
                  <pic:nvPicPr>
                    <pic:cNvPr id="0" name="image4.png"/>
                    <pic:cNvPicPr preferRelativeResize="0"/>
                  </pic:nvPicPr>
                  <pic:blipFill>
                    <a:blip r:embed="rId11"/>
                    <a:srcRect b="0" l="0" r="0" t="0"/>
                    <a:stretch>
                      <a:fillRect/>
                    </a:stretch>
                  </pic:blipFill>
                  <pic:spPr>
                    <a:xfrm>
                      <a:off x="0" y="0"/>
                      <a:ext cx="5706960" cy="5706960"/>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Figure S5.</w:t>
      </w:r>
      <w:r w:rsidDel="00000000" w:rsidR="00000000" w:rsidRPr="00000000">
        <w:rPr>
          <w:rFonts w:ascii="Times New Roman" w:cs="Times New Roman" w:eastAsia="Times New Roman" w:hAnsi="Times New Roman"/>
          <w:sz w:val="24"/>
          <w:szCs w:val="24"/>
          <w:rtl w:val="0"/>
        </w:rPr>
        <w:t xml:space="preserve"> The Mean Square Prediction Error (MSPE) ratios for each unit listed in descending order. A higher ratio shows a higher divergence in the outcome variable pre-and post-treatment.</w:t>
      </w:r>
    </w:p>
    <w:p w:rsidR="00000000" w:rsidDel="00000000" w:rsidP="00000000" w:rsidRDefault="00000000" w:rsidRPr="00000000" w14:paraId="00000027">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S1. </w:t>
      </w:r>
      <w:r w:rsidDel="00000000" w:rsidR="00000000" w:rsidRPr="00000000">
        <w:rPr>
          <w:rFonts w:ascii="Times New Roman" w:cs="Times New Roman" w:eastAsia="Times New Roman" w:hAnsi="Times New Roman"/>
          <w:sz w:val="24"/>
          <w:szCs w:val="24"/>
          <w:rtl w:val="0"/>
        </w:rPr>
        <w:t xml:space="preserve">A significance table ranking units in descending order based on the </w:t>
      </w:r>
      <w:r w:rsidDel="00000000" w:rsidR="00000000" w:rsidRPr="00000000">
        <w:rPr>
          <w:rFonts w:ascii="Times New Roman" w:cs="Times New Roman" w:eastAsia="Times New Roman" w:hAnsi="Times New Roman"/>
          <w:sz w:val="24"/>
          <w:szCs w:val="24"/>
          <w:rtl w:val="0"/>
        </w:rPr>
        <w:t xml:space="preserve">Mean Square P</w:t>
      </w:r>
      <w:r w:rsidDel="00000000" w:rsidR="00000000" w:rsidRPr="00000000">
        <w:rPr>
          <w:rFonts w:ascii="Times New Roman" w:cs="Times New Roman" w:eastAsia="Times New Roman" w:hAnsi="Times New Roman"/>
          <w:sz w:val="24"/>
          <w:szCs w:val="24"/>
          <w:rtl w:val="0"/>
        </w:rPr>
        <w:t xml:space="preserve">rediction Error (MSPE) ra</w:t>
      </w:r>
      <w:r w:rsidDel="00000000" w:rsidR="00000000" w:rsidRPr="00000000">
        <w:rPr>
          <w:rFonts w:ascii="Times New Roman" w:cs="Times New Roman" w:eastAsia="Times New Roman" w:hAnsi="Times New Roman"/>
          <w:sz w:val="24"/>
          <w:szCs w:val="24"/>
          <w:rtl w:val="0"/>
        </w:rPr>
        <w:t xml:space="preserve">tio. Fisher’s Exact P-values are constructed by dividing a unit's rank by the total.</w:t>
      </w:r>
    </w:p>
    <w:tbl>
      <w:tblPr>
        <w:tblStyle w:val="Table1"/>
        <w:tblW w:w="9360.00000000000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293.157894736842"/>
        <w:gridCol w:w="1159.7368421052631"/>
        <w:gridCol w:w="1447.1052631578948"/>
        <w:gridCol w:w="1354.7368421052633"/>
        <w:gridCol w:w="1026.3157894736842"/>
        <w:gridCol w:w="1026.3157894736842"/>
        <w:gridCol w:w="1026.3157894736842"/>
        <w:gridCol w:w="1026.3157894736842"/>
        <w:tblGridChange w:id="0">
          <w:tblGrid>
            <w:gridCol w:w="1293.157894736842"/>
            <w:gridCol w:w="1159.7368421052631"/>
            <w:gridCol w:w="1447.1052631578948"/>
            <w:gridCol w:w="1354.7368421052633"/>
            <w:gridCol w:w="1026.3157894736842"/>
            <w:gridCol w:w="1026.3157894736842"/>
            <w:gridCol w:w="1026.3157894736842"/>
            <w:gridCol w:w="1026.3157894736842"/>
          </w:tblGrid>
        </w:tblGridChange>
      </w:tblGrid>
      <w:tr>
        <w:trPr>
          <w:cantSplit w:val="0"/>
          <w:trHeight w:val="450" w:hRule="atLeast"/>
          <w:tblHeader w:val="0"/>
        </w:trPr>
        <w:tc>
          <w:tcPr>
            <w:tcBorders>
              <w:top w:color="d6dadc" w:space="0" w:sz="6" w:val="single"/>
              <w:left w:color="cccccc" w:space="0" w:sz="6" w:val="single"/>
              <w:bottom w:color="ccccc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28">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City</w:t>
            </w:r>
            <w:r w:rsidDel="00000000" w:rsidR="00000000" w:rsidRPr="00000000">
              <w:rPr>
                <w:rtl w:val="0"/>
              </w:rPr>
            </w:r>
          </w:p>
        </w:tc>
        <w:tc>
          <w:tcPr>
            <w:tcBorders>
              <w:top w:color="d6dad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9">
            <w:pPr>
              <w:widowControl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Type</w:t>
            </w:r>
          </w:p>
        </w:tc>
        <w:tc>
          <w:tcPr>
            <w:tcBorders>
              <w:top w:color="d6dadc" w:space="0" w:sz="6" w:val="single"/>
              <w:left w:color="cccccc" w:space="0" w:sz="6" w:val="single"/>
              <w:bottom w:color="ccccc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2A">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Pre MSPE</w:t>
            </w:r>
            <w:r w:rsidDel="00000000" w:rsidR="00000000" w:rsidRPr="00000000">
              <w:rPr>
                <w:rtl w:val="0"/>
              </w:rPr>
            </w:r>
          </w:p>
        </w:tc>
        <w:tc>
          <w:tcPr>
            <w:tcBorders>
              <w:top w:color="d6dadc" w:space="0" w:sz="6" w:val="single"/>
              <w:left w:color="cccccc" w:space="0" w:sz="6" w:val="single"/>
              <w:bottom w:color="ccccc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2B">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Post MSPE</w:t>
            </w:r>
            <w:r w:rsidDel="00000000" w:rsidR="00000000" w:rsidRPr="00000000">
              <w:rPr>
                <w:rtl w:val="0"/>
              </w:rPr>
            </w:r>
          </w:p>
        </w:tc>
        <w:tc>
          <w:tcPr>
            <w:tcBorders>
              <w:top w:color="d6dadc" w:space="0" w:sz="6" w:val="single"/>
              <w:left w:color="cccccc" w:space="0" w:sz="6" w:val="single"/>
              <w:bottom w:color="ccccc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2C">
            <w:pPr>
              <w:widowControl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MSPE</w:t>
            </w:r>
          </w:p>
          <w:p w:rsidR="00000000" w:rsidDel="00000000" w:rsidP="00000000" w:rsidRDefault="00000000" w:rsidRPr="00000000" w14:paraId="0000002D">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ratio</w:t>
            </w:r>
            <w:r w:rsidDel="00000000" w:rsidR="00000000" w:rsidRPr="00000000">
              <w:rPr>
                <w:rtl w:val="0"/>
              </w:rPr>
            </w:r>
          </w:p>
        </w:tc>
        <w:tc>
          <w:tcPr>
            <w:tcBorders>
              <w:top w:color="d6dadc" w:space="0" w:sz="6" w:val="single"/>
              <w:left w:color="cccccc" w:space="0" w:sz="6" w:val="single"/>
              <w:bottom w:color="ccccc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2E">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Rank</w:t>
            </w:r>
            <w:r w:rsidDel="00000000" w:rsidR="00000000" w:rsidRPr="00000000">
              <w:rPr>
                <w:rtl w:val="0"/>
              </w:rPr>
            </w:r>
          </w:p>
        </w:tc>
        <w:tc>
          <w:tcPr>
            <w:tcBorders>
              <w:top w:color="d6dadc" w:space="0" w:sz="6" w:val="single"/>
              <w:left w:color="cccccc" w:space="0" w:sz="6" w:val="single"/>
              <w:bottom w:color="ccccc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2F">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Fishers Exact Pvalue</w:t>
            </w:r>
            <w:r w:rsidDel="00000000" w:rsidR="00000000" w:rsidRPr="00000000">
              <w:rPr>
                <w:rtl w:val="0"/>
              </w:rPr>
            </w:r>
          </w:p>
        </w:tc>
        <w:tc>
          <w:tcPr>
            <w:tcBorders>
              <w:top w:color="cccccc" w:space="0" w:sz="6" w:val="single"/>
              <w:left w:color="cccccc" w:space="0" w:sz="6" w:val="single"/>
              <w:bottom w:color="ccccc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30">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z score</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31">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Philadelphia</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32">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Treated</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33">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12.07</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34">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1,605.41</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35">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133.06</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36">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37">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0.037*</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38">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4.870</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39">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Chicago</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3A">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3B">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597.09</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3C">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15,659.84</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3D">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26.23</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3E">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2</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3F">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0.074</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40">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0.625</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41">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Orlando</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42">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43">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465.67</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44">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6,627.20</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45">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14.23</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46">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3</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47">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0.111</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48">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0.148</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49">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Raleigh</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4A">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4B">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595.30</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4C">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6,885.13</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4D">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11.57</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4E">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4</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4F">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0.148</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50">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0.042</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51">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Riverside</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52">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53">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1,168.90</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54">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12,747.19</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55">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10.91</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56">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5</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57">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0.185</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58">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0.016</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59">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Denver</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5A">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5B">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490.91</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5C">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4,957.40</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5D">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10.10</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5E">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6</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5F">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0.222</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60">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-0.016</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61">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Cleveland</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62">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63">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859.77</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64">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8,654.28</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65">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10.07</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66">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7</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67">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0.259</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68">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-0.018</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69">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Santa Ana</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6A">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6B">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12,594.63</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6C">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121,946.81</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6D">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9.68</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6E">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8</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6F">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0.296</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70">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-0.033</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71">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Charlotte</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72">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73">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1,777.58</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74">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15,767.97</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75">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8.87</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76">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9</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77">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0.333</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78">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-0.065</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79">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Cincinnati</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7A">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7B">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2,556.68</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7C">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21,391.41</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7D">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8.37</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7E">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10</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7F">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0.370</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80">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-0.085</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81">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Milwaukee</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82">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83">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1,251.41</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84">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6,186.09</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85">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4.94</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86">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11</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87">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0.407</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88">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-0.221</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89">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San Diego</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8A">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8B">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8,508.78</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8C">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40,748.79</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8D">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4.79</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8E">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12</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8F">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0.444</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90">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-0.227</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91">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Seattle</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92">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93">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4,379.79</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94">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20,060.35</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95">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4.58</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96">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13</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97">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0.481</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98">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-0.236</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99">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Jacksonville</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9A">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9B">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912.21</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9C">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4,154.74</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9D">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4.55</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9E">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14</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9F">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0.519</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A0">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-0.237</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A1">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Dallas</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A2">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A3">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636.90</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A4">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2,398.06</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A5">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3.77</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A6">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15</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A7">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0.556</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A8">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-0.268</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A9">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Tampa</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AA">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AB">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67.23</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AC">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252.37</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AD">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3.75</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AE">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16</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AF">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0.593</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B0">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-0.268</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B1">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Detroit</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B2">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B3">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12,878.51</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B4">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42,530.09</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B5">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3.30</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B6">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17</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B7">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0.630</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B8">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-0.286</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B9">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Los Angeles</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BA">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BB">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4,137.59</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BC">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11,614.45</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BD">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2.81</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BE">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18</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BF">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0.667</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C0">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-0.306</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C1">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Phoenix</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C2">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C3">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1,896.37</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C4">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4,911.51</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C5">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2.59</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C6">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19</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C7">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0.704</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C8">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-0.315</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C9">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Columbus</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CA">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CB">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1,420.81</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CC">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2,622.19</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CD">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1.85</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CE">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20</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CF">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0.741</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D0">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-0.344</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D1">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Sacramento</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D2">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D3">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2,458.45</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D4">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2,554.83</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D5">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1.04</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D6">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21</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D7">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0.778</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D8">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-0.376</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D9">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San Antonio</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DA">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DB">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173.61</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DC">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173.55</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DD">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1.00</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DE">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22</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DF">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0.815</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E0">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-0.378</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E1">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Austin</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E2">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E3">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2,159.21</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E4">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1,879.42</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E5">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0.87</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E6">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23</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E7">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0.852</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E8">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-0.383</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E9">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Fort Worth</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EA">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EB">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2,562.64</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EC">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912.45</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ED">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0.36</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EE">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24</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EF">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0.889</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F0">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-0.403</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F1">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Albuquerque</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F2">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F3">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1,931.57</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F4">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295.69</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F5">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0.15</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F6">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25</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F7">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0.926</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F8">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-0.411</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F9">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San Jose</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FA">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FB">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5,641.29</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FC">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811.31</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FD">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0.14</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FE">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26</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0FF">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0.963</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100">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-0.412</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101">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San Francisco</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102">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Donor</w:t>
            </w:r>
            <w:r w:rsidDel="00000000" w:rsidR="00000000" w:rsidRPr="00000000">
              <w:rPr>
                <w:rtl w:val="0"/>
              </w:rPr>
            </w:r>
          </w:p>
        </w:tc>
        <w:tc>
          <w:tcPr>
            <w:tcBorders>
              <w:top w:color="cccccc" w:space="0" w:sz="6" w:val="single"/>
              <w:left w:color="d6dad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103">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9,454.01</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104">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1,142.65</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105">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0.12</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106">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27</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107">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1.000</w:t>
            </w:r>
            <w:r w:rsidDel="00000000" w:rsidR="00000000" w:rsidRPr="00000000">
              <w:rPr>
                <w:rtl w:val="0"/>
              </w:rPr>
            </w:r>
          </w:p>
        </w:tc>
        <w:tc>
          <w:tcPr>
            <w:tcBorders>
              <w:top w:color="cccccc" w:space="0" w:sz="6" w:val="single"/>
              <w:left w:color="cccccc" w:space="0" w:sz="6" w:val="single"/>
              <w:bottom w:color="d6dadc" w:space="0" w:sz="6" w:val="single"/>
              <w:right w:color="d6dadc" w:space="0" w:sz="6" w:val="single"/>
            </w:tcBorders>
            <w:tcMar>
              <w:top w:w="40.0" w:type="dxa"/>
              <w:left w:w="40.0" w:type="dxa"/>
              <w:bottom w:w="40.0" w:type="dxa"/>
              <w:right w:w="40.0" w:type="dxa"/>
            </w:tcMar>
            <w:vAlign w:val="bottom"/>
          </w:tcPr>
          <w:p w:rsidR="00000000" w:rsidDel="00000000" w:rsidP="00000000" w:rsidRDefault="00000000" w:rsidRPr="00000000" w14:paraId="00000108">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80808"/>
                <w:rtl w:val="0"/>
              </w:rPr>
              <w:t xml:space="preserve">-0.413</w:t>
            </w:r>
            <w:r w:rsidDel="00000000" w:rsidR="00000000" w:rsidRPr="00000000">
              <w:rPr>
                <w:rtl w:val="0"/>
              </w:rPr>
            </w:r>
          </w:p>
        </w:tc>
      </w:tr>
    </w:tbl>
    <w:p w:rsidR="00000000" w:rsidDel="00000000" w:rsidP="00000000" w:rsidRDefault="00000000" w:rsidRPr="00000000" w14:paraId="00000109">
      <w:pPr>
        <w:spacing w:after="240" w:before="240" w:line="36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A">
      <w:pPr>
        <w:spacing w:after="240" w:before="240"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Estimating Uncertainty from the Synthetic Control in ‘scpi’</w:t>
      </w:r>
    </w:p>
    <w:p w:rsidR="00000000" w:rsidDel="00000000" w:rsidP="00000000" w:rsidRDefault="00000000" w:rsidRPr="00000000" w14:paraId="0000010B">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same dataset of predictor variables and donor units were used for generating a synthetic control and estimating uncertainty in the R package ‘scpi’ (</w:t>
      </w:r>
      <w:r w:rsidDel="00000000" w:rsidR="00000000" w:rsidRPr="00000000">
        <w:rPr>
          <w:rFonts w:ascii="Times New Roman" w:cs="Times New Roman" w:eastAsia="Times New Roman" w:hAnsi="Times New Roman"/>
          <w:sz w:val="24"/>
          <w:szCs w:val="24"/>
          <w:rtl w:val="0"/>
        </w:rPr>
        <w:t xml:space="preserve">v3.0.0, Cattaneo et al. 2025</w:t>
      </w:r>
      <w:r w:rsidDel="00000000" w:rsidR="00000000" w:rsidRPr="00000000">
        <w:rPr>
          <w:rFonts w:ascii="Times New Roman" w:cs="Times New Roman" w:eastAsia="Times New Roman" w:hAnsi="Times New Roman"/>
          <w:sz w:val="24"/>
          <w:szCs w:val="24"/>
          <w:rtl w:val="0"/>
        </w:rPr>
        <w:t xml:space="preserve">). For this package, all predictor variables need to be scaled before creating the synthetic control. </w:t>
      </w:r>
    </w:p>
    <w:p w:rsidR="00000000" w:rsidDel="00000000" w:rsidP="00000000" w:rsidRDefault="00000000" w:rsidRPr="00000000" w14:paraId="0000010C">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3670300"/>
            <wp:effectExtent b="0" l="0" r="0" t="0"/>
            <wp:docPr id="4"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5943600" cy="3670300"/>
                    </a:xfrm>
                    <a:prstGeom prst="rect"/>
                    <a:ln/>
                  </pic:spPr>
                </pic:pic>
              </a:graphicData>
            </a:graphic>
          </wp:inline>
        </w:drawing>
      </w:r>
      <w:r w:rsidDel="00000000" w:rsidR="00000000" w:rsidRPr="00000000">
        <w:rPr>
          <w:rtl w:val="0"/>
        </w:rPr>
      </w:r>
    </w:p>
    <w:p w:rsidR="00000000" w:rsidDel="00000000" w:rsidP="00000000" w:rsidRDefault="00000000" w:rsidRPr="00000000" w14:paraId="0000010D">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Figure S6.</w:t>
      </w:r>
      <w:r w:rsidDel="00000000" w:rsidR="00000000" w:rsidRPr="00000000">
        <w:rPr>
          <w:rFonts w:ascii="Times New Roman" w:cs="Times New Roman" w:eastAsia="Times New Roman" w:hAnsi="Times New Roman"/>
          <w:sz w:val="24"/>
          <w:szCs w:val="24"/>
          <w:rtl w:val="0"/>
        </w:rPr>
        <w:t xml:space="preserve"> Control unit weights in the ‘scpi’ synthetic control.</w:t>
      </w:r>
    </w:p>
    <w:p w:rsidR="00000000" w:rsidDel="00000000" w:rsidP="00000000" w:rsidRDefault="00000000" w:rsidRPr="00000000" w14:paraId="0000010E">
      <w:pPr>
        <w:pStyle w:val="Heading4"/>
        <w:spacing w:after="240" w:before="240" w:line="360" w:lineRule="auto"/>
        <w:rPr/>
      </w:pPr>
      <w:bookmarkStart w:colFirst="0" w:colLast="0" w:name="_2yvjahuvhy4t" w:id="6"/>
      <w:bookmarkEnd w:id="6"/>
      <w:r w:rsidDel="00000000" w:rsidR="00000000" w:rsidRPr="00000000">
        <w:rPr>
          <w:rtl w:val="0"/>
        </w:rPr>
      </w:r>
    </w:p>
    <w:p w:rsidR="00000000" w:rsidDel="00000000" w:rsidP="00000000" w:rsidRDefault="00000000" w:rsidRPr="00000000" w14:paraId="0000010F">
      <w:pPr>
        <w:pStyle w:val="Heading4"/>
        <w:spacing w:after="240" w:before="240" w:line="360" w:lineRule="auto"/>
        <w:rPr/>
      </w:pPr>
      <w:bookmarkStart w:colFirst="0" w:colLast="0" w:name="_xbp9r4rqgsqe" w:id="7"/>
      <w:bookmarkEnd w:id="7"/>
      <w:r w:rsidDel="00000000" w:rsidR="00000000" w:rsidRPr="00000000">
        <w:br w:type="page"/>
      </w:r>
      <w:r w:rsidDel="00000000" w:rsidR="00000000" w:rsidRPr="00000000">
        <w:rPr>
          <w:rtl w:val="0"/>
        </w:rPr>
      </w:r>
    </w:p>
    <w:p w:rsidR="00000000" w:rsidDel="00000000" w:rsidP="00000000" w:rsidRDefault="00000000" w:rsidRPr="00000000" w14:paraId="00000110">
      <w:pPr>
        <w:pStyle w:val="Heading4"/>
        <w:spacing w:after="240" w:before="240" w:line="360" w:lineRule="auto"/>
        <w:rPr/>
      </w:pPr>
      <w:bookmarkStart w:colFirst="0" w:colLast="0" w:name="_woet85kde8zw" w:id="8"/>
      <w:bookmarkEnd w:id="8"/>
      <w:r w:rsidDel="00000000" w:rsidR="00000000" w:rsidRPr="00000000">
        <w:rPr>
          <w:rtl w:val="0"/>
        </w:rPr>
        <w:t xml:space="preserve">Section III</w:t>
      </w:r>
      <w:r w:rsidDel="00000000" w:rsidR="00000000" w:rsidRPr="00000000">
        <w:rPr>
          <w:rtl w:val="0"/>
        </w:rPr>
        <w:t xml:space="preserve">: Case Study - Inference from Alternative Methods</w:t>
      </w:r>
    </w:p>
    <w:p w:rsidR="00000000" w:rsidDel="00000000" w:rsidP="00000000" w:rsidRDefault="00000000" w:rsidRPr="00000000" w14:paraId="00000111">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S2.</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Model output for the Before-After (BA) linear regression with an adjusted R</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of 0.492 and a residual std. error of 77.93 on 12 degrees of freedom. </w:t>
      </w:r>
      <w:r w:rsidDel="00000000" w:rsidR="00000000" w:rsidRPr="00000000">
        <w:rPr>
          <w:rtl w:val="0"/>
        </w:rPr>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Estimate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Std. Error</w:t>
            </w:r>
          </w:p>
        </w:tc>
        <w:tc>
          <w:tcPr>
            <w:shd w:fill="auto" w:val="clear"/>
            <w:tcMar>
              <w:top w:w="100.0" w:type="dxa"/>
              <w:left w:w="100.0" w:type="dxa"/>
              <w:bottom w:w="100.0" w:type="dxa"/>
              <w:right w:w="100.0" w:type="dxa"/>
            </w:tcMar>
            <w:vAlign w:val="top"/>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t-value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p-value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Intercept</w:t>
            </w:r>
          </w:p>
        </w:tc>
        <w:tc>
          <w:tcPr>
            <w:shd w:fill="auto" w:val="clear"/>
            <w:tcMar>
              <w:top w:w="100.0" w:type="dxa"/>
              <w:left w:w="100.0" w:type="dxa"/>
              <w:bottom w:w="100.0" w:type="dxa"/>
              <w:right w:w="100.0" w:type="dxa"/>
            </w:tcMar>
            <w:vAlign w:val="top"/>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49.25</w:t>
            </w:r>
          </w:p>
        </w:tc>
        <w:tc>
          <w:tcPr>
            <w:shd w:fill="auto" w:val="clear"/>
            <w:tcMar>
              <w:top w:w="100.0" w:type="dxa"/>
              <w:left w:w="100.0" w:type="dxa"/>
              <w:bottom w:w="100.0" w:type="dxa"/>
              <w:right w:w="100.0" w:type="dxa"/>
            </w:tcMar>
            <w:vAlign w:val="top"/>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22.5</w:t>
            </w:r>
          </w:p>
        </w:tc>
        <w:tc>
          <w:tcPr>
            <w:shd w:fill="auto" w:val="clear"/>
            <w:tcMar>
              <w:top w:w="100.0" w:type="dxa"/>
              <w:left w:w="100.0" w:type="dxa"/>
              <w:bottom w:w="100.0" w:type="dxa"/>
              <w:right w:w="100.0" w:type="dxa"/>
            </w:tcMar>
            <w:vAlign w:val="top"/>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2.189</w:t>
            </w:r>
          </w:p>
        </w:tc>
        <w:tc>
          <w:tcPr>
            <w:shd w:fill="auto" w:val="clear"/>
            <w:tcMar>
              <w:top w:w="100.0" w:type="dxa"/>
              <w:left w:w="100.0" w:type="dxa"/>
              <w:bottom w:w="100.0" w:type="dxa"/>
              <w:right w:w="100.0" w:type="dxa"/>
            </w:tcMar>
            <w:vAlign w:val="top"/>
          </w:tcPr>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0.04907*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Treatment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219.25</w:t>
            </w:r>
          </w:p>
        </w:tc>
        <w:tc>
          <w:tcPr>
            <w:shd w:fill="auto" w:val="clear"/>
            <w:tcMar>
              <w:top w:w="100.0" w:type="dxa"/>
              <w:left w:w="100.0" w:type="dxa"/>
              <w:bottom w:w="100.0" w:type="dxa"/>
              <w:right w:w="100.0" w:type="dxa"/>
            </w:tcMar>
            <w:vAlign w:val="top"/>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59.52</w:t>
            </w:r>
          </w:p>
        </w:tc>
        <w:tc>
          <w:tcPr>
            <w:shd w:fill="auto" w:val="clear"/>
            <w:tcMar>
              <w:top w:w="100.0" w:type="dxa"/>
              <w:left w:w="100.0" w:type="dxa"/>
              <w:bottom w:w="100.0" w:type="dxa"/>
              <w:right w:w="100.0" w:type="dxa"/>
            </w:tcMar>
            <w:vAlign w:val="top"/>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3.684</w:t>
            </w:r>
          </w:p>
        </w:tc>
        <w:tc>
          <w:tcPr>
            <w:shd w:fill="auto" w:val="clear"/>
            <w:tcMar>
              <w:top w:w="100.0" w:type="dxa"/>
              <w:left w:w="100.0" w:type="dxa"/>
              <w:bottom w:w="100.0" w:type="dxa"/>
              <w:right w:w="100.0" w:type="dxa"/>
            </w:tcMar>
            <w:vAlign w:val="top"/>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0.00313**</w:t>
            </w:r>
          </w:p>
        </w:tc>
      </w:tr>
    </w:tbl>
    <w:p w:rsidR="00000000" w:rsidDel="00000000" w:rsidP="00000000" w:rsidRDefault="00000000" w:rsidRPr="00000000" w14:paraId="00000121">
      <w:pPr>
        <w:spacing w:after="240" w:before="24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2">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S3</w:t>
      </w:r>
      <w:r w:rsidDel="00000000" w:rsidR="00000000" w:rsidRPr="00000000">
        <w:rPr>
          <w:rFonts w:ascii="Times New Roman" w:cs="Times New Roman" w:eastAsia="Times New Roman" w:hAnsi="Times New Roman"/>
          <w:sz w:val="24"/>
          <w:szCs w:val="24"/>
          <w:rtl w:val="0"/>
        </w:rPr>
        <w:t xml:space="preserve">. Model output for the Before-After Control-Impact (BACI) analysis with Philadelphia as the treated city and Detroit as a control city. The model has an adjusted R</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of 0.545 and a residual std. error of 57.78 on 24 degrees of freedom.</w:t>
      </w:r>
    </w:p>
    <w:tbl>
      <w:tblPr>
        <w:tblStyle w:val="Table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Estimate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Std. Error</w:t>
            </w:r>
          </w:p>
        </w:tc>
        <w:tc>
          <w:tcPr>
            <w:shd w:fill="auto" w:val="clear"/>
            <w:tcMar>
              <w:top w:w="100.0" w:type="dxa"/>
              <w:left w:w="100.0" w:type="dxa"/>
              <w:bottom w:w="100.0" w:type="dxa"/>
              <w:right w:w="100.0" w:type="dxa"/>
            </w:tcMar>
            <w:vAlign w:val="top"/>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t-value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p-value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Intercept</w:t>
            </w:r>
          </w:p>
        </w:tc>
        <w:tc>
          <w:tcPr>
            <w:shd w:fill="auto" w:val="clear"/>
            <w:tcMar>
              <w:top w:w="100.0" w:type="dxa"/>
              <w:left w:w="100.0" w:type="dxa"/>
              <w:bottom w:w="100.0" w:type="dxa"/>
              <w:right w:w="100.0" w:type="dxa"/>
            </w:tcMar>
            <w:vAlign w:val="top"/>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13.67</w:t>
            </w:r>
          </w:p>
        </w:tc>
        <w:tc>
          <w:tcPr>
            <w:shd w:fill="auto" w:val="clear"/>
            <w:tcMar>
              <w:top w:w="100.0" w:type="dxa"/>
              <w:left w:w="100.0" w:type="dxa"/>
              <w:bottom w:w="100.0" w:type="dxa"/>
              <w:right w:w="100.0" w:type="dxa"/>
            </w:tcMar>
            <w:vAlign w:val="top"/>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16.68</w:t>
            </w:r>
          </w:p>
        </w:tc>
        <w:tc>
          <w:tcPr>
            <w:shd w:fill="auto" w:val="clear"/>
            <w:tcMar>
              <w:top w:w="100.0" w:type="dxa"/>
              <w:left w:w="100.0" w:type="dxa"/>
              <w:bottom w:w="100.0" w:type="dxa"/>
              <w:right w:w="100.0" w:type="dxa"/>
            </w:tcMar>
            <w:vAlign w:val="top"/>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0.819</w:t>
            </w:r>
          </w:p>
        </w:tc>
        <w:tc>
          <w:tcPr>
            <w:shd w:fill="auto" w:val="clear"/>
            <w:tcMar>
              <w:top w:w="100.0" w:type="dxa"/>
              <w:left w:w="100.0" w:type="dxa"/>
              <w:bottom w:w="100.0" w:type="dxa"/>
              <w:right w:w="100.0" w:type="dxa"/>
            </w:tcMar>
            <w:vAlign w:val="top"/>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0.4206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Treated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35.58</w:t>
            </w:r>
          </w:p>
        </w:tc>
        <w:tc>
          <w:tcPr>
            <w:shd w:fill="auto" w:val="clear"/>
            <w:tcMar>
              <w:top w:w="100.0" w:type="dxa"/>
              <w:left w:w="100.0" w:type="dxa"/>
              <w:bottom w:w="100.0" w:type="dxa"/>
              <w:right w:w="100.0" w:type="dxa"/>
            </w:tcMar>
            <w:vAlign w:val="top"/>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23.59</w:t>
            </w:r>
          </w:p>
        </w:tc>
        <w:tc>
          <w:tcPr>
            <w:shd w:fill="auto" w:val="clear"/>
            <w:tcMar>
              <w:top w:w="100.0" w:type="dxa"/>
              <w:left w:w="100.0" w:type="dxa"/>
              <w:bottom w:w="100.0" w:type="dxa"/>
              <w:right w:w="100.0" w:type="dxa"/>
            </w:tcMar>
            <w:vAlign w:val="top"/>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1.509</w:t>
            </w:r>
          </w:p>
        </w:tc>
        <w:tc>
          <w:tcPr>
            <w:shd w:fill="auto" w:val="clear"/>
            <w:tcMar>
              <w:top w:w="100.0" w:type="dxa"/>
              <w:left w:w="100.0" w:type="dxa"/>
              <w:bottom w:w="100.0" w:type="dxa"/>
              <w:right w:w="100.0" w:type="dxa"/>
            </w:tcMar>
            <w:vAlign w:val="top"/>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0.1445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Time</w:t>
            </w:r>
          </w:p>
        </w:tc>
        <w:tc>
          <w:tcPr>
            <w:shd w:fill="auto" w:val="clear"/>
            <w:tcMar>
              <w:top w:w="100.0" w:type="dxa"/>
              <w:left w:w="100.0" w:type="dxa"/>
              <w:bottom w:w="100.0" w:type="dxa"/>
              <w:right w:w="100.0" w:type="dxa"/>
            </w:tcMar>
            <w:vAlign w:val="top"/>
          </w:tcPr>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96.33</w:t>
            </w:r>
          </w:p>
        </w:tc>
        <w:tc>
          <w:tcPr>
            <w:shd w:fill="auto" w:val="clear"/>
            <w:tcMar>
              <w:top w:w="100.0" w:type="dxa"/>
              <w:left w:w="100.0" w:type="dxa"/>
              <w:bottom w:w="100.0" w:type="dxa"/>
              <w:right w:w="100.0" w:type="dxa"/>
            </w:tcMar>
            <w:vAlign w:val="top"/>
          </w:tcPr>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44.13</w:t>
            </w:r>
          </w:p>
        </w:tc>
        <w:tc>
          <w:tcPr>
            <w:shd w:fill="auto" w:val="clear"/>
            <w:tcMar>
              <w:top w:w="100.0" w:type="dxa"/>
              <w:left w:w="100.0" w:type="dxa"/>
              <w:bottom w:w="100.0" w:type="dxa"/>
              <w:right w:w="100.0" w:type="dxa"/>
            </w:tcMar>
            <w:vAlign w:val="top"/>
          </w:tcPr>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2.183</w:t>
            </w:r>
          </w:p>
        </w:tc>
        <w:tc>
          <w:tcPr>
            <w:shd w:fill="auto" w:val="clear"/>
            <w:tcMar>
              <w:top w:w="100.0" w:type="dxa"/>
              <w:left w:w="100.0" w:type="dxa"/>
              <w:bottom w:w="100.0" w:type="dxa"/>
              <w:right w:w="100.0" w:type="dxa"/>
            </w:tcMar>
            <w:vAlign w:val="top"/>
          </w:tcPr>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0.0391*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Treated*Time</w:t>
            </w:r>
          </w:p>
        </w:tc>
        <w:tc>
          <w:tcPr>
            <w:shd w:fill="auto" w:val="clear"/>
            <w:tcMar>
              <w:top w:w="100.0" w:type="dxa"/>
              <w:left w:w="100.0" w:type="dxa"/>
              <w:bottom w:w="100.0" w:type="dxa"/>
              <w:right w:w="100.0" w:type="dxa"/>
            </w:tcMar>
            <w:vAlign w:val="top"/>
          </w:tcPr>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122.92</w:t>
            </w:r>
          </w:p>
        </w:tc>
        <w:tc>
          <w:tcPr>
            <w:shd w:fill="auto" w:val="clear"/>
            <w:tcMar>
              <w:top w:w="100.0" w:type="dxa"/>
              <w:left w:w="100.0" w:type="dxa"/>
              <w:bottom w:w="100.0" w:type="dxa"/>
              <w:right w:w="100.0" w:type="dxa"/>
            </w:tcMar>
            <w:vAlign w:val="top"/>
          </w:tcPr>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62.41</w:t>
            </w:r>
          </w:p>
        </w:tc>
        <w:tc>
          <w:tcPr>
            <w:shd w:fill="auto" w:val="clear"/>
            <w:tcMar>
              <w:top w:w="100.0" w:type="dxa"/>
              <w:left w:w="100.0" w:type="dxa"/>
              <w:bottom w:w="100.0" w:type="dxa"/>
              <w:right w:w="100.0" w:type="dxa"/>
            </w:tcMar>
            <w:vAlign w:val="top"/>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1.970</w:t>
            </w:r>
          </w:p>
        </w:tc>
        <w:tc>
          <w:tcPr>
            <w:shd w:fill="auto" w:val="clear"/>
            <w:tcMar>
              <w:top w:w="100.0" w:type="dxa"/>
              <w:left w:w="100.0" w:type="dxa"/>
              <w:bottom w:w="100.0" w:type="dxa"/>
              <w:right w:w="100.0" w:type="dxa"/>
            </w:tcMar>
            <w:vAlign w:val="top"/>
          </w:tcPr>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0.0605</w:t>
            </w:r>
          </w:p>
        </w:tc>
      </w:tr>
    </w:tbl>
    <w:p w:rsidR="00000000" w:rsidDel="00000000" w:rsidP="00000000" w:rsidRDefault="00000000" w:rsidRPr="00000000" w14:paraId="0000013C">
      <w:pPr>
        <w:spacing w:after="240" w:before="24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D">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4071938"/>
            <wp:effectExtent b="0" l="0" r="0" t="0"/>
            <wp:docPr id="3" name="image1.png"/>
            <a:graphic>
              <a:graphicData uri="http://schemas.openxmlformats.org/drawingml/2006/picture">
                <pic:pic>
                  <pic:nvPicPr>
                    <pic:cNvPr id="0" name="image1.png"/>
                    <pic:cNvPicPr preferRelativeResize="0"/>
                  </pic:nvPicPr>
                  <pic:blipFill>
                    <a:blip r:embed="rId13"/>
                    <a:srcRect b="0" l="0" r="0" t="0"/>
                    <a:stretch>
                      <a:fillRect/>
                    </a:stretch>
                  </pic:blipFill>
                  <pic:spPr>
                    <a:xfrm>
                      <a:off x="0" y="0"/>
                      <a:ext cx="5943600" cy="4071938"/>
                    </a:xfrm>
                    <a:prstGeom prst="rect"/>
                    <a:ln/>
                  </pic:spPr>
                </pic:pic>
              </a:graphicData>
            </a:graphic>
          </wp:inline>
        </w:drawing>
      </w:r>
      <w:r w:rsidDel="00000000" w:rsidR="00000000" w:rsidRPr="00000000">
        <w:rPr>
          <w:rFonts w:ascii="Times New Roman" w:cs="Times New Roman" w:eastAsia="Times New Roman" w:hAnsi="Times New Roman"/>
          <w:b w:val="1"/>
          <w:sz w:val="24"/>
          <w:szCs w:val="24"/>
          <w:rtl w:val="0"/>
        </w:rPr>
        <w:t xml:space="preserve">Figure </w:t>
      </w:r>
      <w:r w:rsidDel="00000000" w:rsidR="00000000" w:rsidRPr="00000000">
        <w:rPr>
          <w:rFonts w:ascii="Times New Roman" w:cs="Times New Roman" w:eastAsia="Times New Roman" w:hAnsi="Times New Roman"/>
          <w:b w:val="1"/>
          <w:sz w:val="24"/>
          <w:szCs w:val="24"/>
          <w:rtl w:val="0"/>
        </w:rPr>
        <w:t xml:space="preserve">S7</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A trend plot showing observed bee abundance in Philadelphia, the treated city, and Cleveland, the control city, in a before-after control impact (BACI) analysis. The dotted vertical line indicates the timing of the event (Hurricane Ida). No significant change in bee abundance in Philadelphia was detected post-event (</w:t>
      </w:r>
      <w:r w:rsidDel="00000000" w:rsidR="00000000" w:rsidRPr="00000000">
        <w:rPr>
          <w:rFonts w:ascii="Times New Roman" w:cs="Times New Roman" w:eastAsia="Times New Roman" w:hAnsi="Times New Roman"/>
          <w:sz w:val="24"/>
          <w:szCs w:val="24"/>
          <w:rtl w:val="0"/>
        </w:rPr>
        <w:t xml:space="preserve">t = 1.805, df = 24, p = 0.084</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3E">
      <w:pPr>
        <w:spacing w:after="240" w:before="24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F">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S4.</w:t>
      </w:r>
      <w:r w:rsidDel="00000000" w:rsidR="00000000" w:rsidRPr="00000000">
        <w:rPr>
          <w:rFonts w:ascii="Times New Roman" w:cs="Times New Roman" w:eastAsia="Times New Roman" w:hAnsi="Times New Roman"/>
          <w:sz w:val="24"/>
          <w:szCs w:val="24"/>
          <w:rtl w:val="0"/>
        </w:rPr>
        <w:t xml:space="preserve"> Model output for the Before-After Control-Impact (BACI) linear regression with Philadelphia as the treated city and Cleveland as a control city. The model has an adjusted R</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of  0.422 and a residual std. error of 66.17 on 24 degrees of freedom.</w:t>
      </w:r>
    </w:p>
    <w:tbl>
      <w:tblPr>
        <w:tblStyle w:val="Table4"/>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0">
            <w:pPr>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1">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Estimate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42">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Std. Error</w:t>
            </w:r>
          </w:p>
        </w:tc>
        <w:tc>
          <w:tcPr>
            <w:shd w:fill="auto" w:val="clear"/>
            <w:tcMar>
              <w:top w:w="100.0" w:type="dxa"/>
              <w:left w:w="100.0" w:type="dxa"/>
              <w:bottom w:w="100.0" w:type="dxa"/>
              <w:right w:w="100.0" w:type="dxa"/>
            </w:tcMar>
            <w:vAlign w:val="top"/>
          </w:tcPr>
          <w:p w:rsidR="00000000" w:rsidDel="00000000" w:rsidP="00000000" w:rsidRDefault="00000000" w:rsidRPr="00000000" w14:paraId="00000143">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t-value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44">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p-value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Intercept</w:t>
            </w:r>
          </w:p>
        </w:tc>
        <w:tc>
          <w:tcPr>
            <w:shd w:fill="auto" w:val="clear"/>
            <w:tcMar>
              <w:top w:w="100.0" w:type="dxa"/>
              <w:left w:w="100.0" w:type="dxa"/>
              <w:bottom w:w="100.0" w:type="dxa"/>
              <w:right w:w="100.0" w:type="dxa"/>
            </w:tcMar>
            <w:vAlign w:val="top"/>
          </w:tcPr>
          <w:p w:rsidR="00000000" w:rsidDel="00000000" w:rsidP="00000000" w:rsidRDefault="00000000" w:rsidRPr="00000000" w14:paraId="00000146">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47.25</w:t>
            </w:r>
          </w:p>
        </w:tc>
        <w:tc>
          <w:tcPr>
            <w:shd w:fill="auto" w:val="clear"/>
            <w:tcMar>
              <w:top w:w="100.0" w:type="dxa"/>
              <w:left w:w="100.0" w:type="dxa"/>
              <w:bottom w:w="100.0" w:type="dxa"/>
              <w:right w:w="100.0" w:type="dxa"/>
            </w:tcMar>
            <w:vAlign w:val="top"/>
          </w:tcPr>
          <w:p w:rsidR="00000000" w:rsidDel="00000000" w:rsidP="00000000" w:rsidRDefault="00000000" w:rsidRPr="00000000" w14:paraId="00000147">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19.10</w:t>
            </w:r>
          </w:p>
        </w:tc>
        <w:tc>
          <w:tcPr>
            <w:shd w:fill="auto" w:val="clear"/>
            <w:tcMar>
              <w:top w:w="100.0" w:type="dxa"/>
              <w:left w:w="100.0" w:type="dxa"/>
              <w:bottom w:w="100.0" w:type="dxa"/>
              <w:right w:w="100.0" w:type="dxa"/>
            </w:tcMar>
            <w:vAlign w:val="top"/>
          </w:tcPr>
          <w:p w:rsidR="00000000" w:rsidDel="00000000" w:rsidP="00000000" w:rsidRDefault="00000000" w:rsidRPr="00000000" w14:paraId="00000148">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2.474</w:t>
            </w:r>
          </w:p>
        </w:tc>
        <w:tc>
          <w:tcPr>
            <w:shd w:fill="auto" w:val="clear"/>
            <w:tcMar>
              <w:top w:w="100.0" w:type="dxa"/>
              <w:left w:w="100.0" w:type="dxa"/>
              <w:bottom w:w="100.0" w:type="dxa"/>
              <w:right w:w="100.0" w:type="dxa"/>
            </w:tcMar>
            <w:vAlign w:val="top"/>
          </w:tcPr>
          <w:p w:rsidR="00000000" w:rsidDel="00000000" w:rsidP="00000000" w:rsidRDefault="00000000" w:rsidRPr="00000000" w14:paraId="00000149">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0.021*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Treated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4B">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2.00</w:t>
            </w:r>
          </w:p>
        </w:tc>
        <w:tc>
          <w:tcPr>
            <w:shd w:fill="auto" w:val="clear"/>
            <w:tcMar>
              <w:top w:w="100.0" w:type="dxa"/>
              <w:left w:w="100.0" w:type="dxa"/>
              <w:bottom w:w="100.0" w:type="dxa"/>
              <w:right w:w="100.0" w:type="dxa"/>
            </w:tcMar>
            <w:vAlign w:val="top"/>
          </w:tcPr>
          <w:p w:rsidR="00000000" w:rsidDel="00000000" w:rsidP="00000000" w:rsidRDefault="00000000" w:rsidRPr="00000000" w14:paraId="0000014C">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27.01</w:t>
            </w:r>
          </w:p>
        </w:tc>
        <w:tc>
          <w:tcPr>
            <w:shd w:fill="auto" w:val="clear"/>
            <w:tcMar>
              <w:top w:w="100.0" w:type="dxa"/>
              <w:left w:w="100.0" w:type="dxa"/>
              <w:bottom w:w="100.0" w:type="dxa"/>
              <w:right w:w="100.0" w:type="dxa"/>
            </w:tcMar>
            <w:vAlign w:val="top"/>
          </w:tcPr>
          <w:p w:rsidR="00000000" w:rsidDel="00000000" w:rsidP="00000000" w:rsidRDefault="00000000" w:rsidRPr="00000000" w14:paraId="0000014D">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0.074</w:t>
            </w:r>
          </w:p>
        </w:tc>
        <w:tc>
          <w:tcPr>
            <w:shd w:fill="auto" w:val="clear"/>
            <w:tcMar>
              <w:top w:w="100.0" w:type="dxa"/>
              <w:left w:w="100.0" w:type="dxa"/>
              <w:bottom w:w="100.0" w:type="dxa"/>
              <w:right w:w="100.0" w:type="dxa"/>
            </w:tcMar>
            <w:vAlign w:val="top"/>
          </w:tcPr>
          <w:p w:rsidR="00000000" w:rsidDel="00000000" w:rsidP="00000000" w:rsidRDefault="00000000" w:rsidRPr="00000000" w14:paraId="0000014E">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0.942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Time</w:t>
            </w:r>
          </w:p>
        </w:tc>
        <w:tc>
          <w:tcPr>
            <w:shd w:fill="auto" w:val="clear"/>
            <w:tcMar>
              <w:top w:w="100.0" w:type="dxa"/>
              <w:left w:w="100.0" w:type="dxa"/>
              <w:bottom w:w="100.0" w:type="dxa"/>
              <w:right w:w="100.0" w:type="dxa"/>
            </w:tcMar>
            <w:vAlign w:val="top"/>
          </w:tcPr>
          <w:p w:rsidR="00000000" w:rsidDel="00000000" w:rsidP="00000000" w:rsidRDefault="00000000" w:rsidRPr="00000000" w14:paraId="00000150">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90.25</w:t>
            </w:r>
          </w:p>
        </w:tc>
        <w:tc>
          <w:tcPr>
            <w:shd w:fill="auto" w:val="clear"/>
            <w:tcMar>
              <w:top w:w="100.0" w:type="dxa"/>
              <w:left w:w="100.0" w:type="dxa"/>
              <w:bottom w:w="100.0" w:type="dxa"/>
              <w:right w:w="100.0" w:type="dxa"/>
            </w:tcMar>
            <w:vAlign w:val="top"/>
          </w:tcPr>
          <w:p w:rsidR="00000000" w:rsidDel="00000000" w:rsidP="00000000" w:rsidRDefault="00000000" w:rsidRPr="00000000" w14:paraId="00000151">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50.53</w:t>
            </w:r>
          </w:p>
        </w:tc>
        <w:tc>
          <w:tcPr>
            <w:shd w:fill="auto" w:val="clear"/>
            <w:tcMar>
              <w:top w:w="100.0" w:type="dxa"/>
              <w:left w:w="100.0" w:type="dxa"/>
              <w:bottom w:w="100.0" w:type="dxa"/>
              <w:right w:w="100.0" w:type="dxa"/>
            </w:tcMar>
            <w:vAlign w:val="top"/>
          </w:tcPr>
          <w:p w:rsidR="00000000" w:rsidDel="00000000" w:rsidP="00000000" w:rsidRDefault="00000000" w:rsidRPr="00000000" w14:paraId="00000152">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1.786</w:t>
            </w:r>
          </w:p>
        </w:tc>
        <w:tc>
          <w:tcPr>
            <w:shd w:fill="auto" w:val="clear"/>
            <w:tcMar>
              <w:top w:w="100.0" w:type="dxa"/>
              <w:left w:w="100.0" w:type="dxa"/>
              <w:bottom w:w="100.0" w:type="dxa"/>
              <w:right w:w="100.0" w:type="dxa"/>
            </w:tcMar>
            <w:vAlign w:val="top"/>
          </w:tcPr>
          <w:p w:rsidR="00000000" w:rsidDel="00000000" w:rsidP="00000000" w:rsidRDefault="00000000" w:rsidRPr="00000000" w14:paraId="00000153">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0.087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Treated*Time</w:t>
            </w:r>
          </w:p>
        </w:tc>
        <w:tc>
          <w:tcPr>
            <w:shd w:fill="auto" w:val="clear"/>
            <w:tcMar>
              <w:top w:w="100.0" w:type="dxa"/>
              <w:left w:w="100.0" w:type="dxa"/>
              <w:bottom w:w="100.0" w:type="dxa"/>
              <w:right w:w="100.0" w:type="dxa"/>
            </w:tcMar>
            <w:vAlign w:val="top"/>
          </w:tcPr>
          <w:p w:rsidR="00000000" w:rsidDel="00000000" w:rsidP="00000000" w:rsidRDefault="00000000" w:rsidRPr="00000000" w14:paraId="00000155">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129.00</w:t>
            </w:r>
          </w:p>
        </w:tc>
        <w:tc>
          <w:tcPr>
            <w:shd w:fill="auto" w:val="clear"/>
            <w:tcMar>
              <w:top w:w="100.0" w:type="dxa"/>
              <w:left w:w="100.0" w:type="dxa"/>
              <w:bottom w:w="100.0" w:type="dxa"/>
              <w:right w:w="100.0" w:type="dxa"/>
            </w:tcMar>
            <w:vAlign w:val="top"/>
          </w:tcPr>
          <w:p w:rsidR="00000000" w:rsidDel="00000000" w:rsidP="00000000" w:rsidRDefault="00000000" w:rsidRPr="00000000" w14:paraId="00000156">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71.47</w:t>
            </w:r>
          </w:p>
        </w:tc>
        <w:tc>
          <w:tcPr>
            <w:shd w:fill="auto" w:val="clear"/>
            <w:tcMar>
              <w:top w:w="100.0" w:type="dxa"/>
              <w:left w:w="100.0" w:type="dxa"/>
              <w:bottom w:w="100.0" w:type="dxa"/>
              <w:right w:w="100.0" w:type="dxa"/>
            </w:tcMar>
            <w:vAlign w:val="top"/>
          </w:tcPr>
          <w:p w:rsidR="00000000" w:rsidDel="00000000" w:rsidP="00000000" w:rsidRDefault="00000000" w:rsidRPr="00000000" w14:paraId="00000157">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1.805</w:t>
            </w:r>
          </w:p>
        </w:tc>
        <w:tc>
          <w:tcPr>
            <w:shd w:fill="auto" w:val="clear"/>
            <w:tcMar>
              <w:top w:w="100.0" w:type="dxa"/>
              <w:left w:w="100.0" w:type="dxa"/>
              <w:bottom w:w="100.0" w:type="dxa"/>
              <w:right w:w="100.0" w:type="dxa"/>
            </w:tcMar>
            <w:vAlign w:val="top"/>
          </w:tcPr>
          <w:p w:rsidR="00000000" w:rsidDel="00000000" w:rsidP="00000000" w:rsidRDefault="00000000" w:rsidRPr="00000000" w14:paraId="00000158">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0.084</w:t>
            </w:r>
          </w:p>
        </w:tc>
      </w:tr>
    </w:tbl>
    <w:p w:rsidR="00000000" w:rsidDel="00000000" w:rsidP="00000000" w:rsidRDefault="00000000" w:rsidRPr="00000000" w14:paraId="00000159">
      <w:pPr>
        <w:spacing w:after="240" w:before="24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A">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S5.</w:t>
      </w:r>
      <w:r w:rsidDel="00000000" w:rsidR="00000000" w:rsidRPr="00000000">
        <w:rPr>
          <w:rFonts w:ascii="Times New Roman" w:cs="Times New Roman" w:eastAsia="Times New Roman" w:hAnsi="Times New Roman"/>
          <w:sz w:val="24"/>
          <w:szCs w:val="24"/>
          <w:rtl w:val="0"/>
        </w:rPr>
        <w:t xml:space="preserve"> Model output for the Interrupted Time Series generalized least squares regression with a residual std. error of 24.99 on 9 (5 residual) degrees of freedom.</w:t>
      </w:r>
    </w:p>
    <w:tbl>
      <w:tblPr>
        <w:tblStyle w:val="Table5"/>
        <w:tblW w:w="93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70"/>
        <w:gridCol w:w="1665"/>
        <w:gridCol w:w="1965"/>
        <w:gridCol w:w="1590"/>
        <w:gridCol w:w="1710"/>
        <w:tblGridChange w:id="0">
          <w:tblGrid>
            <w:gridCol w:w="2370"/>
            <w:gridCol w:w="1665"/>
            <w:gridCol w:w="1965"/>
            <w:gridCol w:w="1590"/>
            <w:gridCol w:w="171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B">
            <w:pPr>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C">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Estimate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5D">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Std. Error</w:t>
            </w:r>
          </w:p>
        </w:tc>
        <w:tc>
          <w:tcPr>
            <w:shd w:fill="auto" w:val="clear"/>
            <w:tcMar>
              <w:top w:w="100.0" w:type="dxa"/>
              <w:left w:w="100.0" w:type="dxa"/>
              <w:bottom w:w="100.0" w:type="dxa"/>
              <w:right w:w="100.0" w:type="dxa"/>
            </w:tcMar>
            <w:vAlign w:val="top"/>
          </w:tcPr>
          <w:p w:rsidR="00000000" w:rsidDel="00000000" w:rsidP="00000000" w:rsidRDefault="00000000" w:rsidRPr="00000000" w14:paraId="0000015E">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t-value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5F">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p-value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Intercept</w:t>
            </w:r>
          </w:p>
        </w:tc>
        <w:tc>
          <w:tcPr>
            <w:shd w:fill="auto" w:val="clear"/>
            <w:tcMar>
              <w:top w:w="100.0" w:type="dxa"/>
              <w:left w:w="100.0" w:type="dxa"/>
              <w:bottom w:w="100.0" w:type="dxa"/>
              <w:right w:w="100.0" w:type="dxa"/>
            </w:tcMar>
            <w:vAlign w:val="top"/>
          </w:tcPr>
          <w:p w:rsidR="00000000" w:rsidDel="00000000" w:rsidP="00000000" w:rsidRDefault="00000000" w:rsidRPr="00000000" w14:paraId="00000161">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-74969</w:t>
            </w:r>
          </w:p>
        </w:tc>
        <w:tc>
          <w:tcPr>
            <w:shd w:fill="auto" w:val="clear"/>
            <w:tcMar>
              <w:top w:w="100.0" w:type="dxa"/>
              <w:left w:w="100.0" w:type="dxa"/>
              <w:bottom w:w="100.0" w:type="dxa"/>
              <w:right w:w="100.0" w:type="dxa"/>
            </w:tcMar>
            <w:vAlign w:val="top"/>
          </w:tcPr>
          <w:p w:rsidR="00000000" w:rsidDel="00000000" w:rsidP="00000000" w:rsidRDefault="00000000" w:rsidRPr="00000000" w14:paraId="00000162">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15488</w:t>
            </w:r>
          </w:p>
        </w:tc>
        <w:tc>
          <w:tcPr>
            <w:shd w:fill="auto" w:val="clear"/>
            <w:tcMar>
              <w:top w:w="100.0" w:type="dxa"/>
              <w:left w:w="100.0" w:type="dxa"/>
              <w:bottom w:w="100.0" w:type="dxa"/>
              <w:right w:w="100.0" w:type="dxa"/>
            </w:tcMar>
            <w:vAlign w:val="top"/>
          </w:tcPr>
          <w:p w:rsidR="00000000" w:rsidDel="00000000" w:rsidP="00000000" w:rsidRDefault="00000000" w:rsidRPr="00000000" w14:paraId="00000163">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-4.840</w:t>
            </w:r>
          </w:p>
        </w:tc>
        <w:tc>
          <w:tcPr>
            <w:shd w:fill="auto" w:val="clear"/>
            <w:tcMar>
              <w:top w:w="100.0" w:type="dxa"/>
              <w:left w:w="100.0" w:type="dxa"/>
              <w:bottom w:w="100.0" w:type="dxa"/>
              <w:right w:w="100.0" w:type="dxa"/>
            </w:tcMar>
            <w:vAlign w:val="top"/>
          </w:tcPr>
          <w:p w:rsidR="00000000" w:rsidDel="00000000" w:rsidP="00000000" w:rsidRDefault="00000000" w:rsidRPr="00000000" w14:paraId="00000164">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Year</w:t>
            </w:r>
          </w:p>
        </w:tc>
        <w:tc>
          <w:tcPr>
            <w:shd w:fill="auto" w:val="clear"/>
            <w:tcMar>
              <w:top w:w="100.0" w:type="dxa"/>
              <w:left w:w="100.0" w:type="dxa"/>
              <w:bottom w:w="100.0" w:type="dxa"/>
              <w:right w:w="100.0" w:type="dxa"/>
            </w:tcMar>
            <w:vAlign w:val="top"/>
          </w:tcPr>
          <w:p w:rsidR="00000000" w:rsidDel="00000000" w:rsidP="00000000" w:rsidRDefault="00000000" w:rsidRPr="00000000" w14:paraId="00000166">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37.19</w:t>
            </w:r>
          </w:p>
        </w:tc>
        <w:tc>
          <w:tcPr>
            <w:shd w:fill="auto" w:val="clear"/>
            <w:tcMar>
              <w:top w:w="100.0" w:type="dxa"/>
              <w:left w:w="100.0" w:type="dxa"/>
              <w:bottom w:w="100.0" w:type="dxa"/>
              <w:right w:w="100.0" w:type="dxa"/>
            </w:tcMar>
            <w:vAlign w:val="top"/>
          </w:tcPr>
          <w:p w:rsidR="00000000" w:rsidDel="00000000" w:rsidP="00000000" w:rsidRDefault="00000000" w:rsidRPr="00000000" w14:paraId="00000167">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7.675</w:t>
            </w:r>
          </w:p>
        </w:tc>
        <w:tc>
          <w:tcPr>
            <w:shd w:fill="auto" w:val="clear"/>
            <w:tcMar>
              <w:top w:w="100.0" w:type="dxa"/>
              <w:left w:w="100.0" w:type="dxa"/>
              <w:bottom w:w="100.0" w:type="dxa"/>
              <w:right w:w="100.0" w:type="dxa"/>
            </w:tcMar>
            <w:vAlign w:val="top"/>
          </w:tcPr>
          <w:p w:rsidR="00000000" w:rsidDel="00000000" w:rsidP="00000000" w:rsidRDefault="00000000" w:rsidRPr="00000000" w14:paraId="00000168">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4.846</w:t>
            </w:r>
          </w:p>
        </w:tc>
        <w:tc>
          <w:tcPr>
            <w:shd w:fill="auto" w:val="clear"/>
            <w:tcMar>
              <w:top w:w="100.0" w:type="dxa"/>
              <w:left w:w="100.0" w:type="dxa"/>
              <w:bottom w:w="100.0" w:type="dxa"/>
              <w:right w:w="100.0" w:type="dxa"/>
            </w:tcMar>
            <w:vAlign w:val="top"/>
          </w:tcPr>
          <w:p w:rsidR="00000000" w:rsidDel="00000000" w:rsidP="00000000" w:rsidRDefault="00000000" w:rsidRPr="00000000" w14:paraId="00000169">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Treated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6B">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-52.27</w:t>
            </w:r>
          </w:p>
        </w:tc>
        <w:tc>
          <w:tcPr>
            <w:shd w:fill="auto" w:val="clear"/>
            <w:tcMar>
              <w:top w:w="100.0" w:type="dxa"/>
              <w:left w:w="100.0" w:type="dxa"/>
              <w:bottom w:w="100.0" w:type="dxa"/>
              <w:right w:w="100.0" w:type="dxa"/>
            </w:tcMar>
            <w:vAlign w:val="top"/>
          </w:tcPr>
          <w:p w:rsidR="00000000" w:rsidDel="00000000" w:rsidP="00000000" w:rsidRDefault="00000000" w:rsidRPr="00000000" w14:paraId="0000016C">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53.170</w:t>
            </w:r>
          </w:p>
        </w:tc>
        <w:tc>
          <w:tcPr>
            <w:shd w:fill="auto" w:val="clear"/>
            <w:tcMar>
              <w:top w:w="100.0" w:type="dxa"/>
              <w:left w:w="100.0" w:type="dxa"/>
              <w:bottom w:w="100.0" w:type="dxa"/>
              <w:right w:w="100.0" w:type="dxa"/>
            </w:tcMar>
            <w:vAlign w:val="top"/>
          </w:tcPr>
          <w:p w:rsidR="00000000" w:rsidDel="00000000" w:rsidP="00000000" w:rsidRDefault="00000000" w:rsidRPr="00000000" w14:paraId="0000016D">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-0.983</w:t>
            </w:r>
          </w:p>
        </w:tc>
        <w:tc>
          <w:tcPr>
            <w:shd w:fill="auto" w:val="clear"/>
            <w:tcMar>
              <w:top w:w="100.0" w:type="dxa"/>
              <w:left w:w="100.0" w:type="dxa"/>
              <w:bottom w:w="100.0" w:type="dxa"/>
              <w:right w:w="100.0" w:type="dxa"/>
            </w:tcMar>
            <w:vAlign w:val="top"/>
          </w:tcPr>
          <w:p w:rsidR="00000000" w:rsidDel="00000000" w:rsidP="00000000" w:rsidRDefault="00000000" w:rsidRPr="00000000" w14:paraId="0000016E">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0.371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Time since treatment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70">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25.74</w:t>
            </w:r>
          </w:p>
        </w:tc>
        <w:tc>
          <w:tcPr>
            <w:shd w:fill="auto" w:val="clear"/>
            <w:tcMar>
              <w:top w:w="100.0" w:type="dxa"/>
              <w:left w:w="100.0" w:type="dxa"/>
              <w:bottom w:w="100.0" w:type="dxa"/>
              <w:right w:w="100.0" w:type="dxa"/>
            </w:tcMar>
            <w:vAlign w:val="top"/>
          </w:tcPr>
          <w:p w:rsidR="00000000" w:rsidDel="00000000" w:rsidP="00000000" w:rsidRDefault="00000000" w:rsidRPr="00000000" w14:paraId="00000171">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30.498</w:t>
            </w:r>
          </w:p>
        </w:tc>
        <w:tc>
          <w:tcPr>
            <w:shd w:fill="auto" w:val="clear"/>
            <w:tcMar>
              <w:top w:w="100.0" w:type="dxa"/>
              <w:left w:w="100.0" w:type="dxa"/>
              <w:bottom w:w="100.0" w:type="dxa"/>
              <w:right w:w="100.0" w:type="dxa"/>
            </w:tcMar>
            <w:vAlign w:val="top"/>
          </w:tcPr>
          <w:p w:rsidR="00000000" w:rsidDel="00000000" w:rsidP="00000000" w:rsidRDefault="00000000" w:rsidRPr="00000000" w14:paraId="00000172">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0.844</w:t>
            </w:r>
          </w:p>
        </w:tc>
        <w:tc>
          <w:tcPr>
            <w:shd w:fill="auto" w:val="clear"/>
            <w:tcMar>
              <w:top w:w="100.0" w:type="dxa"/>
              <w:left w:w="100.0" w:type="dxa"/>
              <w:bottom w:w="100.0" w:type="dxa"/>
              <w:right w:w="100.0" w:type="dxa"/>
            </w:tcMar>
            <w:vAlign w:val="top"/>
          </w:tcPr>
          <w:p w:rsidR="00000000" w:rsidDel="00000000" w:rsidP="00000000" w:rsidRDefault="00000000" w:rsidRPr="00000000" w14:paraId="00000173">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0.437</w:t>
            </w:r>
          </w:p>
        </w:tc>
      </w:tr>
    </w:tbl>
    <w:p w:rsidR="00000000" w:rsidDel="00000000" w:rsidP="00000000" w:rsidRDefault="00000000" w:rsidRPr="00000000" w14:paraId="00000174">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5">
      <w:pPr>
        <w:pStyle w:val="Heading4"/>
        <w:spacing w:line="480" w:lineRule="auto"/>
        <w:ind w:left="0" w:firstLine="0"/>
        <w:rPr/>
      </w:pPr>
      <w:bookmarkStart w:colFirst="0" w:colLast="0" w:name="_o5h3u4898r6z" w:id="9"/>
      <w:bookmarkEnd w:id="9"/>
      <w:r w:rsidDel="00000000" w:rsidR="00000000" w:rsidRPr="00000000">
        <w:br w:type="page"/>
      </w:r>
      <w:r w:rsidDel="00000000" w:rsidR="00000000" w:rsidRPr="00000000">
        <w:rPr>
          <w:rtl w:val="0"/>
        </w:rPr>
      </w:r>
    </w:p>
    <w:p w:rsidR="00000000" w:rsidDel="00000000" w:rsidP="00000000" w:rsidRDefault="00000000" w:rsidRPr="00000000" w14:paraId="00000176">
      <w:pPr>
        <w:pStyle w:val="Heading4"/>
        <w:spacing w:line="480" w:lineRule="auto"/>
        <w:ind w:left="0" w:firstLine="0"/>
        <w:rPr/>
      </w:pPr>
      <w:bookmarkStart w:colFirst="0" w:colLast="0" w:name="_q05qokw0kci3" w:id="10"/>
      <w:bookmarkEnd w:id="10"/>
      <w:r w:rsidDel="00000000" w:rsidR="00000000" w:rsidRPr="00000000">
        <w:rPr>
          <w:rtl w:val="0"/>
        </w:rPr>
        <w:t xml:space="preserve">References</w:t>
      </w:r>
      <w:r w:rsidDel="00000000" w:rsidR="00000000" w:rsidRPr="00000000">
        <w:rPr>
          <w:rtl w:val="0"/>
        </w:rPr>
      </w:r>
    </w:p>
    <w:p w:rsidR="00000000" w:rsidDel="00000000" w:rsidP="00000000" w:rsidRDefault="00000000" w:rsidRPr="00000000" w14:paraId="00000177">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8">
      <w:pPr>
        <w:numPr>
          <w:ilvl w:val="0"/>
          <w:numId w:val="1"/>
        </w:numPr>
        <w:spacing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Bureau, U. C. (2021, August 19). </w:t>
      </w:r>
      <w:r w:rsidDel="00000000" w:rsidR="00000000" w:rsidRPr="00000000">
        <w:rPr>
          <w:rFonts w:ascii="Times New Roman" w:cs="Times New Roman" w:eastAsia="Times New Roman" w:hAnsi="Times New Roman"/>
          <w:i w:val="1"/>
          <w:sz w:val="24"/>
          <w:szCs w:val="24"/>
          <w:rtl w:val="0"/>
        </w:rPr>
        <w:t xml:space="preserve">Gazetteer Files</w:t>
      </w:r>
      <w:r w:rsidDel="00000000" w:rsidR="00000000" w:rsidRPr="00000000">
        <w:rPr>
          <w:rFonts w:ascii="Times New Roman" w:cs="Times New Roman" w:eastAsia="Times New Roman" w:hAnsi="Times New Roman"/>
          <w:sz w:val="24"/>
          <w:szCs w:val="24"/>
          <w:rtl w:val="0"/>
        </w:rPr>
        <w:t xml:space="preserve">. Census.gov. </w:t>
      </w:r>
      <w:hyperlink r:id="rId14">
        <w:r w:rsidDel="00000000" w:rsidR="00000000" w:rsidRPr="00000000">
          <w:rPr>
            <w:rFonts w:ascii="Times New Roman" w:cs="Times New Roman" w:eastAsia="Times New Roman" w:hAnsi="Times New Roman"/>
            <w:color w:val="1155cc"/>
            <w:sz w:val="24"/>
            <w:szCs w:val="24"/>
            <w:u w:val="single"/>
            <w:rtl w:val="0"/>
          </w:rPr>
          <w:t xml:space="preserve">https://web.archive.org/web/20211026060851/https://www.census.gov/geographies/reference-files/time-series/geo/gazetteer-files.2020.html</w:t>
        </w:r>
      </w:hyperlink>
      <w:r w:rsidDel="00000000" w:rsidR="00000000" w:rsidRPr="00000000">
        <w:rPr>
          <w:rtl w:val="0"/>
        </w:rPr>
      </w:r>
    </w:p>
    <w:p w:rsidR="00000000" w:rsidDel="00000000" w:rsidP="00000000" w:rsidRDefault="00000000" w:rsidRPr="00000000" w14:paraId="00000179">
      <w:pPr>
        <w:numPr>
          <w:ilvl w:val="0"/>
          <w:numId w:val="1"/>
        </w:numPr>
        <w:spacing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Cattaneo M, Feng Y, Palomba F, Titiunik R (2025). _scpi: Prediction Intervals for Synthetic Control Methods with Multiple Treated Units and Staggered Adoption_. R package version 3.0.0, &lt;https://CRAN.R-project.org/package=scpi&gt;. </w:t>
      </w:r>
    </w:p>
    <w:p w:rsidR="00000000" w:rsidDel="00000000" w:rsidP="00000000" w:rsidRDefault="00000000" w:rsidRPr="00000000" w14:paraId="0000017A">
      <w:pPr>
        <w:numPr>
          <w:ilvl w:val="0"/>
          <w:numId w:val="1"/>
        </w:numPr>
        <w:spacing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Dunford E (2023). _tidysynth: A Tidy Implementation of the Synthetic Control Method_. R package version 0.2.0.</w:t>
      </w:r>
      <w:r w:rsidDel="00000000" w:rsidR="00000000" w:rsidRPr="00000000">
        <w:rPr>
          <w:rtl w:val="0"/>
        </w:rPr>
      </w:r>
    </w:p>
    <w:p w:rsidR="00000000" w:rsidDel="00000000" w:rsidP="00000000" w:rsidRDefault="00000000" w:rsidRPr="00000000" w14:paraId="0000017B">
      <w:pPr>
        <w:numPr>
          <w:ilvl w:val="0"/>
          <w:numId w:val="1"/>
        </w:numPr>
        <w:spacing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GBIF.org (12 March 2024) GBIF Occurrence Download  </w:t>
      </w:r>
      <w:hyperlink r:id="rId15">
        <w:r w:rsidDel="00000000" w:rsidR="00000000" w:rsidRPr="00000000">
          <w:rPr>
            <w:rFonts w:ascii="Times New Roman" w:cs="Times New Roman" w:eastAsia="Times New Roman" w:hAnsi="Times New Roman"/>
            <w:color w:val="1155cc"/>
            <w:sz w:val="24"/>
            <w:szCs w:val="24"/>
            <w:u w:val="single"/>
            <w:rtl w:val="0"/>
          </w:rPr>
          <w:t xml:space="preserve">https://doi.org/10.15468/dl.jvuxa3</w:t>
        </w:r>
      </w:hyperlink>
      <w:r w:rsidDel="00000000" w:rsidR="00000000" w:rsidRPr="00000000">
        <w:rPr>
          <w:rtl w:val="0"/>
        </w:rPr>
      </w:r>
    </w:p>
    <w:p w:rsidR="00000000" w:rsidDel="00000000" w:rsidP="00000000" w:rsidRDefault="00000000" w:rsidRPr="00000000" w14:paraId="0000017C">
      <w:pPr>
        <w:numPr>
          <w:ilvl w:val="0"/>
          <w:numId w:val="1"/>
        </w:numPr>
        <w:spacing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Hijmans, R. (2024). terra: Spatial Data Analysis. R package version 1.7-78, &lt;https://CRAN.R-project.org/package=terra&gt;. </w:t>
      </w:r>
    </w:p>
    <w:p w:rsidR="00000000" w:rsidDel="00000000" w:rsidP="00000000" w:rsidRDefault="00000000" w:rsidRPr="00000000" w14:paraId="0000017D">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151515"/>
          <w:sz w:val="24"/>
          <w:szCs w:val="24"/>
          <w:rtl w:val="0"/>
        </w:rPr>
        <w:t xml:space="preserve">Karra, Kontgis, et al. “Global land use/land cover with Sentinel-2 and deep learning.” IGARSS 2021-2021 IEEE International Geoscience and Remote Sensing Symposium. IEEE, 2021.</w:t>
      </w:r>
      <w:r w:rsidDel="00000000" w:rsidR="00000000" w:rsidRPr="00000000">
        <w:rPr>
          <w:rtl w:val="0"/>
        </w:rPr>
      </w:r>
    </w:p>
    <w:p w:rsidR="00000000" w:rsidDel="00000000" w:rsidP="00000000" w:rsidRDefault="00000000" w:rsidRPr="00000000" w14:paraId="0000017E">
      <w:pPr>
        <w:numPr>
          <w:ilvl w:val="0"/>
          <w:numId w:val="1"/>
        </w:numPr>
        <w:spacing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US Census Bureau. (2020). </w:t>
      </w:r>
      <w:r w:rsidDel="00000000" w:rsidR="00000000" w:rsidRPr="00000000">
        <w:rPr>
          <w:rFonts w:ascii="Times New Roman" w:cs="Times New Roman" w:eastAsia="Times New Roman" w:hAnsi="Times New Roman"/>
          <w:i w:val="1"/>
          <w:sz w:val="24"/>
          <w:szCs w:val="24"/>
          <w:rtl w:val="0"/>
        </w:rPr>
        <w:t xml:space="preserve">Data</w:t>
      </w:r>
      <w:r w:rsidDel="00000000" w:rsidR="00000000" w:rsidRPr="00000000">
        <w:rPr>
          <w:rFonts w:ascii="Times New Roman" w:cs="Times New Roman" w:eastAsia="Times New Roman" w:hAnsi="Times New Roman"/>
          <w:sz w:val="24"/>
          <w:szCs w:val="24"/>
          <w:rtl w:val="0"/>
        </w:rPr>
        <w:t xml:space="preserve">. Census.gov. </w:t>
      </w:r>
      <w:hyperlink r:id="rId16">
        <w:r w:rsidDel="00000000" w:rsidR="00000000" w:rsidRPr="00000000">
          <w:rPr>
            <w:rFonts w:ascii="Times New Roman" w:cs="Times New Roman" w:eastAsia="Times New Roman" w:hAnsi="Times New Roman"/>
            <w:color w:val="1155cc"/>
            <w:sz w:val="24"/>
            <w:szCs w:val="24"/>
            <w:u w:val="single"/>
            <w:rtl w:val="0"/>
          </w:rPr>
          <w:t xml:space="preserve">https://www.census.gov/data.html</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7F">
      <w:pPr>
        <w:numPr>
          <w:ilvl w:val="0"/>
          <w:numId w:val="1"/>
        </w:numPr>
        <w:spacing w:line="360" w:lineRule="auto"/>
        <w:ind w:left="720" w:hanging="360"/>
        <w:rPr>
          <w:rFonts w:ascii="Times New Roman" w:cs="Times New Roman" w:eastAsia="Times New Roman" w:hAnsi="Times New Roman"/>
          <w:color w:val="222222"/>
          <w:sz w:val="24"/>
          <w:szCs w:val="24"/>
          <w:highlight w:val="white"/>
          <w:u w:val="none"/>
        </w:rPr>
      </w:pPr>
      <w:r w:rsidDel="00000000" w:rsidR="00000000" w:rsidRPr="00000000">
        <w:rPr>
          <w:rFonts w:ascii="Times New Roman" w:cs="Times New Roman" w:eastAsia="Times New Roman" w:hAnsi="Times New Roman"/>
          <w:color w:val="222222"/>
          <w:sz w:val="24"/>
          <w:szCs w:val="24"/>
          <w:highlight w:val="white"/>
          <w:rtl w:val="0"/>
        </w:rPr>
        <w:t xml:space="preserve">US Weather Prediction Center. (2021). </w:t>
      </w:r>
      <w:r w:rsidDel="00000000" w:rsidR="00000000" w:rsidRPr="00000000">
        <w:rPr>
          <w:rFonts w:ascii="Times New Roman" w:cs="Times New Roman" w:eastAsia="Times New Roman" w:hAnsi="Times New Roman"/>
          <w:i w:val="1"/>
          <w:color w:val="222222"/>
          <w:sz w:val="24"/>
          <w:szCs w:val="24"/>
          <w:highlight w:val="white"/>
          <w:rtl w:val="0"/>
        </w:rPr>
        <w:t xml:space="preserve">Hurricane Ida Rainfall Map</w:t>
      </w:r>
      <w:r w:rsidDel="00000000" w:rsidR="00000000" w:rsidRPr="00000000">
        <w:rPr>
          <w:rFonts w:ascii="Times New Roman" w:cs="Times New Roman" w:eastAsia="Times New Roman" w:hAnsi="Times New Roman"/>
          <w:color w:val="222222"/>
          <w:sz w:val="24"/>
          <w:szCs w:val="24"/>
          <w:highlight w:val="white"/>
          <w:rtl w:val="0"/>
        </w:rPr>
        <w:t xml:space="preserve"> [Map]. NOAA. https://www.wpc.ncep.noaa.gov/tropical/rain/ida2021filledrainblk.gif</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0" Type="http://schemas.openxmlformats.org/officeDocument/2006/relationships/image" Target="media/image5.png"/><Relationship Id="rId13" Type="http://schemas.openxmlformats.org/officeDocument/2006/relationships/image" Target="media/image1.png"/><Relationship Id="rId12"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7.png"/><Relationship Id="rId15" Type="http://schemas.openxmlformats.org/officeDocument/2006/relationships/hyperlink" Target="https://doi.org/10.15468/dl.jvuxa3" TargetMode="External"/><Relationship Id="rId14" Type="http://schemas.openxmlformats.org/officeDocument/2006/relationships/hyperlink" Target="https://web.archive.org/web/20211026060851/https://www.census.gov/geographies/reference-files/time-series/geo/gazetteer-files.2020.html" TargetMode="External"/><Relationship Id="rId16" Type="http://schemas.openxmlformats.org/officeDocument/2006/relationships/hyperlink" Target="https://www.census.gov/data.html" TargetMode="External"/><Relationship Id="rId5" Type="http://schemas.openxmlformats.org/officeDocument/2006/relationships/styles" Target="styles.xml"/><Relationship Id="rId6" Type="http://schemas.openxmlformats.org/officeDocument/2006/relationships/hyperlink" Target="mailto:asia.kaiser@colorado.edu" TargetMode="External"/><Relationship Id="rId7" Type="http://schemas.openxmlformats.org/officeDocument/2006/relationships/image" Target="media/image3.png"/><Relationship Id="rId8"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