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4E990">
      <w:pP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</w:pP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2962910"/>
            <wp:effectExtent l="0" t="0" r="16510" b="8890"/>
            <wp:docPr id="1" name="图片 1" descr="Supplement Material 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 Material 2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D60232">
      <w:pP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</w:pP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t xml:space="preserve">Fig. </w:t>
      </w:r>
      <w:r>
        <w:rPr>
          <w:rFonts w:hint="default" w:ascii="Times New Roman Regular" w:hAnsi="Times New Roman Regular" w:cs="Times New Roman Regular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t xml:space="preserve"> leave-one-out sensitivity analysis showing significantly causal relationships between GBM and nine kinds of B cell traits.</w:t>
      </w:r>
    </w:p>
    <w:p w14:paraId="406E1CD9">
      <w:pP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</w:pP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2962910"/>
            <wp:effectExtent l="0" t="0" r="16510" b="8890"/>
            <wp:docPr id="2" name="图片 2" descr="Supplement Material 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 Material 2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272E">
      <w:pP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</w:pP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t xml:space="preserve">Fig. </w:t>
      </w:r>
      <w:r>
        <w:rPr>
          <w:rFonts w:hint="default" w:ascii="Times New Roman Regular" w:hAnsi="Times New Roman Regular" w:cs="Times New Roman Regular"/>
          <w:sz w:val="28"/>
          <w:szCs w:val="28"/>
          <w:lang w:val="en-US" w:eastAsia="zh-CN"/>
        </w:rPr>
        <w:t>7</w:t>
      </w:r>
      <w:r>
        <w:rPr>
          <w:rFonts w:hint="default" w:ascii="Times New Roman Regular" w:hAnsi="Times New Roman Regular" w:cs="Times New Roman Regular" w:eastAsiaTheme="minorEastAsia"/>
          <w:sz w:val="28"/>
          <w:szCs w:val="28"/>
          <w:lang w:eastAsia="zh-CN"/>
        </w:rPr>
        <w:t xml:space="preserve"> Scatter plots showing significantly causal relationships between GBM and nine kinds of B cell traits.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Tg1YmQzNzA1Zjc5MDBmMWIyYTVkNjM0MTdiYjkifQ=="/>
  </w:docVars>
  <w:rsids>
    <w:rsidRoot w:val="83EBD8F8"/>
    <w:rsid w:val="83EBD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2025-02-18T22:01:00Z</dcterms:created>
  <dc:creator>yuanhao</dc:creator>
  <cp:lastModifiedBy>yuanhao</cp:lastModifiedBy>
  <dcterms:modified xsi:type="dcterms:W3CDTF">2025-02-18T22:07:09Z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B44887C40662CAB6A092B467AF46C7E4_41</vt:lpwstr>
  </property>
</Properties>
</file>