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C49AD" w:rsidRPr="004C75D3" w:rsidRDefault="00AC49AD" w:rsidP="00AC49AD">
      <w:pPr>
        <w:spacing w:before="240" w:line="360" w:lineRule="auto"/>
        <w:jc w:val="both"/>
        <w:rPr>
          <w:b/>
          <w:bCs/>
          <w:lang w:val="en-US"/>
        </w:rPr>
      </w:pPr>
      <w:r w:rsidRPr="004C75D3">
        <w:rPr>
          <w:b/>
          <w:bCs/>
          <w:lang w:val="en-US"/>
        </w:rPr>
        <w:t>Supplementary data and figure legends</w:t>
      </w:r>
    </w:p>
    <w:p w:rsidR="00AC49AD" w:rsidRPr="004C75D3" w:rsidRDefault="00AC49AD" w:rsidP="00AC49AD">
      <w:pPr>
        <w:spacing w:line="360" w:lineRule="auto"/>
        <w:jc w:val="both"/>
        <w:rPr>
          <w:lang w:val="en-GB"/>
        </w:rPr>
      </w:pPr>
    </w:p>
    <w:p w:rsidR="00AC49AD" w:rsidRPr="004C75D3" w:rsidRDefault="00AC49AD" w:rsidP="00AC49AD">
      <w:pPr>
        <w:spacing w:before="120" w:line="360" w:lineRule="auto"/>
        <w:jc w:val="both"/>
        <w:rPr>
          <w:lang w:val="en-US"/>
        </w:rPr>
      </w:pPr>
      <w:r w:rsidRPr="001E722B">
        <w:rPr>
          <w:b/>
          <w:bCs/>
          <w:lang w:val="en-GB"/>
        </w:rPr>
        <w:t>Figure S1</w:t>
      </w:r>
      <w:r w:rsidRPr="004C75D3">
        <w:rPr>
          <w:lang w:val="en-GB"/>
        </w:rPr>
        <w:t xml:space="preserve"> </w:t>
      </w:r>
      <w:r w:rsidRPr="004C75D3">
        <w:rPr>
          <w:lang w:val="en-US"/>
        </w:rPr>
        <w:t xml:space="preserve">Topology of designer circRNAs and their target sequences in the </w:t>
      </w:r>
      <w:r w:rsidRPr="004C75D3">
        <w:rPr>
          <w:i/>
          <w:iCs/>
          <w:lang w:val="en-US"/>
        </w:rPr>
        <w:t>GFP</w:t>
      </w:r>
      <w:r w:rsidRPr="004C75D3">
        <w:rPr>
          <w:lang w:val="en-US"/>
        </w:rPr>
        <w:t xml:space="preserve"> gene</w:t>
      </w:r>
      <w:r w:rsidRPr="004C75D3">
        <w:rPr>
          <w:lang w:val="en-GB"/>
        </w:rPr>
        <w:t>. (A)</w:t>
      </w:r>
      <w:r w:rsidRPr="004C75D3">
        <w:rPr>
          <w:lang w:val="en-US"/>
        </w:rPr>
        <w:t xml:space="preserve"> </w:t>
      </w:r>
      <w:r w:rsidRPr="004C75D3">
        <w:rPr>
          <w:i/>
          <w:lang w:val="en-US"/>
        </w:rPr>
        <w:t>GFP</w:t>
      </w:r>
      <w:r w:rsidRPr="004C75D3">
        <w:rPr>
          <w:lang w:val="en-US"/>
        </w:rPr>
        <w:t xml:space="preserve">-ORF region nucleotide sequence with color code: the 30 nt target sequence of the 50 nt </w:t>
      </w:r>
      <w:r w:rsidRPr="004C75D3">
        <w:rPr>
          <w:i/>
          <w:iCs/>
          <w:lang w:val="en-US"/>
        </w:rPr>
        <w:t>GFP</w:t>
      </w:r>
      <w:r w:rsidRPr="004C75D3">
        <w:rPr>
          <w:lang w:val="en-US"/>
        </w:rPr>
        <w:t xml:space="preserve"> antisense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 is highlighted in red. Highlighted in blue is the CaMV35S promotor sequence; highlighted in yellow is the 5’UTR; red font represents the circRNA target sequence (30 nt); start codon ATG underlined in green; stop codon TAA underlined in red; 3’UTR highlighted in green; terminator sequence highlighted in grey. (B) </w:t>
      </w:r>
      <w:r w:rsidRPr="004C75D3">
        <w:rPr>
          <w:bCs/>
          <w:lang w:val="en-US"/>
        </w:rPr>
        <w:t xml:space="preserve">The exact position of the target sequence was selected based on the secondary structure model of the ORF. The red box inside the </w:t>
      </w:r>
      <w:r w:rsidRPr="004C75D3">
        <w:rPr>
          <w:bCs/>
          <w:i/>
          <w:iCs/>
          <w:lang w:val="en-US"/>
        </w:rPr>
        <w:t>GFP</w:t>
      </w:r>
      <w:r w:rsidRPr="004C75D3">
        <w:rPr>
          <w:bCs/>
          <w:lang w:val="en-US"/>
        </w:rPr>
        <w:t xml:space="preserve"> mRNA structure indicates the binding site for the designated antisense circRNA</w:t>
      </w:r>
      <w:r w:rsidRPr="004C75D3">
        <w:rPr>
          <w:bCs/>
          <w:vertAlign w:val="subscript"/>
          <w:lang w:val="en-US"/>
        </w:rPr>
        <w:t>GFP</w:t>
      </w:r>
      <w:r w:rsidRPr="004C75D3">
        <w:rPr>
          <w:bCs/>
          <w:lang w:val="en-US"/>
        </w:rPr>
        <w:t xml:space="preserve">. (C) The selection of this region was confirmed by measuring mRNA accessibility using </w:t>
      </w:r>
      <w:r w:rsidRPr="004C75D3">
        <w:rPr>
          <w:lang w:val="en-US"/>
        </w:rPr>
        <w:t xml:space="preserve">the </w:t>
      </w:r>
      <w:proofErr w:type="spellStart"/>
      <w:r w:rsidRPr="004C75D3">
        <w:rPr>
          <w:lang w:val="en-US"/>
        </w:rPr>
        <w:t>RNAup</w:t>
      </w:r>
      <w:proofErr w:type="spellEnd"/>
      <w:r w:rsidRPr="004C75D3">
        <w:rPr>
          <w:bCs/>
          <w:lang w:val="en-US"/>
        </w:rPr>
        <w:t xml:space="preserve"> s</w:t>
      </w:r>
      <w:r w:rsidRPr="004C75D3">
        <w:rPr>
          <w:lang w:val="en-US"/>
        </w:rPr>
        <w:t xml:space="preserve">oftware (Vienna RNA Package, http://rna.tbi.univie.ac.at/). </w:t>
      </w:r>
      <w:r w:rsidRPr="004C75D3">
        <w:rPr>
          <w:lang w:val="en-GB"/>
        </w:rPr>
        <w:t xml:space="preserve">The </w:t>
      </w:r>
      <w:r w:rsidRPr="004C75D3">
        <w:rPr>
          <w:i/>
          <w:lang w:val="en-GB"/>
        </w:rPr>
        <w:t>GFP</w:t>
      </w:r>
      <w:r w:rsidRPr="004C75D3">
        <w:rPr>
          <w:lang w:val="en-GB"/>
        </w:rPr>
        <w:t xml:space="preserve"> mRNA sequence (5'UTR and 3'UTR included) was used with its own antisense RNA sequence to determine RNA accessibility. This analysis served as a guide for selecting sequence sections for antisense circRNA design. </w:t>
      </w:r>
      <w:r w:rsidRPr="004C75D3">
        <w:rPr>
          <w:lang w:val="en-US"/>
        </w:rPr>
        <w:t>Green box indicates higher mRNA accessibility, chosen for the target sequence of the antisense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. (D) Sequences and structures of three circRNAs used in this study. The secondary structures of designer circRNAs were determined with the program </w:t>
      </w:r>
      <w:proofErr w:type="spellStart"/>
      <w:r w:rsidRPr="004C75D3">
        <w:rPr>
          <w:color w:val="000000" w:themeColor="text1"/>
          <w:lang w:val="en-US"/>
        </w:rPr>
        <w:t>mfold</w:t>
      </w:r>
      <w:proofErr w:type="spellEnd"/>
      <w:r w:rsidRPr="004C75D3">
        <w:rPr>
          <w:color w:val="000000" w:themeColor="text1"/>
          <w:lang w:val="en-US"/>
        </w:rPr>
        <w:t xml:space="preserve"> (</w:t>
      </w:r>
      <w:hyperlink r:id="rId4">
        <w:r w:rsidRPr="004C75D3">
          <w:rPr>
            <w:rStyle w:val="Hyperlink"/>
            <w:rFonts w:eastAsiaTheme="majorEastAsia"/>
            <w:color w:val="000000" w:themeColor="text1"/>
            <w:lang w:val="en-US"/>
          </w:rPr>
          <w:t>www.unafold.org</w:t>
        </w:r>
      </w:hyperlink>
      <w:r w:rsidRPr="004C75D3">
        <w:rPr>
          <w:color w:val="000000" w:themeColor="text1"/>
          <w:lang w:val="en-US"/>
        </w:rPr>
        <w:t xml:space="preserve">; </w:t>
      </w:r>
      <w:r w:rsidRPr="004C75D3">
        <w:rPr>
          <w:lang w:val="en-US"/>
        </w:rPr>
        <w:t xml:space="preserve">Zuker 2003). The </w:t>
      </w:r>
      <w:r w:rsidRPr="004C75D3">
        <w:rPr>
          <w:i/>
          <w:lang w:val="en-US"/>
        </w:rPr>
        <w:t>GFP</w:t>
      </w:r>
      <w:r w:rsidRPr="004C75D3">
        <w:rPr>
          <w:lang w:val="en-US"/>
        </w:rPr>
        <w:t xml:space="preserve"> target sequence is colored in green, while randomized control sequences are colored in blue.</w:t>
      </w:r>
      <w:r w:rsidRPr="004C75D3">
        <w:rPr>
          <w:bCs/>
          <w:lang w:val="en-US"/>
        </w:rPr>
        <w:t xml:space="preserve"> Respective nt sequences of all circRNA </w:t>
      </w:r>
      <w:r w:rsidRPr="004C75D3">
        <w:rPr>
          <w:lang w:val="en-US"/>
        </w:rPr>
        <w:t>are shown in Table S1</w:t>
      </w:r>
      <w:r w:rsidRPr="004C75D3">
        <w:rPr>
          <w:bCs/>
          <w:lang w:val="en-US"/>
        </w:rPr>
        <w:t>.</w:t>
      </w:r>
    </w:p>
    <w:p w:rsidR="00AC49AD" w:rsidRPr="004C75D3" w:rsidRDefault="00AC49AD" w:rsidP="00AC49AD">
      <w:pPr>
        <w:spacing w:line="360" w:lineRule="auto"/>
        <w:jc w:val="both"/>
        <w:rPr>
          <w:lang w:val="en-US"/>
        </w:rPr>
      </w:pPr>
    </w:p>
    <w:p w:rsidR="00AC49AD" w:rsidRPr="004C75D3" w:rsidRDefault="00AC49AD" w:rsidP="00AC49AD">
      <w:pPr>
        <w:spacing w:line="360" w:lineRule="auto"/>
        <w:jc w:val="both"/>
        <w:rPr>
          <w:lang w:val="en-GB"/>
        </w:rPr>
      </w:pPr>
      <w:r w:rsidRPr="001E722B">
        <w:rPr>
          <w:b/>
          <w:bCs/>
          <w:lang w:val="en-GB"/>
        </w:rPr>
        <w:t>Figure S2</w:t>
      </w:r>
      <w:r w:rsidRPr="004C75D3">
        <w:rPr>
          <w:lang w:val="en-GB"/>
        </w:rPr>
        <w:t xml:space="preserve"> Map of plasmids for Arabidopsis protoplast transfection. </w:t>
      </w:r>
      <w:r w:rsidRPr="004C75D3">
        <w:rPr>
          <w:lang w:val="en-US"/>
        </w:rPr>
        <w:t>(A)</w:t>
      </w:r>
      <w:r w:rsidRPr="004C75D3">
        <w:rPr>
          <w:lang w:val="en-GB"/>
        </w:rPr>
        <w:t xml:space="preserve"> pGY1-35</w:t>
      </w:r>
      <w:proofErr w:type="gramStart"/>
      <w:r w:rsidRPr="004C75D3">
        <w:rPr>
          <w:lang w:val="en-GB"/>
        </w:rPr>
        <w:t>S::</w:t>
      </w:r>
      <w:proofErr w:type="gramEnd"/>
      <w:r w:rsidRPr="004C75D3">
        <w:rPr>
          <w:lang w:val="en-GB"/>
        </w:rPr>
        <w:t>GFP:RFP: The plasmid was prepared by using the pGY1-35S::GFP (Schweizer et al. 1999; see B) plasmid backbone, where RFP was inserted by cloning. (B) pGY1-35</w:t>
      </w:r>
      <w:proofErr w:type="gramStart"/>
      <w:r w:rsidRPr="004C75D3">
        <w:rPr>
          <w:lang w:val="en-GB"/>
        </w:rPr>
        <w:t>S::</w:t>
      </w:r>
      <w:proofErr w:type="gramEnd"/>
      <w:r w:rsidRPr="004C75D3">
        <w:rPr>
          <w:lang w:val="en-GB"/>
        </w:rPr>
        <w:t xml:space="preserve">GFP backbone: The whole construct confers resistance to ampicillin and carbenicillin antibiotics. </w:t>
      </w:r>
      <w:r w:rsidRPr="004C75D3">
        <w:rPr>
          <w:i/>
          <w:lang w:val="en-GB"/>
        </w:rPr>
        <w:t>GFP</w:t>
      </w:r>
      <w:r w:rsidRPr="004C75D3">
        <w:rPr>
          <w:lang w:val="en-GB"/>
        </w:rPr>
        <w:t xml:space="preserve"> is inserted and its expression is under the control of </w:t>
      </w:r>
      <w:r w:rsidRPr="004C75D3">
        <w:rPr>
          <w:i/>
          <w:lang w:val="en-GB"/>
        </w:rPr>
        <w:t>Cauliflower Mosaic Virus</w:t>
      </w:r>
      <w:r w:rsidRPr="004C75D3">
        <w:rPr>
          <w:lang w:val="en-GB"/>
        </w:rPr>
        <w:t xml:space="preserve"> 35S (CaMV35S) promoter and terminator.</w:t>
      </w:r>
      <w:r w:rsidRPr="004C75D3">
        <w:rPr>
          <w:lang w:val="en-US"/>
        </w:rPr>
        <w:t xml:space="preserve"> </w:t>
      </w:r>
      <w:r w:rsidRPr="004C75D3">
        <w:rPr>
          <w:lang w:val="en-GB"/>
        </w:rPr>
        <w:t xml:space="preserve">The Maps were generated by </w:t>
      </w:r>
      <w:proofErr w:type="spellStart"/>
      <w:r w:rsidRPr="004C75D3">
        <w:rPr>
          <w:lang w:val="en-GB"/>
        </w:rPr>
        <w:t>SnapGene</w:t>
      </w:r>
      <w:proofErr w:type="spellEnd"/>
      <w:r w:rsidRPr="004C75D3">
        <w:rPr>
          <w:lang w:val="en-GB"/>
        </w:rPr>
        <w:t xml:space="preserve"> freeware (</w:t>
      </w:r>
      <w:hyperlink r:id="rId5">
        <w:r w:rsidRPr="004C75D3">
          <w:rPr>
            <w:rStyle w:val="Hyperlink"/>
            <w:rFonts w:eastAsiaTheme="majorEastAsia"/>
            <w:lang w:val="en-GB"/>
          </w:rPr>
          <w:t>https://en.freedownloadmanager.org/Windows-PC/SnapGene-Viewer-FREE.html</w:t>
        </w:r>
      </w:hyperlink>
      <w:r w:rsidRPr="004C75D3">
        <w:rPr>
          <w:lang w:val="en-GB"/>
        </w:rPr>
        <w:t>.</w:t>
      </w:r>
    </w:p>
    <w:p w:rsidR="00AC49AD" w:rsidRPr="004C75D3" w:rsidRDefault="00AC49AD" w:rsidP="00AC49AD">
      <w:pPr>
        <w:spacing w:line="360" w:lineRule="auto"/>
        <w:jc w:val="both"/>
        <w:rPr>
          <w:lang w:val="en-GB"/>
        </w:rPr>
      </w:pPr>
    </w:p>
    <w:p w:rsidR="00AC49AD" w:rsidRPr="004C75D3" w:rsidRDefault="00AC49AD" w:rsidP="00AC49AD">
      <w:pPr>
        <w:spacing w:before="120" w:line="360" w:lineRule="auto"/>
        <w:jc w:val="both"/>
        <w:rPr>
          <w:lang w:val="en-US"/>
        </w:rPr>
      </w:pPr>
      <w:r w:rsidRPr="001E722B">
        <w:rPr>
          <w:b/>
          <w:bCs/>
          <w:lang w:val="en-US"/>
        </w:rPr>
        <w:t>Figure S3</w:t>
      </w:r>
      <w:r w:rsidRPr="004C75D3">
        <w:rPr>
          <w:lang w:val="en-US"/>
        </w:rPr>
        <w:t xml:space="preserve"> Microscopic imaging of GFP fluorescence in Arabidopsis protoplasts. Protoplasts were transfected with 20 µg of plasmid pGY1-35</w:t>
      </w:r>
      <w:proofErr w:type="gramStart"/>
      <w:r w:rsidRPr="004C75D3">
        <w:rPr>
          <w:lang w:val="en-US"/>
        </w:rPr>
        <w:t>S::</w:t>
      </w:r>
      <w:proofErr w:type="gramEnd"/>
      <w:r w:rsidRPr="004C75D3">
        <w:rPr>
          <w:lang w:val="en-US"/>
        </w:rPr>
        <w:t xml:space="preserve">GFP and 4 µg of </w:t>
      </w:r>
      <w:r w:rsidRPr="004C75D3">
        <w:rPr>
          <w:i/>
          <w:iCs/>
          <w:lang w:val="en-US"/>
        </w:rPr>
        <w:t>GFP</w:t>
      </w:r>
      <w:r w:rsidRPr="004C75D3">
        <w:rPr>
          <w:lang w:val="en-US"/>
        </w:rPr>
        <w:t xml:space="preserve"> antisense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>, or 4 µg of non-targeting circRNA</w:t>
      </w:r>
      <w:r w:rsidRPr="004C75D3">
        <w:rPr>
          <w:vertAlign w:val="subscript"/>
          <w:lang w:val="en-US"/>
        </w:rPr>
        <w:t>CTR1</w:t>
      </w:r>
      <w:r w:rsidRPr="004C75D3">
        <w:rPr>
          <w:lang w:val="en-US"/>
        </w:rPr>
        <w:t xml:space="preserve">. (A). After 18 hpt, protoplasts were examined under the microscope using two distinct filters to analyze the ratio of fluorescence </w:t>
      </w:r>
      <w:r w:rsidRPr="004C75D3">
        <w:rPr>
          <w:lang w:val="en-US"/>
        </w:rPr>
        <w:lastRenderedPageBreak/>
        <w:t>levels between the GFP fluorescent protoplasts (</w:t>
      </w:r>
      <w:proofErr w:type="spellStart"/>
      <w:r w:rsidRPr="004C75D3">
        <w:rPr>
          <w:lang w:val="en-US"/>
        </w:rPr>
        <w:t>λexc</w:t>
      </w:r>
      <w:proofErr w:type="spellEnd"/>
      <w:r w:rsidRPr="004C75D3">
        <w:rPr>
          <w:lang w:val="en-US"/>
        </w:rPr>
        <w:t xml:space="preserve"> 470, </w:t>
      </w:r>
      <w:proofErr w:type="spellStart"/>
      <w:r w:rsidRPr="004C75D3">
        <w:rPr>
          <w:lang w:val="en-US"/>
        </w:rPr>
        <w:t>λem</w:t>
      </w:r>
      <w:proofErr w:type="spellEnd"/>
      <w:r w:rsidRPr="004C75D3">
        <w:rPr>
          <w:lang w:val="en-US"/>
        </w:rPr>
        <w:t xml:space="preserve"> 525 nm) and red chlorophyll autofluorescence (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exc</w:t>
      </w:r>
      <w:proofErr w:type="spellEnd"/>
      <w:r w:rsidRPr="004C75D3">
        <w:rPr>
          <w:lang w:val="en-US"/>
        </w:rPr>
        <w:t xml:space="preserve"> 480,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em</w:t>
      </w:r>
      <w:proofErr w:type="spellEnd"/>
      <w:r w:rsidRPr="004C75D3">
        <w:rPr>
          <w:lang w:val="en-US"/>
        </w:rPr>
        <w:t xml:space="preserve"> 510 nm). Fluorescence intensity was quantified based on images by using ImageJ </w:t>
      </w:r>
      <w:r w:rsidRPr="004C75D3">
        <w:rPr>
          <w:color w:val="000000"/>
          <w:lang w:val="en-US"/>
        </w:rPr>
        <w:t>1.54p</w:t>
      </w:r>
      <w:r w:rsidRPr="004C75D3">
        <w:rPr>
          <w:szCs w:val="22"/>
          <w:lang w:val="en-US" w:eastAsia="en-GB"/>
        </w:rPr>
        <w:t xml:space="preserve"> </w:t>
      </w:r>
      <w:r w:rsidRPr="004C75D3">
        <w:rPr>
          <w:lang w:val="en-US"/>
        </w:rPr>
        <w:t xml:space="preserve">software. </w:t>
      </w:r>
      <w:r w:rsidR="0062045F">
        <w:rPr>
          <w:color w:val="000000" w:themeColor="text1"/>
          <w:lang w:val="en-US"/>
        </w:rPr>
        <w:t>The scale bar</w:t>
      </w:r>
      <w:r w:rsidR="0062045F" w:rsidRPr="00E367B7">
        <w:rPr>
          <w:color w:val="000000" w:themeColor="text1"/>
          <w:lang w:val="en-US"/>
        </w:rPr>
        <w:t xml:space="preserve"> </w:t>
      </w:r>
      <w:r w:rsidR="0062045F">
        <w:rPr>
          <w:color w:val="000000" w:themeColor="text1"/>
          <w:lang w:val="en-US"/>
        </w:rPr>
        <w:t xml:space="preserve">represents </w:t>
      </w:r>
      <w:r w:rsidR="0062045F" w:rsidRPr="0062045F">
        <w:rPr>
          <w:color w:val="000000" w:themeColor="text1"/>
          <w:lang w:val="en-GB"/>
        </w:rPr>
        <w:t xml:space="preserve">500 </w:t>
      </w:r>
      <w:r w:rsidR="0062045F" w:rsidRPr="00E367B7">
        <w:rPr>
          <w:color w:val="000000" w:themeColor="text1"/>
        </w:rPr>
        <w:t>μ</w:t>
      </w:r>
      <w:r w:rsidR="0062045F" w:rsidRPr="0062045F">
        <w:rPr>
          <w:color w:val="000000" w:themeColor="text1"/>
          <w:lang w:val="en-GB"/>
        </w:rPr>
        <w:t>m.</w:t>
      </w:r>
      <w:r w:rsidR="0062045F" w:rsidRPr="00E367B7">
        <w:rPr>
          <w:color w:val="000000" w:themeColor="text1"/>
          <w:lang w:val="en-US"/>
        </w:rPr>
        <w:t xml:space="preserve"> </w:t>
      </w:r>
      <w:r w:rsidRPr="004C75D3">
        <w:rPr>
          <w:lang w:val="en-US"/>
        </w:rPr>
        <w:t>(B). The ratio between green pixels (GFP fluorescence) and red pixels (chlorophyll fluorescence) as calculated with ImageJ represented in the graph. The bar represents the measurements of ≥6 individual pictures taken at various positions. Statistical analysis was performed using one-way ANOVA, where ‘*’ denotes p ≤ 0.05 significance to the protoplast transfected without circRNA ( control).</w:t>
      </w:r>
    </w:p>
    <w:p w:rsidR="00AC49AD" w:rsidRPr="004C75D3" w:rsidRDefault="00AC49AD" w:rsidP="00AC49AD">
      <w:pPr>
        <w:spacing w:before="120" w:line="360" w:lineRule="auto"/>
        <w:jc w:val="both"/>
        <w:rPr>
          <w:strike/>
          <w:lang w:val="en-GB"/>
        </w:rPr>
      </w:pPr>
    </w:p>
    <w:p w:rsidR="00AC49AD" w:rsidRPr="004C75D3" w:rsidRDefault="00AC49AD" w:rsidP="00AC49AD">
      <w:pPr>
        <w:spacing w:before="120" w:line="360" w:lineRule="auto"/>
        <w:jc w:val="both"/>
        <w:rPr>
          <w:lang w:val="en-US"/>
        </w:rPr>
      </w:pPr>
      <w:r w:rsidRPr="001E722B">
        <w:rPr>
          <w:b/>
          <w:bCs/>
          <w:lang w:val="en-GB"/>
        </w:rPr>
        <w:t>Figure S4</w:t>
      </w:r>
      <w:r w:rsidRPr="001E722B">
        <w:rPr>
          <w:lang w:val="en-US"/>
        </w:rPr>
        <w:t xml:space="preserve"> </w:t>
      </w:r>
      <w:r w:rsidRPr="004C75D3">
        <w:rPr>
          <w:lang w:val="en-US"/>
        </w:rPr>
        <w:t>Microscopic imaging of the d</w:t>
      </w:r>
      <w:proofErr w:type="spellStart"/>
      <w:r w:rsidRPr="004C75D3">
        <w:rPr>
          <w:lang w:val="en-GB"/>
        </w:rPr>
        <w:t>ose</w:t>
      </w:r>
      <w:proofErr w:type="spellEnd"/>
      <w:r w:rsidRPr="004C75D3">
        <w:rPr>
          <w:lang w:val="en-GB"/>
        </w:rPr>
        <w:t xml:space="preserve"> dependency </w:t>
      </w:r>
      <w:r w:rsidRPr="004C75D3">
        <w:rPr>
          <w:lang w:val="en-US"/>
        </w:rPr>
        <w:t>of GFP abundance in Arabidopsis protoplasts in response to circRNA treatment. Protoplasts were transfected with 20 µg of plasmid</w:t>
      </w:r>
      <w:r w:rsidRPr="004C75D3">
        <w:rPr>
          <w:lang w:val="en-GB"/>
        </w:rPr>
        <w:t xml:space="preserve"> pGY1-35</w:t>
      </w:r>
      <w:proofErr w:type="gramStart"/>
      <w:r w:rsidRPr="004C75D3">
        <w:rPr>
          <w:lang w:val="en-GB"/>
        </w:rPr>
        <w:t>S::</w:t>
      </w:r>
      <w:proofErr w:type="gramEnd"/>
      <w:r w:rsidRPr="004C75D3">
        <w:rPr>
          <w:lang w:val="en-GB"/>
        </w:rPr>
        <w:t>GFP</w:t>
      </w:r>
      <w:r w:rsidRPr="004C75D3">
        <w:rPr>
          <w:lang w:val="en-US"/>
        </w:rPr>
        <w:t xml:space="preserve"> and the indicated amount of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 (A) or circRNA</w:t>
      </w:r>
      <w:r w:rsidRPr="004C75D3">
        <w:rPr>
          <w:vertAlign w:val="subscript"/>
          <w:lang w:val="en-US"/>
        </w:rPr>
        <w:t>CTR1</w:t>
      </w:r>
      <w:r w:rsidRPr="004C75D3">
        <w:rPr>
          <w:lang w:val="en-US"/>
        </w:rPr>
        <w:t xml:space="preserve"> (</w:t>
      </w:r>
      <w:r w:rsidRPr="004C75D3">
        <w:rPr>
          <w:color w:val="000000" w:themeColor="text1"/>
          <w:shd w:val="clear" w:color="auto" w:fill="FFFFFF"/>
          <w:lang w:val="en-US"/>
        </w:rPr>
        <w:t>B</w:t>
      </w:r>
      <w:r w:rsidRPr="004C75D3">
        <w:rPr>
          <w:lang w:val="en-US"/>
        </w:rPr>
        <w:t>), respectively. At 18 hpt, protoplasts were inspected under the fluorescence microscope using two different filters to calculate the ratio in fluorescence levels between the GFP fluorescent protoplasts (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exc</w:t>
      </w:r>
      <w:proofErr w:type="spellEnd"/>
      <w:r w:rsidRPr="004C75D3">
        <w:rPr>
          <w:lang w:val="en-US"/>
        </w:rPr>
        <w:t xml:space="preserve"> 470,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em</w:t>
      </w:r>
      <w:proofErr w:type="spellEnd"/>
      <w:r w:rsidRPr="004C75D3">
        <w:rPr>
          <w:lang w:val="en-US"/>
        </w:rPr>
        <w:t xml:space="preserve"> 525 nm) and total protoplasts (red chlorophyll autofluorescence,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exc</w:t>
      </w:r>
      <w:proofErr w:type="spellEnd"/>
      <w:r w:rsidRPr="004C75D3">
        <w:rPr>
          <w:lang w:val="en-US"/>
        </w:rPr>
        <w:t xml:space="preserve"> 480,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em</w:t>
      </w:r>
      <w:proofErr w:type="spellEnd"/>
      <w:r w:rsidRPr="004C75D3">
        <w:rPr>
          <w:lang w:val="en-US"/>
        </w:rPr>
        <w:t xml:space="preserve"> 510 nm). Fluorescence was measured based on pictures by using ImageJ </w:t>
      </w:r>
      <w:r w:rsidRPr="004C75D3">
        <w:rPr>
          <w:color w:val="000000"/>
          <w:lang w:val="en-US"/>
        </w:rPr>
        <w:t>1.54p</w:t>
      </w:r>
      <w:r w:rsidRPr="004C75D3">
        <w:rPr>
          <w:lang w:val="en-US"/>
        </w:rPr>
        <w:t xml:space="preserve"> software.</w:t>
      </w:r>
      <w:r w:rsidR="0062045F">
        <w:rPr>
          <w:lang w:val="en-US"/>
        </w:rPr>
        <w:t xml:space="preserve"> </w:t>
      </w:r>
      <w:r w:rsidR="0062045F">
        <w:rPr>
          <w:color w:val="000000" w:themeColor="text1"/>
          <w:lang w:val="en-US"/>
        </w:rPr>
        <w:t>The scale bar</w:t>
      </w:r>
      <w:r w:rsidR="0062045F" w:rsidRPr="00E367B7">
        <w:rPr>
          <w:color w:val="000000" w:themeColor="text1"/>
          <w:lang w:val="en-US"/>
        </w:rPr>
        <w:t xml:space="preserve"> </w:t>
      </w:r>
      <w:r w:rsidR="0062045F">
        <w:rPr>
          <w:color w:val="000000" w:themeColor="text1"/>
          <w:lang w:val="en-US"/>
        </w:rPr>
        <w:t xml:space="preserve">represents </w:t>
      </w:r>
      <w:r w:rsidR="0062045F" w:rsidRPr="00E367B7">
        <w:rPr>
          <w:color w:val="000000" w:themeColor="text1"/>
        </w:rPr>
        <w:t>500</w:t>
      </w:r>
      <w:r w:rsidR="0062045F">
        <w:rPr>
          <w:color w:val="000000" w:themeColor="text1"/>
        </w:rPr>
        <w:t xml:space="preserve"> </w:t>
      </w:r>
      <w:r w:rsidR="0062045F" w:rsidRPr="00E367B7">
        <w:rPr>
          <w:color w:val="000000" w:themeColor="text1"/>
        </w:rPr>
        <w:t>μm</w:t>
      </w:r>
      <w:r w:rsidR="0062045F">
        <w:rPr>
          <w:color w:val="000000" w:themeColor="text1"/>
        </w:rPr>
        <w:t>.</w:t>
      </w:r>
    </w:p>
    <w:p w:rsidR="00AC49AD" w:rsidRPr="004C75D3" w:rsidRDefault="00AC49AD" w:rsidP="00AC49AD">
      <w:pPr>
        <w:spacing w:before="120" w:line="360" w:lineRule="auto"/>
        <w:jc w:val="both"/>
        <w:rPr>
          <w:lang w:val="en-GB"/>
        </w:rPr>
      </w:pPr>
    </w:p>
    <w:p w:rsidR="00AC49AD" w:rsidRPr="004C75D3" w:rsidRDefault="00AC49AD" w:rsidP="00AC49AD">
      <w:pPr>
        <w:spacing w:before="120" w:line="360" w:lineRule="auto"/>
        <w:jc w:val="both"/>
        <w:rPr>
          <w:lang w:val="en-US"/>
        </w:rPr>
      </w:pPr>
      <w:r w:rsidRPr="001E722B">
        <w:rPr>
          <w:b/>
          <w:bCs/>
          <w:lang w:val="en-GB"/>
        </w:rPr>
        <w:t xml:space="preserve">Figure S5 </w:t>
      </w:r>
      <w:r w:rsidRPr="004C75D3">
        <w:rPr>
          <w:lang w:val="en-GB"/>
        </w:rPr>
        <w:t xml:space="preserve">Microscopic </w:t>
      </w:r>
      <w:r w:rsidRPr="004C75D3">
        <w:rPr>
          <w:lang w:val="en-US"/>
        </w:rPr>
        <w:t xml:space="preserve">imaging of the GFP fluorescence in Arabidopsis RNAi mutants. </w:t>
      </w:r>
      <w:proofErr w:type="spellStart"/>
      <w:r w:rsidRPr="004C75D3">
        <w:rPr>
          <w:lang w:val="en-US"/>
        </w:rPr>
        <w:t>Protoplats</w:t>
      </w:r>
      <w:proofErr w:type="spellEnd"/>
      <w:r w:rsidRPr="004C75D3">
        <w:rPr>
          <w:lang w:val="en-US"/>
        </w:rPr>
        <w:t xml:space="preserve"> of mutants </w:t>
      </w:r>
      <w:r w:rsidRPr="004C75D3">
        <w:rPr>
          <w:i/>
          <w:iCs/>
          <w:lang w:val="en-GB"/>
        </w:rPr>
        <w:t>dcl1-11</w:t>
      </w:r>
      <w:r w:rsidRPr="004C75D3">
        <w:rPr>
          <w:lang w:val="en-US"/>
        </w:rPr>
        <w:t xml:space="preserve"> (A) and </w:t>
      </w:r>
      <w:r w:rsidRPr="004C75D3">
        <w:rPr>
          <w:i/>
          <w:iCs/>
          <w:lang w:val="en-GB"/>
        </w:rPr>
        <w:t>ago1-27</w:t>
      </w:r>
      <w:r w:rsidRPr="004C75D3">
        <w:rPr>
          <w:lang w:val="en-US"/>
        </w:rPr>
        <w:t xml:space="preserve"> (B) were transfected with 20 µg of plasmid</w:t>
      </w:r>
      <w:r w:rsidRPr="004C75D3">
        <w:rPr>
          <w:lang w:val="en-GB"/>
        </w:rPr>
        <w:t xml:space="preserve"> pGY1-35</w:t>
      </w:r>
      <w:proofErr w:type="gramStart"/>
      <w:r w:rsidRPr="004C75D3">
        <w:rPr>
          <w:lang w:val="en-GB"/>
        </w:rPr>
        <w:t>S::</w:t>
      </w:r>
      <w:proofErr w:type="gramEnd"/>
      <w:r w:rsidRPr="004C75D3">
        <w:rPr>
          <w:lang w:val="en-GB"/>
        </w:rPr>
        <w:t>GFP</w:t>
      </w:r>
      <w:r w:rsidRPr="004C75D3">
        <w:rPr>
          <w:lang w:val="en-US"/>
        </w:rPr>
        <w:t xml:space="preserve"> and 4 µg of </w:t>
      </w:r>
      <w:r w:rsidRPr="004C75D3">
        <w:rPr>
          <w:i/>
          <w:iCs/>
          <w:lang w:val="en-US"/>
        </w:rPr>
        <w:t>GFP</w:t>
      </w:r>
      <w:r w:rsidRPr="004C75D3">
        <w:rPr>
          <w:lang w:val="en-US"/>
        </w:rPr>
        <w:t xml:space="preserve"> antisense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 or non-targeting circRNA</w:t>
      </w:r>
      <w:r w:rsidRPr="004C75D3">
        <w:rPr>
          <w:vertAlign w:val="subscript"/>
          <w:lang w:val="en-US"/>
        </w:rPr>
        <w:t>CTR1</w:t>
      </w:r>
      <w:r w:rsidRPr="004C75D3">
        <w:rPr>
          <w:lang w:val="en-US"/>
        </w:rPr>
        <w:t>. At 18 hpt, protoplasts were inspected under the fluorescence microscope using two different filters to calculate the ratio in fluorescence levels between the GFP fluorescent protoplasts (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exc</w:t>
      </w:r>
      <w:proofErr w:type="spellEnd"/>
      <w:r w:rsidRPr="004C75D3">
        <w:rPr>
          <w:lang w:val="en-US"/>
        </w:rPr>
        <w:t xml:space="preserve"> 470,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em</w:t>
      </w:r>
      <w:proofErr w:type="spellEnd"/>
      <w:r w:rsidRPr="004C75D3">
        <w:rPr>
          <w:lang w:val="en-US"/>
        </w:rPr>
        <w:t xml:space="preserve"> 525 nm) and total protoplasts (red chlorophyll autofluorescence,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exc</w:t>
      </w:r>
      <w:proofErr w:type="spellEnd"/>
      <w:r w:rsidRPr="004C75D3">
        <w:rPr>
          <w:lang w:val="en-US"/>
        </w:rPr>
        <w:t xml:space="preserve"> 480, </w:t>
      </w:r>
      <w:proofErr w:type="spellStart"/>
      <w:r w:rsidRPr="004C75D3">
        <w:rPr>
          <w:lang w:val="en-US"/>
        </w:rPr>
        <w:t>λ</w:t>
      </w:r>
      <w:r w:rsidRPr="004C75D3">
        <w:rPr>
          <w:vertAlign w:val="subscript"/>
          <w:lang w:val="en-US"/>
        </w:rPr>
        <w:t>em</w:t>
      </w:r>
      <w:proofErr w:type="spellEnd"/>
      <w:r w:rsidRPr="004C75D3">
        <w:rPr>
          <w:lang w:val="en-US"/>
        </w:rPr>
        <w:t xml:space="preserve"> 510 nm). Fluorescence was measured based on pictures using ImageJ </w:t>
      </w:r>
      <w:r w:rsidRPr="004C75D3">
        <w:rPr>
          <w:color w:val="000000"/>
          <w:lang w:val="en-US"/>
        </w:rPr>
        <w:t>1.54p</w:t>
      </w:r>
      <w:r w:rsidRPr="004C75D3">
        <w:rPr>
          <w:szCs w:val="22"/>
          <w:lang w:val="en-US" w:eastAsia="en-GB"/>
        </w:rPr>
        <w:t xml:space="preserve"> </w:t>
      </w:r>
      <w:r w:rsidRPr="004C75D3">
        <w:rPr>
          <w:lang w:val="en-US"/>
        </w:rPr>
        <w:t>software.</w:t>
      </w:r>
      <w:r w:rsidR="0062045F">
        <w:rPr>
          <w:lang w:val="en-US"/>
        </w:rPr>
        <w:t xml:space="preserve"> </w:t>
      </w:r>
      <w:r w:rsidR="0062045F">
        <w:rPr>
          <w:color w:val="000000" w:themeColor="text1"/>
          <w:lang w:val="en-US"/>
        </w:rPr>
        <w:t>The scale bar</w:t>
      </w:r>
      <w:r w:rsidR="0062045F" w:rsidRPr="00E367B7">
        <w:rPr>
          <w:color w:val="000000" w:themeColor="text1"/>
          <w:lang w:val="en-US"/>
        </w:rPr>
        <w:t xml:space="preserve"> </w:t>
      </w:r>
      <w:r w:rsidR="0062045F">
        <w:rPr>
          <w:color w:val="000000" w:themeColor="text1"/>
          <w:lang w:val="en-US"/>
        </w:rPr>
        <w:t xml:space="preserve">represents </w:t>
      </w:r>
      <w:r w:rsidR="0062045F" w:rsidRPr="00E367B7">
        <w:rPr>
          <w:color w:val="000000" w:themeColor="text1"/>
        </w:rPr>
        <w:t>500</w:t>
      </w:r>
      <w:r w:rsidR="0062045F">
        <w:rPr>
          <w:color w:val="000000" w:themeColor="text1"/>
        </w:rPr>
        <w:t xml:space="preserve"> </w:t>
      </w:r>
      <w:r w:rsidR="0062045F" w:rsidRPr="00E367B7">
        <w:rPr>
          <w:color w:val="000000" w:themeColor="text1"/>
        </w:rPr>
        <w:t>μm</w:t>
      </w:r>
      <w:r w:rsidR="0062045F">
        <w:rPr>
          <w:color w:val="000000" w:themeColor="text1"/>
        </w:rPr>
        <w:t>.</w:t>
      </w:r>
    </w:p>
    <w:p w:rsidR="00AC49AD" w:rsidRPr="004C75D3" w:rsidRDefault="00AC49AD" w:rsidP="00AC49AD">
      <w:pPr>
        <w:spacing w:line="360" w:lineRule="auto"/>
        <w:jc w:val="both"/>
        <w:rPr>
          <w:lang w:val="en-GB"/>
        </w:rPr>
      </w:pPr>
    </w:p>
    <w:p w:rsidR="00AC49AD" w:rsidRPr="004C75D3" w:rsidRDefault="00AC49AD" w:rsidP="00AC49AD">
      <w:pPr>
        <w:spacing w:line="360" w:lineRule="auto"/>
        <w:jc w:val="both"/>
        <w:rPr>
          <w:lang w:val="en-US"/>
        </w:rPr>
      </w:pPr>
      <w:r w:rsidRPr="001E722B">
        <w:rPr>
          <w:b/>
          <w:bCs/>
          <w:lang w:val="en-US"/>
        </w:rPr>
        <w:t>Figure S6</w:t>
      </w:r>
      <w:r w:rsidRPr="004C75D3">
        <w:rPr>
          <w:lang w:val="en-US"/>
        </w:rPr>
        <w:t xml:space="preserve"> Immunoblot analysis of the GFP abundance in Arabidopsis protoplasts of RNAi mutants </w:t>
      </w:r>
      <w:r w:rsidRPr="004C75D3">
        <w:rPr>
          <w:i/>
          <w:iCs/>
          <w:lang w:val="en-US"/>
        </w:rPr>
        <w:t>dcl2,3,4</w:t>
      </w:r>
      <w:r w:rsidRPr="004C75D3">
        <w:rPr>
          <w:lang w:val="en-US"/>
        </w:rPr>
        <w:t xml:space="preserve">, </w:t>
      </w:r>
      <w:r w:rsidRPr="004C75D3">
        <w:rPr>
          <w:i/>
          <w:lang w:val="en-US"/>
        </w:rPr>
        <w:t xml:space="preserve">ago2-1 </w:t>
      </w:r>
      <w:r w:rsidRPr="004C75D3">
        <w:rPr>
          <w:lang w:val="en-US"/>
        </w:rPr>
        <w:t>and</w:t>
      </w:r>
      <w:r w:rsidRPr="004C75D3">
        <w:rPr>
          <w:i/>
          <w:lang w:val="en-US"/>
        </w:rPr>
        <w:t xml:space="preserve"> ago4-1 </w:t>
      </w:r>
      <w:r w:rsidRPr="004C75D3">
        <w:rPr>
          <w:lang w:val="en-US"/>
        </w:rPr>
        <w:t>upon treatment with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 or non-targeting circRNA</w:t>
      </w:r>
      <w:r w:rsidRPr="004C75D3">
        <w:rPr>
          <w:vertAlign w:val="subscript"/>
          <w:lang w:val="en-US"/>
        </w:rPr>
        <w:t>CTR1</w:t>
      </w:r>
      <w:r w:rsidRPr="004C75D3">
        <w:rPr>
          <w:lang w:val="en-US"/>
        </w:rPr>
        <w:t xml:space="preserve">. Protoplasts were transfected with 20 </w:t>
      </w:r>
      <w:r w:rsidRPr="004C75D3">
        <w:rPr>
          <w:lang w:val="en-GB"/>
        </w:rPr>
        <w:t>µg</w:t>
      </w:r>
      <w:r w:rsidRPr="004C75D3">
        <w:rPr>
          <w:lang w:val="en-US"/>
        </w:rPr>
        <w:t xml:space="preserve"> of </w:t>
      </w:r>
      <w:r w:rsidRPr="004C75D3">
        <w:rPr>
          <w:lang w:val="en-GB"/>
        </w:rPr>
        <w:t>pGY1-35</w:t>
      </w:r>
      <w:proofErr w:type="gramStart"/>
      <w:r w:rsidRPr="004C75D3">
        <w:rPr>
          <w:lang w:val="en-GB"/>
        </w:rPr>
        <w:t>S::</w:t>
      </w:r>
      <w:proofErr w:type="gramEnd"/>
      <w:r w:rsidRPr="004C75D3">
        <w:rPr>
          <w:lang w:val="en-GB"/>
        </w:rPr>
        <w:t>GFP</w:t>
      </w:r>
      <w:r w:rsidRPr="004C75D3">
        <w:rPr>
          <w:lang w:val="en-US"/>
        </w:rPr>
        <w:t xml:space="preserve"> plasmid and 4 </w:t>
      </w:r>
      <w:r w:rsidRPr="004C75D3">
        <w:rPr>
          <w:lang w:val="en-GB"/>
        </w:rPr>
        <w:t>µg</w:t>
      </w:r>
      <w:r w:rsidRPr="004C75D3">
        <w:rPr>
          <w:lang w:val="en-US"/>
        </w:rPr>
        <w:t xml:space="preserve">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 or circRNA</w:t>
      </w:r>
      <w:r w:rsidRPr="004C75D3">
        <w:rPr>
          <w:vertAlign w:val="subscript"/>
          <w:lang w:val="en-US"/>
        </w:rPr>
        <w:t>CTR1</w:t>
      </w:r>
      <w:r w:rsidRPr="004C75D3">
        <w:rPr>
          <w:lang w:val="en-US"/>
        </w:rPr>
        <w:t>, respectively. Equal amounts of protein were analyzed by Ponceau-S staining.</w:t>
      </w:r>
    </w:p>
    <w:p w:rsidR="00AC49AD" w:rsidRPr="004C75D3" w:rsidRDefault="00AC49AD" w:rsidP="00AC49AD">
      <w:pPr>
        <w:spacing w:line="360" w:lineRule="auto"/>
        <w:jc w:val="both"/>
        <w:rPr>
          <w:lang w:val="en-GB"/>
        </w:rPr>
      </w:pPr>
    </w:p>
    <w:p w:rsidR="00AC49AD" w:rsidRPr="004C75D3" w:rsidRDefault="00AC49AD" w:rsidP="00AC49AD">
      <w:pPr>
        <w:spacing w:before="120" w:line="360" w:lineRule="auto"/>
        <w:jc w:val="both"/>
        <w:rPr>
          <w:lang w:val="en-GB"/>
        </w:rPr>
      </w:pPr>
      <w:r w:rsidRPr="001E722B">
        <w:rPr>
          <w:b/>
          <w:bCs/>
          <w:lang w:val="en-GB"/>
        </w:rPr>
        <w:lastRenderedPageBreak/>
        <w:t>Figure S7</w:t>
      </w:r>
      <w:r w:rsidRPr="004C75D3">
        <w:rPr>
          <w:lang w:val="en-GB"/>
        </w:rPr>
        <w:t xml:space="preserve"> </w:t>
      </w:r>
      <w:r w:rsidRPr="004C75D3">
        <w:rPr>
          <w:lang w:val="en-US"/>
        </w:rPr>
        <w:t xml:space="preserve">RT-qPCR analysis of the amount of </w:t>
      </w:r>
      <w:r w:rsidRPr="004C75D3">
        <w:rPr>
          <w:i/>
          <w:lang w:val="en-US"/>
        </w:rPr>
        <w:t>GFP</w:t>
      </w:r>
      <w:r w:rsidRPr="004C75D3">
        <w:rPr>
          <w:lang w:val="en-US"/>
        </w:rPr>
        <w:t xml:space="preserve"> transcripts in Arabidopsis protoplasts from RNAi mutants upon treatment with circRNA. Protoplasts were transfected with 20 </w:t>
      </w:r>
      <w:r w:rsidRPr="004C75D3">
        <w:rPr>
          <w:lang w:val="en-GB"/>
        </w:rPr>
        <w:t>µg</w:t>
      </w:r>
      <w:r w:rsidRPr="004C75D3">
        <w:rPr>
          <w:lang w:val="en-US"/>
        </w:rPr>
        <w:t xml:space="preserve"> of </w:t>
      </w:r>
      <w:r w:rsidRPr="004C75D3">
        <w:rPr>
          <w:lang w:val="en-GB"/>
        </w:rPr>
        <w:t>pGY1-35</w:t>
      </w:r>
      <w:proofErr w:type="gramStart"/>
      <w:r w:rsidRPr="004C75D3">
        <w:rPr>
          <w:lang w:val="en-GB"/>
        </w:rPr>
        <w:t>S::</w:t>
      </w:r>
      <w:proofErr w:type="gramEnd"/>
      <w:r w:rsidRPr="004C75D3">
        <w:rPr>
          <w:lang w:val="en-GB"/>
        </w:rPr>
        <w:t>GFP</w:t>
      </w:r>
      <w:r w:rsidRPr="004C75D3">
        <w:rPr>
          <w:lang w:val="en-US"/>
        </w:rPr>
        <w:t xml:space="preserve"> plasmid and 4 </w:t>
      </w:r>
      <w:r w:rsidRPr="004C75D3">
        <w:rPr>
          <w:lang w:val="en-GB"/>
        </w:rPr>
        <w:t>µg</w:t>
      </w:r>
      <w:r w:rsidRPr="004C75D3">
        <w:rPr>
          <w:lang w:val="en-US"/>
        </w:rPr>
        <w:t xml:space="preserve"> of circRNA</w:t>
      </w:r>
      <w:r w:rsidRPr="004C75D3">
        <w:rPr>
          <w:vertAlign w:val="subscript"/>
          <w:lang w:val="en-US"/>
        </w:rPr>
        <w:t>GFP</w:t>
      </w:r>
      <w:r w:rsidRPr="004C75D3">
        <w:rPr>
          <w:lang w:val="en-US"/>
        </w:rPr>
        <w:t xml:space="preserve"> or non-targeting circRNA</w:t>
      </w:r>
      <w:r w:rsidRPr="004C75D3">
        <w:rPr>
          <w:vertAlign w:val="subscript"/>
          <w:lang w:val="en-US"/>
        </w:rPr>
        <w:t xml:space="preserve">CTR1, </w:t>
      </w:r>
      <w:r w:rsidRPr="004C75D3">
        <w:rPr>
          <w:lang w:val="en-US"/>
        </w:rPr>
        <w:t xml:space="preserve">respectively. </w:t>
      </w:r>
      <w:r w:rsidRPr="004C75D3">
        <w:rPr>
          <w:lang w:val="en-GB"/>
        </w:rPr>
        <w:t xml:space="preserve">Relative </w:t>
      </w:r>
      <w:r w:rsidRPr="004C75D3">
        <w:rPr>
          <w:i/>
          <w:lang w:val="en-GB"/>
        </w:rPr>
        <w:t>GFP</w:t>
      </w:r>
      <w:r w:rsidRPr="004C75D3">
        <w:rPr>
          <w:lang w:val="en-GB"/>
        </w:rPr>
        <w:t xml:space="preserve"> expression was measured after 18 hpt. Values were normalized to the housekeeping gene </w:t>
      </w:r>
      <w:r w:rsidRPr="004C75D3">
        <w:rPr>
          <w:i/>
          <w:lang w:val="en-GB"/>
        </w:rPr>
        <w:t>Ubiquitin</w:t>
      </w:r>
      <w:r w:rsidRPr="004C75D3">
        <w:rPr>
          <w:lang w:val="en-GB"/>
        </w:rPr>
        <w:t xml:space="preserve">. Bars represent an average of three independent biological experiments pooled together with standard error of the mean (SEM). No statistically significant differences between treatments and genotypes were detected (one sample </w:t>
      </w:r>
      <w:r w:rsidRPr="004C75D3">
        <w:rPr>
          <w:i/>
          <w:iCs/>
          <w:lang w:val="en-GB"/>
        </w:rPr>
        <w:t>t</w:t>
      </w:r>
      <w:r w:rsidRPr="004C75D3">
        <w:rPr>
          <w:lang w:val="en-GB"/>
        </w:rPr>
        <w:t>-test for (A), (B), (C), and (E) and one sample Wilcoxon test for (D), p</w:t>
      </w:r>
      <w:r w:rsidRPr="004C75D3">
        <w:rPr>
          <w:rFonts w:ascii="≤" w:hAnsi="≤"/>
          <w:lang w:val="en-GB"/>
        </w:rPr>
        <w:t>≥</w:t>
      </w:r>
      <w:r w:rsidRPr="004C75D3">
        <w:rPr>
          <w:lang w:val="en-GB"/>
        </w:rPr>
        <w:t xml:space="preserve"> 0.05). </w:t>
      </w:r>
    </w:p>
    <w:p w:rsidR="00AC49AD" w:rsidRPr="004C75D3" w:rsidRDefault="00AC49AD" w:rsidP="00AC49AD">
      <w:pPr>
        <w:spacing w:line="360" w:lineRule="auto"/>
        <w:jc w:val="both"/>
        <w:rPr>
          <w:bCs/>
          <w:lang w:val="en-US"/>
        </w:rPr>
      </w:pPr>
    </w:p>
    <w:p w:rsidR="00AC49AD" w:rsidRPr="00D36505" w:rsidRDefault="00AC49AD" w:rsidP="00D36505">
      <w:pPr>
        <w:spacing w:line="360" w:lineRule="auto"/>
        <w:jc w:val="both"/>
        <w:rPr>
          <w:lang w:val="en-US"/>
        </w:rPr>
      </w:pPr>
      <w:r w:rsidRPr="001E722B">
        <w:rPr>
          <w:b/>
          <w:lang w:val="en-US"/>
        </w:rPr>
        <w:t>Figure S8</w:t>
      </w:r>
      <w:r w:rsidRPr="004C75D3">
        <w:rPr>
          <w:lang w:val="en-US"/>
        </w:rPr>
        <w:t xml:space="preserve"> Mean values of callose intensity levels at PD in individual images taken of epidermal cells of leaf disks treated with a 0.1% aniline blue solution containing water (control), 500 ng/µL of poly(I:C), or either 50 ng/µL or 250 ng/µL of circRNA</w:t>
      </w:r>
      <w:r w:rsidRPr="004C75D3">
        <w:rPr>
          <w:vertAlign w:val="subscript"/>
          <w:lang w:val="en-US"/>
        </w:rPr>
        <w:t>CTR2</w:t>
      </w:r>
      <w:r w:rsidRPr="004C75D3">
        <w:rPr>
          <w:lang w:val="en-US"/>
        </w:rPr>
        <w:t xml:space="preserve">. Error bars show the standard error of the mean. Parametric mean value variances were tested by one-way ANOVA </w:t>
      </w:r>
      <w:r w:rsidRPr="004C75D3">
        <w:rPr>
          <w:szCs w:val="22"/>
          <w:lang w:val="en-US" w:eastAsia="en-GB"/>
        </w:rPr>
        <w:t>followed by Dunnett’s multiple comparisons test</w:t>
      </w:r>
      <w:r w:rsidRPr="004C75D3">
        <w:rPr>
          <w:lang w:val="en-US"/>
        </w:rPr>
        <w:t>. ***, p</w:t>
      </w:r>
      <m:oMath>
        <m:r>
          <w:rPr>
            <w:rFonts w:ascii="Cambria Math" w:hAnsi="Cambria Math"/>
            <w:lang w:val="en-US"/>
          </w:rPr>
          <m:t>≤</m:t>
        </m:r>
      </m:oMath>
      <w:r w:rsidRPr="004C75D3">
        <w:rPr>
          <w:lang w:val="en-US"/>
        </w:rPr>
        <w:t xml:space="preserve"> 0.001; ns = non-significant.</w:t>
      </w:r>
    </w:p>
    <w:p w:rsidR="00AC49AD" w:rsidRPr="00AC49AD" w:rsidRDefault="00AC49AD">
      <w:pPr>
        <w:rPr>
          <w:lang w:val="en-US"/>
        </w:rPr>
      </w:pPr>
    </w:p>
    <w:sectPr w:rsidR="00AC49AD" w:rsidRPr="00AC49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≤">
    <w:altName w:val="Cambria"/>
    <w:panose1 w:val="020B0604020202020204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9AD"/>
    <w:rsid w:val="0062045F"/>
    <w:rsid w:val="00AC49AD"/>
    <w:rsid w:val="00BA2090"/>
    <w:rsid w:val="00D3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52CCFA"/>
  <w15:chartTrackingRefBased/>
  <w15:docId w15:val="{AB7E8C00-F522-5941-BBED-D653000E5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C49A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C49AD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C49AD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C49AD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C49AD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C49AD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C49AD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C49AD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C49AD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C49AD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C49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C49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C49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C49A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C49A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C49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C49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C49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C49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C49AD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AC4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C49AD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C49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C49AD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AC49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C49AD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AC49A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C49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C49A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C49A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AC49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freedownloadmanager.org/Windows-PC/SnapGene-Viewer-FREE.html" TargetMode="External"/><Relationship Id="rId4" Type="http://schemas.openxmlformats.org/officeDocument/2006/relationships/hyperlink" Target="http://www.unafold.org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839</Words>
  <Characters>5291</Characters>
  <Application>Microsoft Office Word</Application>
  <DocSecurity>0</DocSecurity>
  <Lines>44</Lines>
  <Paragraphs>12</Paragraphs>
  <ScaleCrop>false</ScaleCrop>
  <Company/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Kalle Kogel</dc:creator>
  <cp:keywords/>
  <dc:description/>
  <cp:lastModifiedBy>Kalle Kogel</cp:lastModifiedBy>
  <cp:revision>3</cp:revision>
  <dcterms:created xsi:type="dcterms:W3CDTF">2025-03-17T11:42:00Z</dcterms:created>
  <dcterms:modified xsi:type="dcterms:W3CDTF">2025-03-18T18:49:00Z</dcterms:modified>
</cp:coreProperties>
</file>