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5F0AE" w14:textId="735B0094" w:rsidR="00A826E7" w:rsidRPr="00281100" w:rsidRDefault="00281100" w:rsidP="00EA2F46">
      <w:pPr>
        <w:pStyle w:val="BodySciensano"/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tab/>
      </w:r>
      <w:r w:rsidR="00EA2F46" w:rsidRPr="00281100">
        <w:rPr>
          <w:b/>
          <w:bCs/>
          <w:sz w:val="22"/>
          <w:szCs w:val="22"/>
          <w:lang w:val="en-US"/>
        </w:rPr>
        <w:t>Additional file 2 : indicators list per domain</w:t>
      </w:r>
    </w:p>
    <w:p w14:paraId="786DA1C6" w14:textId="246AF88C" w:rsidR="00EA2F46" w:rsidRDefault="00EA2F46" w:rsidP="00EA2F46">
      <w:pPr>
        <w:pStyle w:val="BodySciensano"/>
        <w:rPr>
          <w:b/>
          <w:bCs/>
          <w:color w:val="18667E"/>
          <w:sz w:val="22"/>
          <w:szCs w:val="22"/>
          <w:lang w:val="en-US"/>
        </w:rPr>
      </w:pPr>
    </w:p>
    <w:p w14:paraId="653C9329" w14:textId="0C09299A" w:rsidR="00EA2F46" w:rsidRDefault="00A826E7" w:rsidP="00EA2F46">
      <w:pPr>
        <w:pStyle w:val="BodySciensano"/>
        <w:rPr>
          <w:b/>
          <w:bCs/>
          <w:color w:val="18667E"/>
          <w:sz w:val="22"/>
          <w:szCs w:val="22"/>
          <w:lang w:val="en-US"/>
        </w:rPr>
        <w:sectPr w:rsidR="00EA2F46" w:rsidSect="00437B0C">
          <w:endnotePr>
            <w:numFmt w:val="decimal"/>
          </w:endnotePr>
          <w:pgSz w:w="16838" w:h="11906" w:orient="landscape"/>
          <w:pgMar w:top="1418" w:right="1418" w:bottom="1418" w:left="567" w:header="709" w:footer="709" w:gutter="0"/>
          <w:cols w:space="708"/>
          <w:docGrid w:linePitch="360"/>
        </w:sectPr>
      </w:pPr>
      <w:r w:rsidRPr="00A826E7">
        <w:rPr>
          <w:noProof/>
        </w:rPr>
        <w:drawing>
          <wp:inline distT="0" distB="0" distL="0" distR="0" wp14:anchorId="64DCA438" wp14:editId="4C42ED35">
            <wp:extent cx="10021880" cy="53263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25" cy="5332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679BD" w14:textId="77777777" w:rsidR="00EA2F46" w:rsidRDefault="00EA2F46" w:rsidP="00EA2F46">
      <w:pPr>
        <w:pStyle w:val="BodySciensano"/>
        <w:rPr>
          <w:b/>
          <w:bCs/>
          <w:color w:val="18667E"/>
          <w:sz w:val="22"/>
          <w:szCs w:val="22"/>
          <w:lang w:val="en-US"/>
        </w:rPr>
      </w:pPr>
    </w:p>
    <w:p w14:paraId="27D92C71" w14:textId="77777777" w:rsidR="00EA2F46" w:rsidRPr="002827BB" w:rsidRDefault="00EA2F46" w:rsidP="00EA2F46">
      <w:pPr>
        <w:pStyle w:val="BodySciensano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(Un)employment</w:t>
      </w:r>
    </w:p>
    <w:p w14:paraId="518AAA4A" w14:textId="77777777" w:rsidR="00EA2F46" w:rsidRDefault="00EA2F46" w:rsidP="00EA2F46">
      <w:pPr>
        <w:pStyle w:val="BodySciensano"/>
        <w:rPr>
          <w:b/>
          <w:bCs/>
          <w:color w:val="58595B" w:themeColor="text1"/>
          <w:lang w:val="en-US"/>
        </w:rPr>
      </w:pPr>
    </w:p>
    <w:p w14:paraId="4FB3BE69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 w:rsidRPr="002827BB">
        <w:rPr>
          <w:color w:val="58595B" w:themeColor="text1"/>
          <w:lang w:val="en-US"/>
        </w:rPr>
        <w:t xml:space="preserve">% manual workers : </w:t>
      </w:r>
      <w:r w:rsidRPr="002827BB">
        <w:rPr>
          <w:lang w:val="en-US"/>
        </w:rPr>
        <w:t>percentage of people aged 16 years or over employed in sectors services, agriculture, fishing, craftwork, skilled workers in manufacturing industries, construction, mining, installations operators, and non-skilled workers; with respect to the total employed</w:t>
      </w:r>
      <w:r w:rsidRPr="002827BB">
        <w:rPr>
          <w:color w:val="58595B" w:themeColor="text1"/>
          <w:lang w:val="en-US"/>
        </w:rPr>
        <w:t xml:space="preserve"> (ABDI)</w:t>
      </w:r>
    </w:p>
    <w:p w14:paraId="3D9CA0B4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 w:rsidRPr="002827BB">
        <w:rPr>
          <w:color w:val="58595B" w:themeColor="text1"/>
          <w:lang w:val="en-US"/>
        </w:rPr>
        <w:t xml:space="preserve">% unemployment : </w:t>
      </w:r>
      <w:r w:rsidRPr="002827BB">
        <w:rPr>
          <w:lang w:val="en-US"/>
        </w:rPr>
        <w:t>percentage of people aged 16 years or over without a job (unemployed and those seeking work for the first time), with respect to the total economically active population (ABDI)</w:t>
      </w:r>
    </w:p>
    <w:p w14:paraId="3CCDFC12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color w:val="58595B" w:themeColor="text1"/>
          <w:lang w:val="en-US"/>
        </w:rPr>
        <w:t xml:space="preserve">% eventual employees : </w:t>
      </w:r>
      <w:r w:rsidRPr="002827BB">
        <w:rPr>
          <w:lang w:val="en-US"/>
        </w:rPr>
        <w:t>percentage of people aged 16 or older occupied as eventual employees (ABDI)</w:t>
      </w:r>
    </w:p>
    <w:p w14:paraId="454C20D8" w14:textId="38E0BE5C" w:rsidR="00EA2F46" w:rsidRPr="002827BB" w:rsidRDefault="00B610E2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U</w:t>
      </w:r>
      <w:r w:rsidR="00EA2F46" w:rsidRPr="002827BB">
        <w:rPr>
          <w:lang w:val="en-US"/>
        </w:rPr>
        <w:t>nemployment</w:t>
      </w:r>
      <w:r>
        <w:rPr>
          <w:lang w:val="en-US"/>
        </w:rPr>
        <w:t xml:space="preserve"> rate</w:t>
      </w:r>
      <w:r w:rsidR="00EA2F46" w:rsidRPr="002827BB">
        <w:rPr>
          <w:lang w:val="en-US"/>
        </w:rPr>
        <w:t xml:space="preserve"> (BMID,</w:t>
      </w:r>
      <w:r w:rsidR="00F30242">
        <w:rPr>
          <w:lang w:val="en-US"/>
        </w:rPr>
        <w:t xml:space="preserve"> GIMD,</w:t>
      </w:r>
      <w:r w:rsidR="00EA2F46" w:rsidRPr="002827BB">
        <w:rPr>
          <w:lang w:val="en-US"/>
        </w:rPr>
        <w:t xml:space="preserve"> Irish National Deprivation Index, </w:t>
      </w:r>
      <w:proofErr w:type="spellStart"/>
      <w:r w:rsidR="00EA2F46" w:rsidRPr="002827BB">
        <w:rPr>
          <w:lang w:val="en-US"/>
        </w:rPr>
        <w:t>Neighbourhood</w:t>
      </w:r>
      <w:proofErr w:type="spellEnd"/>
      <w:r w:rsidR="00EA2F46" w:rsidRPr="002827BB">
        <w:rPr>
          <w:lang w:val="en-US"/>
        </w:rPr>
        <w:t xml:space="preserve"> Deprivation Index)</w:t>
      </w:r>
    </w:p>
    <w:p w14:paraId="1494E44D" w14:textId="05CBAEBC" w:rsidR="00EA2F46" w:rsidRPr="002827BB" w:rsidRDefault="00B610E2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M</w:t>
      </w:r>
      <w:r w:rsidR="00EA2F46" w:rsidRPr="002827BB">
        <w:rPr>
          <w:lang w:val="en-US"/>
        </w:rPr>
        <w:t>ale unemployment : proportion of economically active males seeking or waiting to start work (Carstairs)</w:t>
      </w:r>
    </w:p>
    <w:p w14:paraId="2F070BAE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PI</w:t>
      </w:r>
      <w:r>
        <w:rPr>
          <w:lang w:val="en-US"/>
        </w:rPr>
        <w:t>*</w:t>
      </w:r>
      <w:r w:rsidRPr="002827BB">
        <w:rPr>
          <w:lang w:val="en-US"/>
        </w:rPr>
        <w:t xml:space="preserve"> on unemployment benefits (DANDEX)</w:t>
      </w:r>
    </w:p>
    <w:p w14:paraId="3C57E468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PI with manual profession (DANDEX)</w:t>
      </w:r>
    </w:p>
    <w:p w14:paraId="12E24D97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>
        <w:rPr>
          <w:color w:val="58595B" w:themeColor="text1"/>
          <w:lang w:val="en-US"/>
        </w:rPr>
        <w:t>Unskilled worker-farm worker : o</w:t>
      </w:r>
      <w:r w:rsidRPr="00042BF5">
        <w:rPr>
          <w:color w:val="58595B" w:themeColor="text1"/>
          <w:lang w:val="en-US"/>
        </w:rPr>
        <w:t>ccupational classes in 10 categories (1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‘farmers’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2</w:t>
      </w:r>
      <w:r>
        <w:rPr>
          <w:color w:val="58595B" w:themeColor="text1"/>
          <w:lang w:val="en-US"/>
        </w:rPr>
        <w:t xml:space="preserve"> ‘</w:t>
      </w:r>
      <w:r w:rsidRPr="00042BF5">
        <w:rPr>
          <w:color w:val="58595B" w:themeColor="text1"/>
          <w:lang w:val="en-US"/>
        </w:rPr>
        <w:t>craftsmen</w:t>
      </w:r>
      <w:r>
        <w:rPr>
          <w:color w:val="58595B" w:themeColor="text1"/>
          <w:lang w:val="en-US"/>
        </w:rPr>
        <w:t>-</w:t>
      </w:r>
      <w:r w:rsidRPr="00042BF5">
        <w:rPr>
          <w:color w:val="58595B" w:themeColor="text1"/>
          <w:lang w:val="en-US"/>
        </w:rPr>
        <w:t>storekeepers’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3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‘business leaders</w:t>
      </w:r>
      <w:r>
        <w:rPr>
          <w:color w:val="58595B" w:themeColor="text1"/>
          <w:lang w:val="en-US"/>
        </w:rPr>
        <w:t>-</w:t>
      </w:r>
      <w:r w:rsidRPr="00042BF5">
        <w:rPr>
          <w:color w:val="58595B" w:themeColor="text1"/>
          <w:lang w:val="en-US"/>
        </w:rPr>
        <w:t>company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managers’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4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‘intermediate professions</w:t>
      </w:r>
      <w:r>
        <w:rPr>
          <w:color w:val="58595B" w:themeColor="text1"/>
          <w:lang w:val="en-US"/>
        </w:rPr>
        <w:t>-</w:t>
      </w:r>
      <w:r w:rsidRPr="00042BF5">
        <w:rPr>
          <w:color w:val="58595B" w:themeColor="text1"/>
          <w:lang w:val="en-US"/>
        </w:rPr>
        <w:t>technicians’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5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‘employees’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6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‘skilled workers’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7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‘unskilled workers</w:t>
      </w:r>
      <w:r>
        <w:rPr>
          <w:color w:val="58595B" w:themeColor="text1"/>
          <w:lang w:val="en-US"/>
        </w:rPr>
        <w:t xml:space="preserve"> - </w:t>
      </w:r>
      <w:r w:rsidRPr="00042BF5">
        <w:rPr>
          <w:color w:val="58595B" w:themeColor="text1"/>
          <w:lang w:val="en-US"/>
        </w:rPr>
        <w:t>farm workers’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8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‘former managers’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9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‘other retired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people’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10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‘other non-working individuals (unemployed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persons and others)’.</w:t>
      </w:r>
      <w:r>
        <w:rPr>
          <w:color w:val="58595B" w:themeColor="text1"/>
          <w:lang w:val="en-US"/>
        </w:rPr>
        <w:t xml:space="preserve"> (EDI)</w:t>
      </w:r>
    </w:p>
    <w:p w14:paraId="0EC74B3D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>
        <w:rPr>
          <w:color w:val="58595B" w:themeColor="text1"/>
          <w:lang w:val="en-US"/>
        </w:rPr>
        <w:t>Unemployment : e</w:t>
      </w:r>
      <w:r w:rsidRPr="00042BF5">
        <w:rPr>
          <w:color w:val="58595B" w:themeColor="text1"/>
          <w:lang w:val="en-US"/>
        </w:rPr>
        <w:t>mployment status (employment/unemployment/retired/other non-working individuals)</w:t>
      </w:r>
      <w:r>
        <w:rPr>
          <w:color w:val="58595B" w:themeColor="text1"/>
          <w:lang w:val="en-US"/>
        </w:rPr>
        <w:t xml:space="preserve"> (EDI)</w:t>
      </w:r>
    </w:p>
    <w:p w14:paraId="0E9E0B2D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>
        <w:rPr>
          <w:color w:val="58595B" w:themeColor="text1"/>
          <w:lang w:val="en-US"/>
        </w:rPr>
        <w:t>P</w:t>
      </w:r>
      <w:r w:rsidRPr="00704BEA">
        <w:rPr>
          <w:color w:val="58595B" w:themeColor="text1"/>
          <w:lang w:val="en-US"/>
        </w:rPr>
        <w:t xml:space="preserve">ercentage of blue-collar workers in the </w:t>
      </w:r>
      <w:proofErr w:type="spellStart"/>
      <w:r w:rsidRPr="00704BEA">
        <w:rPr>
          <w:color w:val="58595B" w:themeColor="text1"/>
          <w:lang w:val="en-US"/>
        </w:rPr>
        <w:t>labour</w:t>
      </w:r>
      <w:proofErr w:type="spellEnd"/>
      <w:r w:rsidRPr="00704BEA">
        <w:rPr>
          <w:color w:val="58595B" w:themeColor="text1"/>
          <w:lang w:val="en-US"/>
        </w:rPr>
        <w:t xml:space="preserve"> force</w:t>
      </w:r>
      <w:r>
        <w:rPr>
          <w:color w:val="58595B" w:themeColor="text1"/>
          <w:lang w:val="en-US"/>
        </w:rPr>
        <w:t xml:space="preserve"> (FDEP, 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</w:t>
      </w:r>
      <w:r>
        <w:rPr>
          <w:color w:val="58595B" w:themeColor="text1"/>
          <w:lang w:val="en-US"/>
        </w:rPr>
        <w:t>)</w:t>
      </w:r>
    </w:p>
    <w:p w14:paraId="601F70AC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>
        <w:rPr>
          <w:color w:val="58595B" w:themeColor="text1"/>
          <w:lang w:val="en-US"/>
        </w:rPr>
        <w:t>P</w:t>
      </w:r>
      <w:r w:rsidRPr="00704BEA">
        <w:rPr>
          <w:color w:val="58595B" w:themeColor="text1"/>
          <w:lang w:val="en-US"/>
        </w:rPr>
        <w:t>ercentage of unemployed individuals aged 15–64 in the active population</w:t>
      </w:r>
      <w:r>
        <w:rPr>
          <w:color w:val="58595B" w:themeColor="text1"/>
          <w:lang w:val="en-US"/>
        </w:rPr>
        <w:t xml:space="preserve"> (FDEP)</w:t>
      </w:r>
    </w:p>
    <w:p w14:paraId="31326096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color w:val="58595B" w:themeColor="text1"/>
          <w:lang w:val="en-US"/>
        </w:rPr>
        <w:t xml:space="preserve">Unemployment rate : </w:t>
      </w:r>
      <w:r>
        <w:rPr>
          <w:lang w:val="en-US"/>
        </w:rPr>
        <w:t>p</w:t>
      </w:r>
      <w:r w:rsidRPr="00704BEA">
        <w:rPr>
          <w:lang w:val="en-US"/>
        </w:rPr>
        <w:t>roportion of unemployed as share of inhabitants of working age</w:t>
      </w:r>
      <w:r>
        <w:rPr>
          <w:lang w:val="en-US"/>
        </w:rPr>
        <w:t xml:space="preserve"> (GISD)</w:t>
      </w:r>
    </w:p>
    <w:p w14:paraId="74B015C2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Employment rate : e</w:t>
      </w:r>
      <w:r w:rsidRPr="00704BEA">
        <w:rPr>
          <w:lang w:val="en-US"/>
        </w:rPr>
        <w:t>mployees subject to social insurance contributions at place of residence per 100 inhabitants of working age</w:t>
      </w:r>
      <w:r>
        <w:rPr>
          <w:lang w:val="en-US"/>
        </w:rPr>
        <w:t xml:space="preserve"> (GISD)</w:t>
      </w:r>
    </w:p>
    <w:p w14:paraId="223FA751" w14:textId="786322A4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Gross wage and salary : m</w:t>
      </w:r>
      <w:r w:rsidRPr="00704BEA">
        <w:rPr>
          <w:lang w:val="en-US"/>
        </w:rPr>
        <w:t>onthly gross earnings of employees in EUR</w:t>
      </w:r>
      <w:r>
        <w:rPr>
          <w:lang w:val="en-US"/>
        </w:rPr>
        <w:t xml:space="preserve"> (GISD)</w:t>
      </w:r>
    </w:p>
    <w:p w14:paraId="0E34F846" w14:textId="293BF67A" w:rsidR="00F30242" w:rsidRDefault="00F30242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30242">
        <w:rPr>
          <w:lang w:val="en-US"/>
        </w:rPr>
        <w:t>Proportion of working-age population claiming benefits due to incapacity to work</w:t>
      </w:r>
      <w:r>
        <w:rPr>
          <w:lang w:val="en-US"/>
        </w:rPr>
        <w:t xml:space="preserve"> (GIMD)</w:t>
      </w:r>
    </w:p>
    <w:p w14:paraId="7F02A15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477E16">
        <w:rPr>
          <w:lang w:val="en-US"/>
        </w:rPr>
        <w:t>% of working population unemployed or seeking first job</w:t>
      </w:r>
      <w:r>
        <w:rPr>
          <w:lang w:val="en-US"/>
        </w:rPr>
        <w:t xml:space="preserve"> (IDI)</w:t>
      </w:r>
    </w:p>
    <w:p w14:paraId="22F59646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people with insecure job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4292D079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white collar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15549205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self-employed people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 </w:t>
      </w:r>
    </w:p>
    <w:p w14:paraId="6872780C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managers workers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0A7440F9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</w:t>
      </w:r>
      <w:r w:rsidRPr="00B6678F">
        <w:rPr>
          <w:lang w:val="en-US"/>
        </w:rPr>
        <w:t>ercentage of households headed by professionals or managerial and technical employees, including farmers with 100 acres or mor</w:t>
      </w:r>
      <w:r>
        <w:rPr>
          <w:lang w:val="en-US"/>
        </w:rPr>
        <w:t>e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</w:t>
      </w:r>
    </w:p>
    <w:p w14:paraId="28ED576A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</w:t>
      </w:r>
      <w:r w:rsidRPr="00B6678F">
        <w:rPr>
          <w:lang w:val="en-US"/>
        </w:rPr>
        <w:t>ercentage of households headed by semi-skilled or unskilled manual workers, including farmers with less than 30 acres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</w:t>
      </w:r>
    </w:p>
    <w:p w14:paraId="343F57DF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Male unemployment rate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 </w:t>
      </w:r>
    </w:p>
    <w:p w14:paraId="7D1AE218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Female unemployment rate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</w:t>
      </w:r>
    </w:p>
    <w:p w14:paraId="0B60BBF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Unemployment rate : p</w:t>
      </w:r>
      <w:r w:rsidRPr="00E85DA3">
        <w:rPr>
          <w:lang w:val="en-US"/>
        </w:rPr>
        <w:t>opulation 15 or older unemployed</w:t>
      </w:r>
      <w:r>
        <w:rPr>
          <w:lang w:val="en-US"/>
        </w:rPr>
        <w:t xml:space="preserve"> (Russian deprivation index)</w:t>
      </w:r>
    </w:p>
    <w:p w14:paraId="1918A9C3" w14:textId="3C3F1BB8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Job stability (</w:t>
      </w:r>
      <w:proofErr w:type="spellStart"/>
      <w:r>
        <w:rPr>
          <w:lang w:val="en-US"/>
        </w:rPr>
        <w:t>SoDep</w:t>
      </w:r>
      <w:proofErr w:type="spellEnd"/>
      <w:r>
        <w:rPr>
          <w:lang w:val="en-US"/>
        </w:rPr>
        <w:t>)</w:t>
      </w:r>
    </w:p>
    <w:p w14:paraId="5C173C48" w14:textId="3A5C34B9" w:rsidR="005F13E4" w:rsidRDefault="005F13E4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5F13E4">
        <w:rPr>
          <w:lang w:val="en-US"/>
        </w:rPr>
        <w:t>Proportion of economically active residents who are unemployed</w:t>
      </w:r>
      <w:r>
        <w:rPr>
          <w:lang w:val="en-US"/>
        </w:rPr>
        <w:t xml:space="preserve"> (Townsend Deprivation Index)</w:t>
      </w:r>
    </w:p>
    <w:p w14:paraId="4B46DB98" w14:textId="77777777" w:rsidR="00F30242" w:rsidRDefault="00F30242" w:rsidP="00F30242">
      <w:pPr>
        <w:pStyle w:val="BodySciensano"/>
        <w:jc w:val="left"/>
        <w:rPr>
          <w:lang w:val="en-US"/>
        </w:rPr>
      </w:pPr>
    </w:p>
    <w:p w14:paraId="68C50A12" w14:textId="77777777" w:rsidR="005D11CF" w:rsidRDefault="005D11CF" w:rsidP="00EA2F46">
      <w:pPr>
        <w:pStyle w:val="BodySciensano"/>
        <w:jc w:val="left"/>
        <w:rPr>
          <w:color w:val="58595B" w:themeColor="text1"/>
          <w:lang w:val="en-US"/>
        </w:rPr>
      </w:pPr>
    </w:p>
    <w:p w14:paraId="326F02BF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Education</w:t>
      </w:r>
    </w:p>
    <w:p w14:paraId="67C92104" w14:textId="77777777" w:rsidR="00EA2F46" w:rsidRPr="002827BB" w:rsidRDefault="00EA2F46" w:rsidP="00EA2F46">
      <w:pPr>
        <w:pStyle w:val="BodySciensano"/>
        <w:jc w:val="left"/>
        <w:rPr>
          <w:color w:val="58595B" w:themeColor="text1"/>
          <w:lang w:val="en-US"/>
        </w:rPr>
      </w:pPr>
    </w:p>
    <w:p w14:paraId="2A04892C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color w:val="58595B" w:themeColor="text1"/>
          <w:lang w:val="en-US"/>
        </w:rPr>
        <w:t xml:space="preserve">% insufficient instruction : </w:t>
      </w:r>
      <w:r w:rsidRPr="002827BB">
        <w:rPr>
          <w:lang w:val="en-US"/>
        </w:rPr>
        <w:t xml:space="preserve">percentage of people aged 16 years and over who, according to a list of the National Statistics Institute, cannot read or write; can read and write but have less </w:t>
      </w:r>
      <w:r w:rsidRPr="002827BB">
        <w:rPr>
          <w:lang w:val="en-US"/>
        </w:rPr>
        <w:lastRenderedPageBreak/>
        <w:t>than 5 years schooling; went to school for 5 years or more but did not complete basic compulsory education, with respect to the total population aged 16 years and over (ABDI)</w:t>
      </w:r>
    </w:p>
    <w:p w14:paraId="0B0F13FC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 w:rsidRPr="002827BB">
        <w:rPr>
          <w:color w:val="58595B" w:themeColor="text1"/>
          <w:lang w:val="en-US"/>
        </w:rPr>
        <w:t>% insufficient level of education (Composed socioeconomic index)</w:t>
      </w:r>
    </w:p>
    <w:p w14:paraId="5C7E6A76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 w:rsidRPr="002827BB">
        <w:rPr>
          <w:color w:val="58595B" w:themeColor="text1"/>
          <w:lang w:val="en-US"/>
        </w:rPr>
        <w:t xml:space="preserve">% </w:t>
      </w:r>
      <w:r w:rsidRPr="002827BB">
        <w:rPr>
          <w:lang w:val="en-US"/>
        </w:rPr>
        <w:t>young insufficient instruction : percentage of people aged between 16 and 29 years with low educational level, with respect to the total population aged from 16 to 29 years</w:t>
      </w:r>
      <w:r w:rsidRPr="002827BB">
        <w:rPr>
          <w:color w:val="58595B" w:themeColor="text1"/>
          <w:lang w:val="en-US"/>
        </w:rPr>
        <w:t xml:space="preserve"> (ABDI)</w:t>
      </w:r>
    </w:p>
    <w:p w14:paraId="78C70861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 w:rsidRPr="002827BB">
        <w:rPr>
          <w:color w:val="58595B" w:themeColor="text1"/>
          <w:lang w:val="en-US"/>
        </w:rPr>
        <w:t>% lack of vocational training (BMID)</w:t>
      </w:r>
    </w:p>
    <w:p w14:paraId="06997770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PI with basic education (DANDEX)</w:t>
      </w:r>
    </w:p>
    <w:p w14:paraId="4887C374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 w:rsidRPr="00042BF5">
        <w:rPr>
          <w:color w:val="58595B" w:themeColor="text1"/>
          <w:lang w:val="en-US"/>
        </w:rPr>
        <w:t>Low level of education</w:t>
      </w:r>
      <w:r>
        <w:rPr>
          <w:color w:val="58595B" w:themeColor="text1"/>
          <w:lang w:val="en-US"/>
        </w:rPr>
        <w:t xml:space="preserve"> :</w:t>
      </w:r>
      <w:r w:rsidRPr="00042BF5">
        <w:rPr>
          <w:color w:val="58595B" w:themeColor="text1"/>
          <w:lang w:val="en-US"/>
        </w:rPr>
        <w:t xml:space="preserve"> </w:t>
      </w:r>
      <w:r>
        <w:rPr>
          <w:color w:val="58595B" w:themeColor="text1"/>
          <w:lang w:val="en-US"/>
        </w:rPr>
        <w:t>‘</w:t>
      </w:r>
      <w:r w:rsidRPr="00042BF5">
        <w:rPr>
          <w:color w:val="58595B" w:themeColor="text1"/>
          <w:lang w:val="en-US"/>
        </w:rPr>
        <w:t>less than first stage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of secondary-level education</w:t>
      </w:r>
      <w:r>
        <w:rPr>
          <w:color w:val="58595B" w:themeColor="text1"/>
          <w:lang w:val="en-US"/>
        </w:rPr>
        <w:t>’</w:t>
      </w:r>
      <w:r w:rsidRPr="00042BF5">
        <w:rPr>
          <w:color w:val="58595B" w:themeColor="text1"/>
          <w:lang w:val="en-US"/>
        </w:rPr>
        <w:t>, versus ‘all other levels of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education</w:t>
      </w:r>
      <w:r>
        <w:rPr>
          <w:color w:val="58595B" w:themeColor="text1"/>
          <w:lang w:val="en-US"/>
        </w:rPr>
        <w:t xml:space="preserve">’ (EDI, 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</w:t>
      </w:r>
      <w:r>
        <w:rPr>
          <w:color w:val="58595B" w:themeColor="text1"/>
          <w:lang w:val="en-US"/>
        </w:rPr>
        <w:t>)</w:t>
      </w:r>
    </w:p>
    <w:p w14:paraId="1B6202B9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>
        <w:rPr>
          <w:color w:val="58595B" w:themeColor="text1"/>
          <w:lang w:val="en-US"/>
        </w:rPr>
        <w:t>P</w:t>
      </w:r>
      <w:r w:rsidRPr="00704BEA">
        <w:rPr>
          <w:color w:val="58595B" w:themeColor="text1"/>
          <w:lang w:val="en-US"/>
        </w:rPr>
        <w:t>ercentage of high school graduates in the population ≥15 y of age</w:t>
      </w:r>
      <w:r>
        <w:rPr>
          <w:color w:val="58595B" w:themeColor="text1"/>
          <w:lang w:val="en-US"/>
        </w:rPr>
        <w:t xml:space="preserve"> (FDEP, 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</w:t>
      </w:r>
      <w:r>
        <w:rPr>
          <w:color w:val="58595B" w:themeColor="text1"/>
          <w:lang w:val="en-US"/>
        </w:rPr>
        <w:t>)</w:t>
      </w:r>
    </w:p>
    <w:p w14:paraId="1A0F34EC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color w:val="58595B" w:themeColor="text1"/>
          <w:lang w:val="en-US"/>
        </w:rPr>
        <w:t xml:space="preserve">Employees with university degree : </w:t>
      </w:r>
      <w:r>
        <w:rPr>
          <w:lang w:val="en-US"/>
        </w:rPr>
        <w:t>p</w:t>
      </w:r>
      <w:r w:rsidRPr="00704BEA">
        <w:rPr>
          <w:lang w:val="en-US"/>
        </w:rPr>
        <w:t>roportion of employees subject to social insurance contributions at place of residence with university degree as share of total employees subject to social insurance contributions at place of residence in %</w:t>
      </w:r>
      <w:r>
        <w:rPr>
          <w:lang w:val="en-US"/>
        </w:rPr>
        <w:t xml:space="preserve"> (GISD)</w:t>
      </w:r>
    </w:p>
    <w:p w14:paraId="546E00AC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Employees without qualification : p</w:t>
      </w:r>
      <w:r w:rsidRPr="00704BEA">
        <w:rPr>
          <w:lang w:val="en-US"/>
        </w:rPr>
        <w:t>roportion of employees subject to social insurance contributions at place of residence without professional qualification as share of total employees subject to social insurance contributions at place of residence in %</w:t>
      </w:r>
      <w:r>
        <w:rPr>
          <w:lang w:val="en-US"/>
        </w:rPr>
        <w:t xml:space="preserve"> (GISD)</w:t>
      </w:r>
    </w:p>
    <w:p w14:paraId="1B1CB681" w14:textId="321FC973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School leavers without qualification : p</w:t>
      </w:r>
      <w:r w:rsidRPr="00704BEA">
        <w:rPr>
          <w:lang w:val="en-US"/>
        </w:rPr>
        <w:t>roportion of school leavers without lower secondary school leavers certificate out of all school leavers in %</w:t>
      </w:r>
      <w:r>
        <w:rPr>
          <w:lang w:val="en-US"/>
        </w:rPr>
        <w:t xml:space="preserve"> (GISD</w:t>
      </w:r>
      <w:r w:rsidR="00F30242">
        <w:rPr>
          <w:lang w:val="en-US"/>
        </w:rPr>
        <w:t>, GIMD</w:t>
      </w:r>
      <w:r>
        <w:rPr>
          <w:lang w:val="en-US"/>
        </w:rPr>
        <w:t>)</w:t>
      </w:r>
    </w:p>
    <w:p w14:paraId="08801C91" w14:textId="10A9A5D1" w:rsidR="00F30242" w:rsidRDefault="00F30242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30242">
        <w:rPr>
          <w:lang w:val="en-US"/>
        </w:rPr>
        <w:t>Proportion of individuals without a vocational qualification</w:t>
      </w:r>
      <w:r>
        <w:rPr>
          <w:lang w:val="en-US"/>
        </w:rPr>
        <w:t xml:space="preserve"> (GIMD)</w:t>
      </w:r>
    </w:p>
    <w:p w14:paraId="37923B8B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 w:rsidRPr="00477E16">
        <w:rPr>
          <w:color w:val="58595B" w:themeColor="text1"/>
          <w:lang w:val="en-US"/>
        </w:rPr>
        <w:t>% of population with education at or below elementary school leaving certificate</w:t>
      </w:r>
      <w:r>
        <w:rPr>
          <w:color w:val="58595B" w:themeColor="text1"/>
          <w:lang w:val="en-US"/>
        </w:rPr>
        <w:t xml:space="preserve"> (IDI)</w:t>
      </w:r>
    </w:p>
    <w:p w14:paraId="000324AF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</w:t>
      </w:r>
      <w:r w:rsidRPr="00A829A2">
        <w:rPr>
          <w:lang w:val="en-US"/>
        </w:rPr>
        <w:t>ercentage of population with a primary school education only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</w:t>
      </w:r>
    </w:p>
    <w:p w14:paraId="13A2F13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</w:t>
      </w:r>
      <w:r w:rsidRPr="00A829A2">
        <w:rPr>
          <w:lang w:val="en-US"/>
        </w:rPr>
        <w:t>ercentage of population with a third level education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HP, SEHDI)</w:t>
      </w:r>
    </w:p>
    <w:p w14:paraId="6D0D9CAE" w14:textId="71FB1B9D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E</w:t>
      </w:r>
      <w:r w:rsidRPr="006D1600">
        <w:rPr>
          <w:lang w:val="en-US"/>
        </w:rPr>
        <w:t>ducation years (</w:t>
      </w:r>
      <w:proofErr w:type="spellStart"/>
      <w:r w:rsidRPr="006D1600">
        <w:rPr>
          <w:lang w:val="en-US"/>
        </w:rPr>
        <w:t>SoDep</w:t>
      </w:r>
      <w:proofErr w:type="spellEnd"/>
      <w:r w:rsidRPr="006D1600">
        <w:rPr>
          <w:lang w:val="en-US"/>
        </w:rPr>
        <w:t xml:space="preserve">) </w:t>
      </w:r>
    </w:p>
    <w:p w14:paraId="3E40BFFA" w14:textId="77777777" w:rsidR="00EA2F46" w:rsidRPr="00704BEA" w:rsidRDefault="00EA2F46" w:rsidP="00EA2F46">
      <w:pPr>
        <w:pStyle w:val="BodySciensano"/>
        <w:jc w:val="left"/>
        <w:rPr>
          <w:color w:val="58595B" w:themeColor="text1"/>
          <w:lang w:val="en-US"/>
        </w:rPr>
      </w:pPr>
    </w:p>
    <w:p w14:paraId="5511A652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Nationality</w:t>
      </w:r>
    </w:p>
    <w:p w14:paraId="21268317" w14:textId="77777777" w:rsidR="00EA2F46" w:rsidRPr="00E6135B" w:rsidRDefault="00EA2F46" w:rsidP="00EA2F46">
      <w:pPr>
        <w:pStyle w:val="BodySciensano"/>
        <w:jc w:val="left"/>
        <w:rPr>
          <w:b/>
          <w:bCs/>
          <w:color w:val="58595B" w:themeColor="text1"/>
          <w:lang w:val="en-US"/>
        </w:rPr>
      </w:pPr>
    </w:p>
    <w:p w14:paraId="5D7FC107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% recent foreigners born in low income country : percentage of population born in countries other than the following: Spain, Austria, Belgium, Cyprus, Denmark, Finland, France, Germany, Greece, Ireland, Iceland, Italy, Liechtenstein, Luxembourg, Malta, Monaco, Netherlands, Norway, Portugal, Andorra, Germany, San Marino, Vatican City, Sweden, Switzerland, Canada, United States of America, Japan, Australia and New Zealand; respect to the total population (ABDI)</w:t>
      </w:r>
    </w:p>
    <w:p w14:paraId="091D01D0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% foreigners whose father or mother born in low income country : percentage of population born or with their father or mother born in countries other than listed above, respect to the total population.(ABDI)</w:t>
      </w:r>
    </w:p>
    <w:p w14:paraId="38DB3AFD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>
        <w:rPr>
          <w:color w:val="58595B" w:themeColor="text1"/>
          <w:lang w:val="en-US"/>
        </w:rPr>
        <w:t>Foreign n</w:t>
      </w:r>
      <w:r w:rsidRPr="00042BF5">
        <w:rPr>
          <w:color w:val="58595B" w:themeColor="text1"/>
          <w:lang w:val="en-US"/>
        </w:rPr>
        <w:t>ationality: ‘Foreign nationality’ versus ‘French nationality’.</w:t>
      </w:r>
      <w:r>
        <w:rPr>
          <w:color w:val="58595B" w:themeColor="text1"/>
          <w:lang w:val="en-US"/>
        </w:rPr>
        <w:t xml:space="preserve"> </w:t>
      </w:r>
      <w:r w:rsidRPr="00042BF5">
        <w:rPr>
          <w:color w:val="58595B" w:themeColor="text1"/>
          <w:lang w:val="en-US"/>
        </w:rPr>
        <w:t>And six unordered variables with two or more categories</w:t>
      </w:r>
      <w:r>
        <w:rPr>
          <w:color w:val="58595B" w:themeColor="text1"/>
          <w:lang w:val="en-US"/>
        </w:rPr>
        <w:t xml:space="preserve"> (EDI)</w:t>
      </w:r>
    </w:p>
    <w:p w14:paraId="4D72DF1D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color w:val="58595B" w:themeColor="text1"/>
          <w:lang w:val="en-US"/>
        </w:rPr>
        <w:t>% immigrants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4AE64841" w14:textId="77777777" w:rsidR="00EA2F46" w:rsidRPr="0080260E" w:rsidRDefault="00EA2F46" w:rsidP="00EA2F46">
      <w:pPr>
        <w:pStyle w:val="BodySciensano"/>
        <w:numPr>
          <w:ilvl w:val="0"/>
          <w:numId w:val="22"/>
        </w:numPr>
        <w:jc w:val="left"/>
        <w:rPr>
          <w:color w:val="58595B" w:themeColor="text1"/>
          <w:lang w:val="en-US"/>
        </w:rPr>
      </w:pPr>
      <w:r>
        <w:rPr>
          <w:lang w:val="en-US"/>
        </w:rPr>
        <w:t>% foreigners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7F6ED4F4" w14:textId="77777777" w:rsidR="00EA2F46" w:rsidRDefault="00EA2F46" w:rsidP="00EA2F46">
      <w:pPr>
        <w:pStyle w:val="BodySciensano"/>
        <w:jc w:val="left"/>
        <w:rPr>
          <w:color w:val="FF0000"/>
          <w:lang w:val="en-US"/>
        </w:rPr>
      </w:pPr>
    </w:p>
    <w:p w14:paraId="59EC91B2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Income</w:t>
      </w:r>
    </w:p>
    <w:p w14:paraId="639E39A5" w14:textId="77777777" w:rsidR="00EA2F46" w:rsidRPr="0080260E" w:rsidRDefault="00EA2F46" w:rsidP="00EA2F46">
      <w:pPr>
        <w:pStyle w:val="BodySciensano"/>
        <w:jc w:val="left"/>
        <w:rPr>
          <w:lang w:val="en-US"/>
        </w:rPr>
      </w:pPr>
    </w:p>
    <w:p w14:paraId="481662EE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% financial poverty of residents (BMID)</w:t>
      </w:r>
    </w:p>
    <w:p w14:paraId="1DDE2532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financial situation of the districts (BMID)</w:t>
      </w:r>
    </w:p>
    <w:p w14:paraId="6E45B5B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low social class : proportion of all persons in private households with an economically active head of household in social class IV or V (Carstairs</w:t>
      </w:r>
      <w:r>
        <w:rPr>
          <w:lang w:val="en-US"/>
        </w:rPr>
        <w:t xml:space="preserve">) </w:t>
      </w:r>
    </w:p>
    <w:p w14:paraId="035A3E47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Low social class (Irish National Deprivation Index)</w:t>
      </w:r>
    </w:p>
    <w:p w14:paraId="3813CDD6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9F54AB">
        <w:rPr>
          <w:lang w:val="en-US"/>
        </w:rPr>
        <w:t xml:space="preserve">PI with low disposable income </w:t>
      </w:r>
      <w:r>
        <w:rPr>
          <w:lang w:val="en-US"/>
        </w:rPr>
        <w:t>(DANDEX)</w:t>
      </w:r>
    </w:p>
    <w:p w14:paraId="6ACC4C61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M</w:t>
      </w:r>
      <w:r w:rsidRPr="00704BEA">
        <w:rPr>
          <w:lang w:val="en-US"/>
        </w:rPr>
        <w:t>edian income per household</w:t>
      </w:r>
      <w:r>
        <w:rPr>
          <w:lang w:val="en-US"/>
        </w:rPr>
        <w:t xml:space="preserve"> (FDEP, 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3A9B0393" w14:textId="4CD715FB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Net household income : a</w:t>
      </w:r>
      <w:r w:rsidRPr="00477E16">
        <w:rPr>
          <w:lang w:val="en-US"/>
        </w:rPr>
        <w:t>verage household income in € per inhabitant</w:t>
      </w:r>
      <w:r>
        <w:rPr>
          <w:lang w:val="en-US"/>
        </w:rPr>
        <w:t xml:space="preserve"> (GISD</w:t>
      </w:r>
      <w:r w:rsidR="00F30242">
        <w:rPr>
          <w:lang w:val="en-US"/>
        </w:rPr>
        <w:t>, GIMD</w:t>
      </w:r>
      <w:r>
        <w:rPr>
          <w:lang w:val="en-US"/>
        </w:rPr>
        <w:t>)</w:t>
      </w:r>
    </w:p>
    <w:p w14:paraId="67E4EC40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proofErr w:type="spellStart"/>
      <w:r>
        <w:rPr>
          <w:lang w:val="en-US"/>
        </w:rPr>
        <w:t>Debot</w:t>
      </w:r>
      <w:proofErr w:type="spellEnd"/>
      <w:r>
        <w:rPr>
          <w:lang w:val="en-US"/>
        </w:rPr>
        <w:t xml:space="preserve"> quota : p</w:t>
      </w:r>
      <w:r w:rsidRPr="00477E16">
        <w:rPr>
          <w:lang w:val="en-US"/>
        </w:rPr>
        <w:t>rivate debtors per 100 inhabitants aged 18 and above in %</w:t>
      </w:r>
      <w:r>
        <w:rPr>
          <w:lang w:val="en-US"/>
        </w:rPr>
        <w:t xml:space="preserve"> (GISD)</w:t>
      </w:r>
    </w:p>
    <w:p w14:paraId="544848E3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Tax revenue : i</w:t>
      </w:r>
      <w:r w:rsidRPr="00477E16">
        <w:rPr>
          <w:lang w:val="en-US"/>
        </w:rPr>
        <w:t>ncome tax in € per inhabitant</w:t>
      </w:r>
      <w:r>
        <w:rPr>
          <w:lang w:val="en-US"/>
        </w:rPr>
        <w:t xml:space="preserve"> (GISD)</w:t>
      </w:r>
    </w:p>
    <w:p w14:paraId="74210D0B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Low income : p</w:t>
      </w:r>
      <w:r w:rsidRPr="00E85DA3">
        <w:rPr>
          <w:lang w:val="en-US"/>
        </w:rPr>
        <w:t>ercentage of people below a low income threshold in the total population</w:t>
      </w:r>
      <w:r>
        <w:rPr>
          <w:lang w:val="en-US"/>
        </w:rPr>
        <w:t xml:space="preserve"> (Russian deprivation index)</w:t>
      </w:r>
    </w:p>
    <w:p w14:paraId="32FE645F" w14:textId="7C309A6A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H</w:t>
      </w:r>
      <w:r w:rsidRPr="006D1600">
        <w:rPr>
          <w:lang w:val="en-US"/>
        </w:rPr>
        <w:t>ousehold’s net financial assets less th</w:t>
      </w:r>
      <w:r>
        <w:rPr>
          <w:lang w:val="en-US"/>
        </w:rPr>
        <w:t>an</w:t>
      </w:r>
      <w:r w:rsidRPr="006D1600">
        <w:rPr>
          <w:lang w:val="en-US"/>
        </w:rPr>
        <w:t xml:space="preserve"> household’s financial liabilities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SoDep</w:t>
      </w:r>
      <w:proofErr w:type="spellEnd"/>
      <w:r>
        <w:rPr>
          <w:lang w:val="en-US"/>
        </w:rPr>
        <w:t>)</w:t>
      </w:r>
    </w:p>
    <w:p w14:paraId="645D5046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6ADD7D5F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Social capital</w:t>
      </w:r>
    </w:p>
    <w:p w14:paraId="4E1F8D96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2B8798DF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 xml:space="preserve">% </w:t>
      </w:r>
      <w:r w:rsidRPr="0080260E">
        <w:rPr>
          <w:lang w:val="en-US"/>
        </w:rPr>
        <w:t>lack of social capital</w:t>
      </w:r>
      <w:r>
        <w:rPr>
          <w:lang w:val="en-US"/>
        </w:rPr>
        <w:t xml:space="preserve"> (BMID)</w:t>
      </w:r>
    </w:p>
    <w:p w14:paraId="0C0073A3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Do you ever meet a social worker?</w:t>
      </w:r>
      <w:r>
        <w:rPr>
          <w:lang w:val="en-US"/>
        </w:rPr>
        <w:t xml:space="preserve"> (EPICES)</w:t>
      </w:r>
    </w:p>
    <w:p w14:paraId="0860F8C7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In the last 6 months, have you had contact with family members other than your parents or children?</w:t>
      </w:r>
      <w:r>
        <w:rPr>
          <w:lang w:val="en-US"/>
        </w:rPr>
        <w:t xml:space="preserve"> (EPICES)</w:t>
      </w:r>
    </w:p>
    <w:p w14:paraId="0B34A57D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In the event of difficulties (financial, family, health...), is there anyone in your circle you can count on to put you up for a few days in case of need?</w:t>
      </w:r>
      <w:r>
        <w:rPr>
          <w:lang w:val="en-US"/>
        </w:rPr>
        <w:t xml:space="preserve"> (EPICES)</w:t>
      </w:r>
    </w:p>
    <w:p w14:paraId="7DBD72EA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 xml:space="preserve">In the event of </w:t>
      </w:r>
      <w:proofErr w:type="spellStart"/>
      <w:r w:rsidRPr="007E362F">
        <w:rPr>
          <w:lang w:val="en-US"/>
        </w:rPr>
        <w:t>diffi</w:t>
      </w:r>
      <w:proofErr w:type="spellEnd"/>
      <w:r w:rsidRPr="007E362F">
        <w:rPr>
          <w:lang w:val="en-US"/>
        </w:rPr>
        <w:t xml:space="preserve"> </w:t>
      </w:r>
      <w:proofErr w:type="spellStart"/>
      <w:r w:rsidRPr="007E362F">
        <w:rPr>
          <w:lang w:val="en-US"/>
        </w:rPr>
        <w:t>culty</w:t>
      </w:r>
      <w:proofErr w:type="spellEnd"/>
      <w:r w:rsidRPr="007E362F">
        <w:rPr>
          <w:lang w:val="en-US"/>
        </w:rPr>
        <w:t xml:space="preserve"> (fi </w:t>
      </w:r>
      <w:proofErr w:type="spellStart"/>
      <w:r w:rsidRPr="007E362F">
        <w:rPr>
          <w:lang w:val="en-US"/>
        </w:rPr>
        <w:t>nancial</w:t>
      </w:r>
      <w:proofErr w:type="spellEnd"/>
      <w:r w:rsidRPr="007E362F">
        <w:rPr>
          <w:lang w:val="en-US"/>
        </w:rPr>
        <w:t>, family, health...), is there anyone in your entourage you can count on to provide you with material assistance (including a loan)?material assistance (including loans)?</w:t>
      </w:r>
      <w:r>
        <w:rPr>
          <w:lang w:val="en-US"/>
        </w:rPr>
        <w:t xml:space="preserve"> (EPICES)</w:t>
      </w:r>
    </w:p>
    <w:p w14:paraId="67EE7849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</w:p>
    <w:p w14:paraId="42897D55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Environment</w:t>
      </w:r>
    </w:p>
    <w:p w14:paraId="2F9A068A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42F99BBF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 xml:space="preserve">% </w:t>
      </w:r>
      <w:r w:rsidRPr="0080260E">
        <w:rPr>
          <w:lang w:val="en-US"/>
        </w:rPr>
        <w:t>poor quality of the physical environment)</w:t>
      </w:r>
      <w:r>
        <w:rPr>
          <w:lang w:val="en-US"/>
        </w:rPr>
        <w:t xml:space="preserve"> (BMID)</w:t>
      </w:r>
    </w:p>
    <w:p w14:paraId="7CD8D064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E85DA3">
        <w:rPr>
          <w:lang w:val="en-US"/>
        </w:rPr>
        <w:t xml:space="preserve">Nitrogen dioxide (thousand tons) from stationary sources </w:t>
      </w:r>
      <w:r>
        <w:rPr>
          <w:lang w:val="en-US"/>
        </w:rPr>
        <w:t>(Russian deprivation index)</w:t>
      </w:r>
    </w:p>
    <w:p w14:paraId="24BF7CA6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E85DA3">
        <w:rPr>
          <w:lang w:val="en-US"/>
        </w:rPr>
        <w:t xml:space="preserve">Sulphur dioxide (thousand tons) from stationary sources </w:t>
      </w:r>
      <w:r>
        <w:rPr>
          <w:lang w:val="en-US"/>
        </w:rPr>
        <w:t>(Russian deprivation index)</w:t>
      </w:r>
    </w:p>
    <w:p w14:paraId="611DAA92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E85DA3">
        <w:rPr>
          <w:lang w:val="en-US"/>
        </w:rPr>
        <w:t xml:space="preserve">Carbon monoxide (thousand tons) from stationary sources </w:t>
      </w:r>
      <w:r>
        <w:rPr>
          <w:lang w:val="en-US"/>
        </w:rPr>
        <w:t>(Russian deprivation index)</w:t>
      </w:r>
    </w:p>
    <w:p w14:paraId="4A257AB4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E85DA3">
        <w:rPr>
          <w:lang w:val="en-US"/>
        </w:rPr>
        <w:t xml:space="preserve">Air emissions from vehicle (thousand tons) </w:t>
      </w:r>
      <w:r>
        <w:rPr>
          <w:lang w:val="en-US"/>
        </w:rPr>
        <w:t>(Russian deprivation index)</w:t>
      </w:r>
    </w:p>
    <w:p w14:paraId="1AE1392A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E85DA3">
        <w:rPr>
          <w:lang w:val="en-US"/>
        </w:rPr>
        <w:t>The number of fire forest incidence (unit) (</w:t>
      </w:r>
      <w:r>
        <w:rPr>
          <w:lang w:val="en-US"/>
        </w:rPr>
        <w:t>(Russian deprivation index)</w:t>
      </w:r>
    </w:p>
    <w:p w14:paraId="4D5AB7B4" w14:textId="77777777" w:rsidR="00EA2F46" w:rsidRPr="0080260E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E85DA3">
        <w:rPr>
          <w:lang w:val="en-US"/>
        </w:rPr>
        <w:t xml:space="preserve">The area of dead forest (hectares) </w:t>
      </w:r>
      <w:r>
        <w:rPr>
          <w:lang w:val="en-US"/>
        </w:rPr>
        <w:t>(Russian deprivation index)</w:t>
      </w:r>
    </w:p>
    <w:p w14:paraId="2C465E1E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229563B1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Security/crime</w:t>
      </w:r>
    </w:p>
    <w:p w14:paraId="581E3904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1A7E45B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 xml:space="preserve">% </w:t>
      </w:r>
      <w:r w:rsidRPr="0080260E">
        <w:rPr>
          <w:lang w:val="en-US"/>
        </w:rPr>
        <w:t>accidents and crime rates</w:t>
      </w:r>
      <w:r>
        <w:rPr>
          <w:lang w:val="en-US"/>
        </w:rPr>
        <w:t xml:space="preserve"> (BMID)</w:t>
      </w:r>
    </w:p>
    <w:p w14:paraId="79464417" w14:textId="12439C98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9F54AB">
        <w:rPr>
          <w:lang w:val="en-US"/>
        </w:rPr>
        <w:t>PI with criminal record (</w:t>
      </w:r>
      <w:r>
        <w:rPr>
          <w:lang w:val="en-US"/>
        </w:rPr>
        <w:t>DANDEX)</w:t>
      </w:r>
    </w:p>
    <w:p w14:paraId="46DB3947" w14:textId="57843FAF" w:rsidR="00F30242" w:rsidRDefault="00F30242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30242">
        <w:rPr>
          <w:lang w:val="en-US"/>
        </w:rPr>
        <w:t>Crime rate (number of criminal offenses per population)</w:t>
      </w:r>
      <w:r>
        <w:rPr>
          <w:lang w:val="en-US"/>
        </w:rPr>
        <w:t xml:space="preserve"> (GIMD)</w:t>
      </w:r>
    </w:p>
    <w:p w14:paraId="17AF1DCB" w14:textId="77777777" w:rsidR="00EA2F46" w:rsidRPr="009F54A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E85DA3">
        <w:rPr>
          <w:lang w:val="en-US"/>
        </w:rPr>
        <w:t>The number of recorded environmental crimes</w:t>
      </w:r>
      <w:r>
        <w:rPr>
          <w:lang w:val="en-US"/>
        </w:rPr>
        <w:t xml:space="preserve"> (Russian deprivation index)</w:t>
      </w:r>
    </w:p>
    <w:p w14:paraId="3416BCE7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6759C0AF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Material</w:t>
      </w:r>
    </w:p>
    <w:p w14:paraId="7941E073" w14:textId="77777777" w:rsidR="00EA2F46" w:rsidRPr="002827BB" w:rsidRDefault="00EA2F46" w:rsidP="00EA2F46">
      <w:pPr>
        <w:pStyle w:val="BodySciensano"/>
        <w:jc w:val="left"/>
        <w:rPr>
          <w:lang w:val="en-US"/>
        </w:rPr>
      </w:pPr>
    </w:p>
    <w:p w14:paraId="6F4C84AD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 xml:space="preserve">Lack of car ownership : proportion of all persons in private households which do not own a car (Carstairs) </w:t>
      </w:r>
    </w:p>
    <w:p w14:paraId="658AC613" w14:textId="2C8FA3FB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PH</w:t>
      </w:r>
      <w:r>
        <w:rPr>
          <w:lang w:val="en-US"/>
        </w:rPr>
        <w:t>**</w:t>
      </w:r>
      <w:r w:rsidRPr="002827BB">
        <w:rPr>
          <w:lang w:val="en-US"/>
        </w:rPr>
        <w:t xml:space="preserve"> with no car (Child Material and Social deprivation, DANDEX, EDI, Irish National Deprivation Index, </w:t>
      </w:r>
      <w:proofErr w:type="spellStart"/>
      <w:r w:rsidRPr="002827BB">
        <w:rPr>
          <w:lang w:val="en-US"/>
        </w:rPr>
        <w:t>Neighbourhood</w:t>
      </w:r>
      <w:proofErr w:type="spellEnd"/>
      <w:r w:rsidRPr="002827BB">
        <w:rPr>
          <w:lang w:val="en-US"/>
        </w:rPr>
        <w:t xml:space="preserve"> Deprivation Index</w:t>
      </w:r>
      <w:r w:rsidR="005F13E4">
        <w:rPr>
          <w:lang w:val="en-US"/>
        </w:rPr>
        <w:t>, Townsend Deprivation Index</w:t>
      </w:r>
      <w:r w:rsidRPr="002827BB">
        <w:rPr>
          <w:lang w:val="en-US"/>
        </w:rPr>
        <w:t>)</w:t>
      </w:r>
    </w:p>
    <w:p w14:paraId="17DDB008" w14:textId="77777777" w:rsidR="00EA2F46" w:rsidRPr="002827B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Household with 2 or more cars (</w:t>
      </w:r>
      <w:proofErr w:type="spellStart"/>
      <w:r w:rsidRPr="002827BB">
        <w:rPr>
          <w:lang w:val="en-US"/>
        </w:rPr>
        <w:t>Neighbourhood</w:t>
      </w:r>
      <w:proofErr w:type="spellEnd"/>
      <w:r w:rsidRPr="002827BB">
        <w:rPr>
          <w:lang w:val="en-US"/>
        </w:rPr>
        <w:t xml:space="preserve"> Deprivation Index)</w:t>
      </w:r>
    </w:p>
    <w:p w14:paraId="2EB6D050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2827BB">
        <w:rPr>
          <w:lang w:val="en-US"/>
        </w:rPr>
        <w:t>Child: Some new (not second-hand) clothes - (inability for the person to: replace worn-out clothes with some new ones, have</w:t>
      </w:r>
      <w:r w:rsidRPr="00F20790">
        <w:rPr>
          <w:lang w:val="en-US"/>
        </w:rPr>
        <w:t xml:space="preserve"> two pairs of properly fitting shoes, spend a small amount of money each week on him/herself, have regular leisure activities, get together with friends/family for a drink/ meal at least once a month, and have an internet connection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366269C0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Two pairs of properly fitting shoes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787FB8AC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Fresh fruits and vegetables daily</w:t>
      </w:r>
      <w:r>
        <w:rPr>
          <w:lang w:val="en-US"/>
        </w:rPr>
        <w:t xml:space="preserve"> - </w:t>
      </w:r>
      <w:r w:rsidRPr="00304BE8">
        <w:rPr>
          <w:lang w:val="en-US"/>
        </w:rPr>
        <w:t>cannot afford a meal with meat, chicken, fish or vegetarian equivalent every second day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56DC9B17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Meat, chicken, fish or vegetarian equivalent daily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68369DE4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Books at home suitable for the children’s age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12541A2F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Outdoor leisure equipment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3F7D3532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Indoor games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416E9AE0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Suitable place to do homework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4B3869CD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Regular leisure activities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4E3FC2ED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Celebrations on special occasions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7F25D5AF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Invitation of friends to play and eat from time to time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6983A7BD" w14:textId="77777777" w:rsidR="00EA2F46" w:rsidRPr="00F93F89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lastRenderedPageBreak/>
        <w:t>Child: Participation in school trips and school events that cost money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7AC6DF97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93F89">
        <w:rPr>
          <w:lang w:val="en-US"/>
        </w:rPr>
        <w:t>Child: Holiday</w:t>
      </w:r>
      <w:r>
        <w:rPr>
          <w:lang w:val="en-US"/>
        </w:rPr>
        <w:t xml:space="preserve"> – </w:t>
      </w:r>
      <w:r w:rsidRPr="00304BE8">
        <w:rPr>
          <w:lang w:val="en-US"/>
        </w:rPr>
        <w:t>cannot afford one week annual holiday away from home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3A7C8D35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Household : replace worn-out furniture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5741ECB7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Have you been to a show (cinema, theater...) in the last 12 months?</w:t>
      </w:r>
      <w:r>
        <w:rPr>
          <w:lang w:val="en-US"/>
        </w:rPr>
        <w:t xml:space="preserve"> (EPICES)</w:t>
      </w:r>
    </w:p>
    <w:p w14:paraId="172306B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Have you been on vacation in the last 12 months?</w:t>
      </w:r>
      <w:r>
        <w:rPr>
          <w:lang w:val="en-US"/>
        </w:rPr>
        <w:t xml:space="preserve"> (EPICES)</w:t>
      </w:r>
    </w:p>
    <w:p w14:paraId="35C66DD5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Phone : p</w:t>
      </w:r>
      <w:r w:rsidRPr="00E85DA3">
        <w:rPr>
          <w:lang w:val="en-US"/>
        </w:rPr>
        <w:t>ercentage of households with telephone</w:t>
      </w:r>
      <w:r>
        <w:rPr>
          <w:lang w:val="en-US"/>
        </w:rPr>
        <w:t xml:space="preserve"> (Russian deprivation index)</w:t>
      </w:r>
    </w:p>
    <w:p w14:paraId="187050CF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27D8D32B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 xml:space="preserve">Overcrowding </w:t>
      </w:r>
    </w:p>
    <w:p w14:paraId="4429D46A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13C6BE67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</w:t>
      </w:r>
      <w:r w:rsidRPr="00F93F89">
        <w:rPr>
          <w:lang w:val="en-US"/>
        </w:rPr>
        <w:t>roportion of all persons living in private households with a density of more than one person per room</w:t>
      </w:r>
      <w:r>
        <w:rPr>
          <w:lang w:val="en-US"/>
        </w:rPr>
        <w:t xml:space="preserve"> (Carstairs)</w:t>
      </w:r>
    </w:p>
    <w:p w14:paraId="4A832B5E" w14:textId="5852D1EA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9F54AB">
        <w:rPr>
          <w:lang w:val="en-US"/>
        </w:rPr>
        <w:t>PH with more than one person per room</w:t>
      </w:r>
      <w:r>
        <w:rPr>
          <w:lang w:val="en-US"/>
        </w:rPr>
        <w:t xml:space="preserve"> (DANDEX, EDI</w:t>
      </w:r>
      <w:r w:rsidR="005F13E4">
        <w:rPr>
          <w:lang w:val="en-US"/>
        </w:rPr>
        <w:t>, Townsend Deprivation Index</w:t>
      </w:r>
      <w:r>
        <w:rPr>
          <w:lang w:val="en-US"/>
        </w:rPr>
        <w:t>)</w:t>
      </w:r>
    </w:p>
    <w:p w14:paraId="25238699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Overcrowded : p</w:t>
      </w:r>
      <w:r w:rsidRPr="00E85DA3">
        <w:rPr>
          <w:lang w:val="en-US"/>
        </w:rPr>
        <w:t>ercentage of households (individual (</w:t>
      </w:r>
      <w:proofErr w:type="spellStart"/>
      <w:r w:rsidRPr="00E85DA3">
        <w:rPr>
          <w:lang w:val="en-US"/>
        </w:rPr>
        <w:t>singlefamily</w:t>
      </w:r>
      <w:proofErr w:type="spellEnd"/>
      <w:r w:rsidRPr="00E85DA3">
        <w:rPr>
          <w:lang w:val="en-US"/>
        </w:rPr>
        <w:t>) houses, individual and communal apartments) with &gt; 5 persons</w:t>
      </w:r>
      <w:r>
        <w:rPr>
          <w:lang w:val="en-US"/>
        </w:rPr>
        <w:t xml:space="preserve"> (Russian deprivation index)</w:t>
      </w:r>
    </w:p>
    <w:p w14:paraId="5EEF6011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204546C4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Basic amenities</w:t>
      </w:r>
    </w:p>
    <w:p w14:paraId="1CB897D6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70A59CEB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 xml:space="preserve">Household : home adequately warm - </w:t>
      </w:r>
      <w:r w:rsidRPr="00304BE8">
        <w:rPr>
          <w:lang w:val="en-US"/>
        </w:rPr>
        <w:t>cannot keep their homes adequately warm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1C81DBB5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042BF5">
        <w:rPr>
          <w:lang w:val="en-US"/>
        </w:rPr>
        <w:t>Heating: ‘No access to a system of central or electric heating’</w:t>
      </w:r>
      <w:r>
        <w:rPr>
          <w:lang w:val="en-US"/>
        </w:rPr>
        <w:t xml:space="preserve"> </w:t>
      </w:r>
      <w:r w:rsidRPr="00042BF5">
        <w:rPr>
          <w:lang w:val="en-US"/>
        </w:rPr>
        <w:t>versus ‘access to a system of central or electric heating’</w:t>
      </w:r>
      <w:r>
        <w:rPr>
          <w:lang w:val="en-US"/>
        </w:rPr>
        <w:t xml:space="preserve"> (EDI)</w:t>
      </w:r>
      <w:r w:rsidRPr="00042BF5">
        <w:rPr>
          <w:lang w:val="en-US"/>
        </w:rPr>
        <w:t>.</w:t>
      </w:r>
    </w:p>
    <w:p w14:paraId="3CD67DC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304BE8">
        <w:rPr>
          <w:lang w:val="en-US"/>
        </w:rPr>
        <w:t>Adults in the household: Access to internet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0BA51384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Are there any times of the month when you have real financial difficulties</w:t>
      </w:r>
      <w:r>
        <w:rPr>
          <w:lang w:val="en-US"/>
        </w:rPr>
        <w:t xml:space="preserve"> </w:t>
      </w:r>
      <w:r w:rsidRPr="007E362F">
        <w:rPr>
          <w:lang w:val="en-US"/>
        </w:rPr>
        <w:t>to meet your needs (food, rent, electricity, etc.)?</w:t>
      </w:r>
      <w:r>
        <w:rPr>
          <w:lang w:val="en-US"/>
        </w:rPr>
        <w:t xml:space="preserve"> (EPICES)</w:t>
      </w:r>
    </w:p>
    <w:p w14:paraId="56EA73F6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Stove heating : p</w:t>
      </w:r>
      <w:r w:rsidRPr="00E85DA3">
        <w:rPr>
          <w:lang w:val="en-US"/>
        </w:rPr>
        <w:t xml:space="preserve">ercentage of households with stove heating </w:t>
      </w:r>
      <w:r>
        <w:rPr>
          <w:lang w:val="en-US"/>
        </w:rPr>
        <w:t>(Russian deprivation index)</w:t>
      </w:r>
      <w:r w:rsidRPr="00E85DA3">
        <w:rPr>
          <w:lang w:val="en-US"/>
        </w:rPr>
        <w:t xml:space="preserve"> </w:t>
      </w:r>
    </w:p>
    <w:p w14:paraId="7B6F895E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No hot water supply : p</w:t>
      </w:r>
      <w:r w:rsidRPr="00E85DA3">
        <w:rPr>
          <w:lang w:val="en-US"/>
        </w:rPr>
        <w:t xml:space="preserve">ercentage of households without heat water supply </w:t>
      </w:r>
      <w:r>
        <w:rPr>
          <w:lang w:val="en-US"/>
        </w:rPr>
        <w:t>(Russian deprivation index)</w:t>
      </w:r>
    </w:p>
    <w:p w14:paraId="00F5D5A9" w14:textId="77777777" w:rsidR="00EA2F46" w:rsidRPr="00E85DA3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No central sewerage system : p</w:t>
      </w:r>
      <w:r w:rsidRPr="00E85DA3">
        <w:rPr>
          <w:lang w:val="en-US"/>
        </w:rPr>
        <w:t xml:space="preserve">ercentage of households with toilets emptying into a cesspit </w:t>
      </w:r>
      <w:r>
        <w:rPr>
          <w:lang w:val="en-US"/>
        </w:rPr>
        <w:t>(Russian deprivation index)</w:t>
      </w:r>
    </w:p>
    <w:p w14:paraId="72126745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No sewerage system : p</w:t>
      </w:r>
      <w:r w:rsidRPr="00E85DA3">
        <w:rPr>
          <w:lang w:val="en-US"/>
        </w:rPr>
        <w:t xml:space="preserve">ercentage of households without sewage system </w:t>
      </w:r>
      <w:r>
        <w:rPr>
          <w:lang w:val="en-US"/>
        </w:rPr>
        <w:t>(Russian deprivation index)</w:t>
      </w:r>
    </w:p>
    <w:p w14:paraId="4710A8B8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6D1600">
        <w:rPr>
          <w:lang w:val="en-US"/>
        </w:rPr>
        <w:t>% of house with very small kitchen or kitchenette (SEHDI)</w:t>
      </w:r>
    </w:p>
    <w:p w14:paraId="65257A60" w14:textId="3DD69905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houses with bath or shower (SEHDI)</w:t>
      </w:r>
    </w:p>
    <w:p w14:paraId="69D4A56A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</w:p>
    <w:p w14:paraId="1DDACCF8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Housing</w:t>
      </w:r>
    </w:p>
    <w:p w14:paraId="6DF60A6D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12FAEA9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PH being rented (DANDEX, IDI)</w:t>
      </w:r>
    </w:p>
    <w:p w14:paraId="3F075BFB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Are you a homeowner (or first-time buyer)?</w:t>
      </w:r>
      <w:r>
        <w:rPr>
          <w:lang w:val="en-US"/>
        </w:rPr>
        <w:t xml:space="preserve"> (EPICES)</w:t>
      </w:r>
    </w:p>
    <w:p w14:paraId="186088F3" w14:textId="679764C9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Non owner : t</w:t>
      </w:r>
      <w:r w:rsidRPr="00042BF5">
        <w:rPr>
          <w:lang w:val="en-US"/>
        </w:rPr>
        <w:t>enure (owners/renters at market prices/renters in low-rent</w:t>
      </w:r>
      <w:r>
        <w:rPr>
          <w:lang w:val="en-US"/>
        </w:rPr>
        <w:t xml:space="preserve"> </w:t>
      </w:r>
      <w:r w:rsidRPr="00042BF5">
        <w:rPr>
          <w:lang w:val="en-US"/>
        </w:rPr>
        <w:t xml:space="preserve">community </w:t>
      </w:r>
      <w:r>
        <w:rPr>
          <w:lang w:val="en-US"/>
        </w:rPr>
        <w:t>h</w:t>
      </w:r>
      <w:r w:rsidRPr="00042BF5">
        <w:rPr>
          <w:lang w:val="en-US"/>
        </w:rPr>
        <w:t>ousing/accommodated free of charge)</w:t>
      </w:r>
      <w:r>
        <w:rPr>
          <w:lang w:val="en-US"/>
        </w:rPr>
        <w:t xml:space="preserve"> (EDI)</w:t>
      </w:r>
    </w:p>
    <w:p w14:paraId="4A7280CF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H</w:t>
      </w:r>
      <w:r w:rsidRPr="0087190A">
        <w:rPr>
          <w:lang w:val="en-US"/>
        </w:rPr>
        <w:t>ousing density (occupants per 100 m</w:t>
      </w:r>
      <w:r>
        <w:rPr>
          <w:lang w:val="en-US"/>
        </w:rPr>
        <w:t>²</w:t>
      </w:r>
      <w:r w:rsidRPr="0087190A">
        <w:rPr>
          <w:lang w:val="en-US"/>
        </w:rPr>
        <w:t>)</w:t>
      </w:r>
      <w:r>
        <w:rPr>
          <w:lang w:val="en-US"/>
        </w:rPr>
        <w:t xml:space="preserve"> (IDI)</w:t>
      </w:r>
    </w:p>
    <w:p w14:paraId="25C45753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subsidized house among all primary residences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7856C19F" w14:textId="3145B569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Non-owner occupying primary residence (</w:t>
      </w:r>
      <w:r w:rsidR="005F13E4">
        <w:rPr>
          <w:lang w:val="en-US"/>
        </w:rPr>
        <w:t xml:space="preserve">Irish National Deprivation Index, </w:t>
      </w:r>
      <w:proofErr w:type="spellStart"/>
      <w:r w:rsidR="005F13E4">
        <w:rPr>
          <w:lang w:val="en-US"/>
        </w:rPr>
        <w:t>Neighbourhood</w:t>
      </w:r>
      <w:proofErr w:type="spellEnd"/>
      <w:r w:rsidR="005F13E4">
        <w:rPr>
          <w:lang w:val="en-US"/>
        </w:rPr>
        <w:t xml:space="preserve"> Deprivation Index, Townsend Deprivation Index</w:t>
      </w:r>
      <w:r>
        <w:rPr>
          <w:lang w:val="en-US"/>
        </w:rPr>
        <w:t>)</w:t>
      </w:r>
    </w:p>
    <w:p w14:paraId="334EF2FD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Individual house as a primary residence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76CCA20F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Apartment building as a primary residence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23720499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Primary residence with a minimum surface area of 100m²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682731D4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Primary residence with a garage or other parking space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42AF8076" w14:textId="77777777" w:rsidR="00EA2F46" w:rsidRPr="00B6678F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M</w:t>
      </w:r>
      <w:r w:rsidRPr="00B6678F">
        <w:rPr>
          <w:lang w:val="en-US"/>
        </w:rPr>
        <w:t>ean number of persons per room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</w:t>
      </w:r>
    </w:p>
    <w:p w14:paraId="61DFFEAA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6939AAC1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lastRenderedPageBreak/>
        <w:t>Family structure</w:t>
      </w:r>
    </w:p>
    <w:p w14:paraId="645896A3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3597D3F7" w14:textId="77777777" w:rsidR="00EA2F46" w:rsidRPr="009F54AB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9F54AB">
        <w:rPr>
          <w:lang w:val="en-US"/>
        </w:rPr>
        <w:t>PI living alone with child/children</w:t>
      </w:r>
      <w:r>
        <w:rPr>
          <w:lang w:val="en-US"/>
        </w:rPr>
        <w:t xml:space="preserve"> (DANDEX, IDI, 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Index, SEHDI)</w:t>
      </w:r>
    </w:p>
    <w:p w14:paraId="1CAB8206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Do you live with a partner?</w:t>
      </w:r>
      <w:r>
        <w:rPr>
          <w:lang w:val="en-US"/>
        </w:rPr>
        <w:t xml:space="preserve"> (EPICES)</w:t>
      </w:r>
    </w:p>
    <w:p w14:paraId="7AA7EB1B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Single-parent household : h</w:t>
      </w:r>
      <w:r w:rsidRPr="00042BF5">
        <w:rPr>
          <w:lang w:val="en-US"/>
        </w:rPr>
        <w:t>ousehold types (single pensioner/single-parent household/</w:t>
      </w:r>
      <w:r>
        <w:rPr>
          <w:lang w:val="en-US"/>
        </w:rPr>
        <w:t xml:space="preserve"> </w:t>
      </w:r>
      <w:r w:rsidRPr="00042BF5">
        <w:rPr>
          <w:lang w:val="en-US"/>
        </w:rPr>
        <w:t>couple without children/couple with child(ren)/without</w:t>
      </w:r>
      <w:r>
        <w:rPr>
          <w:lang w:val="en-US"/>
        </w:rPr>
        <w:t xml:space="preserve"> </w:t>
      </w:r>
      <w:r w:rsidRPr="00042BF5">
        <w:rPr>
          <w:lang w:val="en-US"/>
        </w:rPr>
        <w:t>family)</w:t>
      </w:r>
      <w:r>
        <w:rPr>
          <w:lang w:val="en-US"/>
        </w:rPr>
        <w:t xml:space="preserve"> (EDI)</w:t>
      </w:r>
    </w:p>
    <w:p w14:paraId="16F35D3A" w14:textId="72731E64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Household with 6+ persons : nu</w:t>
      </w:r>
      <w:r w:rsidRPr="00042BF5">
        <w:rPr>
          <w:lang w:val="en-US"/>
        </w:rPr>
        <w:t>mber of persons in household (</w:t>
      </w:r>
      <w:r>
        <w:rPr>
          <w:rFonts w:cs="Arial"/>
          <w:lang w:val="en-US"/>
        </w:rPr>
        <w:t>≥</w:t>
      </w:r>
      <w:r w:rsidRPr="00042BF5">
        <w:rPr>
          <w:lang w:val="en-US"/>
        </w:rPr>
        <w:t>2 persons/</w:t>
      </w:r>
      <w:r>
        <w:rPr>
          <w:lang w:val="en-US"/>
        </w:rPr>
        <w:t xml:space="preserve"> </w:t>
      </w:r>
      <w:r>
        <w:rPr>
          <w:rFonts w:cs="Arial"/>
          <w:lang w:val="en-US"/>
        </w:rPr>
        <w:t>≥</w:t>
      </w:r>
      <w:r w:rsidRPr="00042BF5">
        <w:rPr>
          <w:lang w:val="en-US"/>
        </w:rPr>
        <w:t>3 persons/</w:t>
      </w:r>
      <w:r>
        <w:rPr>
          <w:lang w:val="en-US"/>
        </w:rPr>
        <w:t xml:space="preserve"> </w:t>
      </w:r>
      <w:r>
        <w:rPr>
          <w:rFonts w:cs="Arial"/>
          <w:lang w:val="en-US"/>
        </w:rPr>
        <w:t>≥</w:t>
      </w:r>
      <w:r w:rsidRPr="00042BF5">
        <w:rPr>
          <w:lang w:val="en-US"/>
        </w:rPr>
        <w:t>4</w:t>
      </w:r>
      <w:r>
        <w:rPr>
          <w:lang w:val="en-US"/>
        </w:rPr>
        <w:t xml:space="preserve"> </w:t>
      </w:r>
      <w:r w:rsidRPr="00042BF5">
        <w:rPr>
          <w:lang w:val="en-US"/>
        </w:rPr>
        <w:t>persons/</w:t>
      </w:r>
      <w:r>
        <w:rPr>
          <w:lang w:val="en-US"/>
        </w:rPr>
        <w:t xml:space="preserve"> </w:t>
      </w:r>
      <w:r>
        <w:rPr>
          <w:rFonts w:cs="Arial"/>
          <w:lang w:val="en-US"/>
        </w:rPr>
        <w:t>≥</w:t>
      </w:r>
      <w:r w:rsidRPr="00042BF5">
        <w:rPr>
          <w:lang w:val="en-US"/>
        </w:rPr>
        <w:t>5 persons/</w:t>
      </w:r>
      <w:r>
        <w:rPr>
          <w:lang w:val="en-US"/>
        </w:rPr>
        <w:t xml:space="preserve"> </w:t>
      </w:r>
      <w:r>
        <w:rPr>
          <w:rFonts w:cs="Arial"/>
          <w:lang w:val="en-US"/>
        </w:rPr>
        <w:t>≥</w:t>
      </w:r>
      <w:r w:rsidRPr="00042BF5">
        <w:rPr>
          <w:lang w:val="en-US"/>
        </w:rPr>
        <w:t>6 persons)</w:t>
      </w:r>
      <w:r>
        <w:rPr>
          <w:lang w:val="en-US"/>
        </w:rPr>
        <w:t xml:space="preserve"> (EDI)</w:t>
      </w:r>
    </w:p>
    <w:p w14:paraId="4561C4DC" w14:textId="51C51F03" w:rsidR="00F30242" w:rsidRDefault="00F30242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F30242">
        <w:rPr>
          <w:lang w:val="en-US"/>
        </w:rPr>
        <w:t xml:space="preserve">Proportion of single-person households </w:t>
      </w:r>
      <w:r>
        <w:rPr>
          <w:lang w:val="en-US"/>
        </w:rPr>
        <w:t>(GIMD)</w:t>
      </w:r>
    </w:p>
    <w:p w14:paraId="114C3BA3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</w:t>
      </w:r>
      <w:r w:rsidRPr="00A829A2">
        <w:rPr>
          <w:lang w:val="en-US"/>
        </w:rPr>
        <w:t>ercentage of households with children aged under 15 years and headed by a single parent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</w:t>
      </w:r>
    </w:p>
    <w:p w14:paraId="34988D38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 xml:space="preserve">Children +3 : </w:t>
      </w:r>
      <w:r w:rsidRPr="00B6678F">
        <w:rPr>
          <w:lang w:val="en-US"/>
        </w:rPr>
        <w:t>Percentage of families with 3 and more children (ages 0-18)</w:t>
      </w:r>
      <w:r>
        <w:rPr>
          <w:lang w:val="en-US"/>
        </w:rPr>
        <w:t xml:space="preserve"> (Russian deprivation index)</w:t>
      </w:r>
    </w:p>
    <w:p w14:paraId="5B6E6F3D" w14:textId="77777777" w:rsidR="00EA2F46" w:rsidRPr="006D1600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Average N of people per family</w:t>
      </w:r>
      <w:r w:rsidRPr="006D1600">
        <w:rPr>
          <w:lang w:val="en-US"/>
        </w:rPr>
        <w:t xml:space="preserve"> (SEHDI)</w:t>
      </w:r>
    </w:p>
    <w:p w14:paraId="36AE6575" w14:textId="77777777" w:rsidR="00EA2F46" w:rsidRPr="00160589" w:rsidRDefault="00EA2F46" w:rsidP="00EA2F46">
      <w:pPr>
        <w:pStyle w:val="BodySciensano"/>
        <w:jc w:val="left"/>
        <w:rPr>
          <w:b/>
          <w:bCs/>
          <w:color w:val="18667E"/>
          <w:lang w:val="en-US"/>
        </w:rPr>
      </w:pPr>
    </w:p>
    <w:p w14:paraId="5B76FB5D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7E961205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Demography</w:t>
      </w:r>
    </w:p>
    <w:p w14:paraId="5E3E57F4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18C11B83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People aged 25 years or younger (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Deprivation Index)</w:t>
      </w:r>
    </w:p>
    <w:p w14:paraId="43492B55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P</w:t>
      </w:r>
      <w:r w:rsidRPr="00A829A2">
        <w:rPr>
          <w:lang w:val="en-US"/>
        </w:rPr>
        <w:t>ercentage change in population over the previous five years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</w:t>
      </w:r>
    </w:p>
    <w:p w14:paraId="6910454D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A829A2">
        <w:rPr>
          <w:lang w:val="en-US"/>
        </w:rPr>
        <w:t>percentage of population aged under 15 or over 64 years of age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Pobal</w:t>
      </w:r>
      <w:proofErr w:type="spellEnd"/>
      <w:r>
        <w:rPr>
          <w:lang w:val="en-US"/>
        </w:rPr>
        <w:t xml:space="preserve"> HP)</w:t>
      </w:r>
    </w:p>
    <w:p w14:paraId="303F8A9E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 xml:space="preserve">Children under 5 years old : </w:t>
      </w:r>
      <w:r w:rsidRPr="00E85DA3">
        <w:rPr>
          <w:lang w:val="en-US"/>
        </w:rPr>
        <w:t>Children ages 0-4 as a percentage of total population</w:t>
      </w:r>
      <w:r>
        <w:rPr>
          <w:lang w:val="en-US"/>
        </w:rPr>
        <w:t xml:space="preserve"> (Russian deprivation index)</w:t>
      </w:r>
    </w:p>
    <w:p w14:paraId="10B59B9B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O</w:t>
      </w:r>
      <w:r w:rsidRPr="006D1600">
        <w:rPr>
          <w:lang w:val="en-US"/>
        </w:rPr>
        <w:t>ld-age index (SEHDI)</w:t>
      </w:r>
    </w:p>
    <w:p w14:paraId="221F325F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w</w:t>
      </w:r>
      <w:r w:rsidRPr="006D1600">
        <w:rPr>
          <w:lang w:val="en-US"/>
        </w:rPr>
        <w:t>idowers/widow (SEHDI)</w:t>
      </w:r>
    </w:p>
    <w:p w14:paraId="21DC2EAB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married or % separated and divorced (SEHDI)</w:t>
      </w:r>
    </w:p>
    <w:p w14:paraId="16F72CE4" w14:textId="77777777" w:rsidR="00EA2F46" w:rsidRPr="006D1600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% single-member families aged 65+ (SEHDI)</w:t>
      </w:r>
    </w:p>
    <w:p w14:paraId="2381E758" w14:textId="77777777" w:rsidR="00EA2F46" w:rsidRPr="00F93F89" w:rsidRDefault="00EA2F46" w:rsidP="00EA2F46">
      <w:pPr>
        <w:pStyle w:val="BodySciensano"/>
        <w:jc w:val="left"/>
        <w:rPr>
          <w:lang w:val="en-US"/>
        </w:rPr>
      </w:pPr>
    </w:p>
    <w:p w14:paraId="4994DD81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6F028317" w14:textId="77777777" w:rsidR="00EA2F46" w:rsidRPr="002827BB" w:rsidRDefault="00EA2F46" w:rsidP="00EA2F46">
      <w:pPr>
        <w:pStyle w:val="BodySciensano"/>
        <w:jc w:val="left"/>
        <w:rPr>
          <w:b/>
          <w:bCs/>
          <w:color w:val="18667E"/>
          <w:sz w:val="22"/>
          <w:szCs w:val="22"/>
          <w:lang w:val="en-US"/>
        </w:rPr>
      </w:pPr>
      <w:r w:rsidRPr="002827BB">
        <w:rPr>
          <w:b/>
          <w:bCs/>
          <w:color w:val="18667E"/>
          <w:sz w:val="22"/>
          <w:szCs w:val="22"/>
          <w:lang w:val="en-US"/>
        </w:rPr>
        <w:t>Others</w:t>
      </w:r>
    </w:p>
    <w:p w14:paraId="4E6BF268" w14:textId="77777777" w:rsidR="00EA2F46" w:rsidRDefault="00EA2F46" w:rsidP="00EA2F46">
      <w:pPr>
        <w:pStyle w:val="BodySciensano"/>
        <w:jc w:val="left"/>
        <w:rPr>
          <w:lang w:val="en-US"/>
        </w:rPr>
      </w:pPr>
    </w:p>
    <w:p w14:paraId="1E3F4CBC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 xml:space="preserve">Household : Arrears - </w:t>
      </w:r>
      <w:r w:rsidRPr="00304BE8">
        <w:rPr>
          <w:lang w:val="en-US"/>
        </w:rPr>
        <w:t>cannot avoid arrears</w:t>
      </w:r>
      <w:r>
        <w:rPr>
          <w:lang w:val="en-US"/>
        </w:rPr>
        <w:t xml:space="preserve"> (</w:t>
      </w:r>
      <w:r w:rsidRPr="00F93F89">
        <w:rPr>
          <w:lang w:val="en-US"/>
        </w:rPr>
        <w:t>Child Material and Social deprivation</w:t>
      </w:r>
      <w:r>
        <w:rPr>
          <w:lang w:val="en-US"/>
        </w:rPr>
        <w:t>)</w:t>
      </w:r>
    </w:p>
    <w:p w14:paraId="7D6F90AD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Do you have supplementary health insurance ?</w:t>
      </w:r>
      <w:r>
        <w:rPr>
          <w:lang w:val="en-US"/>
        </w:rPr>
        <w:t xml:space="preserve"> (EPICES)</w:t>
      </w:r>
    </w:p>
    <w:p w14:paraId="3C0E2885" w14:textId="77777777" w:rsidR="00EA2F46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 w:rsidRPr="007E362F">
        <w:rPr>
          <w:lang w:val="en-US"/>
        </w:rPr>
        <w:t>Have you exercised in the last 12 months?</w:t>
      </w:r>
      <w:r>
        <w:rPr>
          <w:lang w:val="en-US"/>
        </w:rPr>
        <w:t xml:space="preserve"> (EPICES)</w:t>
      </w:r>
    </w:p>
    <w:p w14:paraId="063550E9" w14:textId="77777777" w:rsidR="00EA2F46" w:rsidRPr="006D1600" w:rsidRDefault="00EA2F46" w:rsidP="00EA2F46">
      <w:pPr>
        <w:pStyle w:val="BodySciensano"/>
        <w:numPr>
          <w:ilvl w:val="0"/>
          <w:numId w:val="22"/>
        </w:numPr>
        <w:jc w:val="left"/>
        <w:rPr>
          <w:lang w:val="en-US"/>
        </w:rPr>
      </w:pPr>
      <w:r>
        <w:rPr>
          <w:lang w:val="en-US"/>
        </w:rPr>
        <w:t>H</w:t>
      </w:r>
      <w:r w:rsidRPr="006D1600">
        <w:rPr>
          <w:lang w:val="en-US"/>
        </w:rPr>
        <w:t>ealth insurance status (</w:t>
      </w:r>
      <w:proofErr w:type="spellStart"/>
      <w:r w:rsidRPr="006D1600">
        <w:rPr>
          <w:lang w:val="en-US"/>
        </w:rPr>
        <w:t>SoDep</w:t>
      </w:r>
      <w:proofErr w:type="spellEnd"/>
      <w:r w:rsidRPr="006D1600">
        <w:rPr>
          <w:lang w:val="en-US"/>
        </w:rPr>
        <w:t>)</w:t>
      </w:r>
    </w:p>
    <w:p w14:paraId="466D9EE9" w14:textId="77777777" w:rsidR="00EA2F46" w:rsidRDefault="00EA2F46" w:rsidP="00EA2F46">
      <w:pPr>
        <w:pStyle w:val="BodySciensano"/>
        <w:rPr>
          <w:lang w:val="en-US"/>
        </w:rPr>
      </w:pPr>
    </w:p>
    <w:p w14:paraId="7676272F" w14:textId="77777777" w:rsidR="00EA2F46" w:rsidRDefault="00EA2F46" w:rsidP="00EA2F46">
      <w:pPr>
        <w:pStyle w:val="BodySciensano"/>
        <w:rPr>
          <w:lang w:val="en-US"/>
        </w:rPr>
      </w:pPr>
    </w:p>
    <w:p w14:paraId="2DCA2E69" w14:textId="77777777" w:rsidR="00EA2F46" w:rsidRDefault="00EA2F46" w:rsidP="00EA2F46">
      <w:pPr>
        <w:pStyle w:val="BodySciensano"/>
        <w:rPr>
          <w:lang w:val="en-US"/>
        </w:rPr>
      </w:pPr>
    </w:p>
    <w:p w14:paraId="40634132" w14:textId="77777777" w:rsidR="00EA2F46" w:rsidRDefault="00EA2F46" w:rsidP="00EA2F46">
      <w:pPr>
        <w:pStyle w:val="BodySciensano"/>
        <w:rPr>
          <w:lang w:val="en-US"/>
        </w:rPr>
      </w:pPr>
    </w:p>
    <w:p w14:paraId="3AC8E6D8" w14:textId="77777777" w:rsidR="00EA2F46" w:rsidRDefault="00EA2F46" w:rsidP="00EA2F46">
      <w:pPr>
        <w:pStyle w:val="BodySciensano"/>
        <w:rPr>
          <w:lang w:val="en-US"/>
        </w:rPr>
      </w:pPr>
    </w:p>
    <w:p w14:paraId="484CB17A" w14:textId="77777777" w:rsidR="00EA2F46" w:rsidRDefault="00EA2F46" w:rsidP="00EA2F46">
      <w:pPr>
        <w:pStyle w:val="BodySciensano"/>
        <w:rPr>
          <w:lang w:val="en-US"/>
        </w:rPr>
      </w:pPr>
    </w:p>
    <w:p w14:paraId="41417A53" w14:textId="77777777" w:rsidR="00EA2F46" w:rsidRDefault="00EA2F46" w:rsidP="00EA2F46">
      <w:pPr>
        <w:pStyle w:val="BodySciensano"/>
        <w:rPr>
          <w:lang w:val="en-US"/>
        </w:rPr>
      </w:pPr>
    </w:p>
    <w:p w14:paraId="07FE964D" w14:textId="77777777" w:rsidR="00EA2F46" w:rsidRDefault="00EA2F46" w:rsidP="00EA2F46">
      <w:pPr>
        <w:pStyle w:val="BodySciensano"/>
        <w:rPr>
          <w:lang w:val="en-US"/>
        </w:rPr>
      </w:pPr>
    </w:p>
    <w:p w14:paraId="4CD8BAC6" w14:textId="77777777" w:rsidR="00EA2F46" w:rsidRPr="00F93F89" w:rsidRDefault="00EA2F46" w:rsidP="00EA2F46">
      <w:pPr>
        <w:pStyle w:val="BodySciensano"/>
        <w:rPr>
          <w:lang w:val="en-US"/>
        </w:rPr>
      </w:pPr>
      <w:r>
        <w:rPr>
          <w:lang w:val="en-US"/>
        </w:rPr>
        <w:t>*PI = proportion inhabitants</w:t>
      </w:r>
    </w:p>
    <w:p w14:paraId="31821D9D" w14:textId="77777777" w:rsidR="00EA2F46" w:rsidRDefault="00EA2F46" w:rsidP="00EA2F46">
      <w:pPr>
        <w:pStyle w:val="BodySciensano"/>
        <w:rPr>
          <w:lang w:val="en-US"/>
        </w:rPr>
      </w:pPr>
      <w:r>
        <w:rPr>
          <w:lang w:val="en-US"/>
        </w:rPr>
        <w:t>**PH = proportion of households</w:t>
      </w:r>
    </w:p>
    <w:p w14:paraId="4A9BB47D" w14:textId="77777777" w:rsidR="00FB790D" w:rsidRPr="00EB3544" w:rsidRDefault="00FB790D" w:rsidP="007E7A13">
      <w:pPr>
        <w:pStyle w:val="BodySciensano"/>
        <w:rPr>
          <w:lang w:val="fr-BE"/>
        </w:rPr>
      </w:pPr>
    </w:p>
    <w:sectPr w:rsidR="00FB790D" w:rsidRPr="00EB3544" w:rsidSect="000410F0">
      <w:endnotePr>
        <w:numFmt w:val="decimal"/>
      </w:endnotePr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32F3F" w14:textId="77777777" w:rsidR="00EA2F46" w:rsidRPr="00D362ED" w:rsidRDefault="00EA2F46" w:rsidP="00035449">
      <w:pPr>
        <w:spacing w:line="14" w:lineRule="auto"/>
        <w:rPr>
          <w:lang w:val="nl-NL"/>
        </w:rPr>
      </w:pPr>
    </w:p>
  </w:endnote>
  <w:endnote w:type="continuationSeparator" w:id="0">
    <w:p w14:paraId="5BD2BE87" w14:textId="77777777" w:rsidR="00EA2F46" w:rsidRPr="0043189D" w:rsidRDefault="00EA2F46" w:rsidP="00035449">
      <w:pPr>
        <w:spacing w:line="14" w:lineRule="auto"/>
        <w:rPr>
          <w:lang w:val="nl-NL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80071" w14:textId="77777777" w:rsidR="00EA2F46" w:rsidRDefault="00EA2F46" w:rsidP="00300B6C">
      <w:pPr>
        <w:spacing w:line="240" w:lineRule="auto"/>
      </w:pPr>
      <w:r>
        <w:separator/>
      </w:r>
    </w:p>
  </w:footnote>
  <w:footnote w:type="continuationSeparator" w:id="0">
    <w:p w14:paraId="5DA335A0" w14:textId="77777777" w:rsidR="00EA2F46" w:rsidRDefault="00EA2F46" w:rsidP="00300B6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2FAA88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30AB85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0"/>
    <w:multiLevelType w:val="singleLevel"/>
    <w:tmpl w:val="F974A2E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E95E7BF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06807A1E"/>
    <w:multiLevelType w:val="multilevel"/>
    <w:tmpl w:val="F2F420E0"/>
    <w:styleLink w:val="ScienscanoListNumbers"/>
    <w:lvl w:ilvl="0">
      <w:start w:val="1"/>
      <w:numFmt w:val="decimal"/>
      <w:pStyle w:val="ListNumber"/>
      <w:lvlText w:val="%1."/>
      <w:lvlJc w:val="left"/>
      <w:pPr>
        <w:ind w:left="363" w:hanging="363"/>
      </w:pPr>
      <w:rPr>
        <w:rFonts w:ascii="Arial" w:hAnsi="Arial" w:hint="default"/>
        <w:b/>
        <w:i w:val="0"/>
        <w:color w:val="BCCF00"/>
      </w:rPr>
    </w:lvl>
    <w:lvl w:ilvl="1">
      <w:start w:val="1"/>
      <w:numFmt w:val="decimal"/>
      <w:pStyle w:val="ListNumber2"/>
      <w:lvlText w:val="%1.%2."/>
      <w:lvlJc w:val="left"/>
      <w:pPr>
        <w:ind w:left="680" w:hanging="538"/>
      </w:pPr>
      <w:rPr>
        <w:rFonts w:ascii="Arial" w:hAnsi="Arial" w:hint="default"/>
        <w:color w:val="58595B"/>
      </w:rPr>
    </w:lvl>
    <w:lvl w:ilvl="2">
      <w:start w:val="1"/>
      <w:numFmt w:val="decimal"/>
      <w:pStyle w:val="ListNumber3"/>
      <w:lvlText w:val="%1.%2.%3."/>
      <w:lvlJc w:val="left"/>
      <w:pPr>
        <w:ind w:left="1089" w:hanging="805"/>
      </w:pPr>
      <w:rPr>
        <w:rFonts w:ascii="Arial" w:hAnsi="Arial" w:hint="default"/>
        <w:color w:val="58595B"/>
      </w:rPr>
    </w:lvl>
    <w:lvl w:ilvl="3">
      <w:start w:val="1"/>
      <w:numFmt w:val="decimal"/>
      <w:lvlText w:val="%4."/>
      <w:lvlJc w:val="left"/>
      <w:pPr>
        <w:ind w:left="568" w:hanging="14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710" w:hanging="14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852" w:hanging="14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994" w:hanging="14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6" w:hanging="14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278" w:hanging="142"/>
      </w:pPr>
      <w:rPr>
        <w:rFonts w:hint="default"/>
      </w:rPr>
    </w:lvl>
  </w:abstractNum>
  <w:abstractNum w:abstractNumId="5" w15:restartNumberingAfterBreak="0">
    <w:nsid w:val="06D42CA1"/>
    <w:multiLevelType w:val="multilevel"/>
    <w:tmpl w:val="97C008F8"/>
    <w:styleLink w:val="SciensanoListBullets"/>
    <w:lvl w:ilvl="0">
      <w:start w:val="1"/>
      <w:numFmt w:val="bullet"/>
      <w:pStyle w:val="ListBullet"/>
      <w:lvlText w:val=""/>
      <w:lvlJc w:val="left"/>
      <w:pPr>
        <w:tabs>
          <w:tab w:val="num" w:pos="363"/>
        </w:tabs>
        <w:ind w:left="363" w:hanging="363"/>
      </w:pPr>
      <w:rPr>
        <w:rFonts w:ascii="Symbol" w:hAnsi="Symbol" w:hint="default"/>
        <w:color w:val="BCCF00"/>
        <w:sz w:val="20"/>
      </w:rPr>
    </w:lvl>
    <w:lvl w:ilvl="1">
      <w:start w:val="1"/>
      <w:numFmt w:val="bullet"/>
      <w:pStyle w:val="ListBullet2"/>
      <w:lvlText w:val="•"/>
      <w:lvlJc w:val="left"/>
      <w:pPr>
        <w:tabs>
          <w:tab w:val="num" w:pos="505"/>
        </w:tabs>
        <w:ind w:left="505" w:hanging="363"/>
      </w:pPr>
      <w:rPr>
        <w:rFonts w:ascii="Arial" w:hAnsi="Arial" w:hint="default"/>
        <w:color w:val="58595B"/>
      </w:rPr>
    </w:lvl>
    <w:lvl w:ilvl="2">
      <w:start w:val="1"/>
      <w:numFmt w:val="bullet"/>
      <w:pStyle w:val="ListBullet3"/>
      <w:lvlText w:val="-"/>
      <w:lvlJc w:val="left"/>
      <w:pPr>
        <w:tabs>
          <w:tab w:val="num" w:pos="646"/>
        </w:tabs>
        <w:ind w:left="646" w:hanging="362"/>
      </w:pPr>
      <w:rPr>
        <w:rFonts w:ascii="Calibri" w:hAnsi="Calibri" w:hint="default"/>
        <w:color w:val="58595B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22F5B9E"/>
    <w:multiLevelType w:val="multilevel"/>
    <w:tmpl w:val="F2F420E0"/>
    <w:numStyleLink w:val="ScienscanoListNumbers"/>
  </w:abstractNum>
  <w:abstractNum w:abstractNumId="7" w15:restartNumberingAfterBreak="0">
    <w:nsid w:val="13C22EA9"/>
    <w:multiLevelType w:val="hybridMultilevel"/>
    <w:tmpl w:val="8604E382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4903CA"/>
    <w:multiLevelType w:val="hybridMultilevel"/>
    <w:tmpl w:val="EA7AF15C"/>
    <w:lvl w:ilvl="0" w:tplc="FC644CF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0E471E"/>
    <w:multiLevelType w:val="hybridMultilevel"/>
    <w:tmpl w:val="B1EAFD7A"/>
    <w:lvl w:ilvl="0" w:tplc="46B60C3A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46DB0"/>
    <w:multiLevelType w:val="multilevel"/>
    <w:tmpl w:val="F2F420E0"/>
    <w:numStyleLink w:val="ScienscanoListNumbers"/>
  </w:abstractNum>
  <w:abstractNum w:abstractNumId="11" w15:restartNumberingAfterBreak="0">
    <w:nsid w:val="35A53FB4"/>
    <w:multiLevelType w:val="hybridMultilevel"/>
    <w:tmpl w:val="9FEA4F2E"/>
    <w:lvl w:ilvl="0" w:tplc="E5E07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CCF50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AA3321"/>
    <w:multiLevelType w:val="multilevel"/>
    <w:tmpl w:val="891460F6"/>
    <w:lvl w:ilvl="0">
      <w:start w:val="1"/>
      <w:numFmt w:val="none"/>
      <w:pStyle w:val="Heading1"/>
      <w:suff w:val="nothing"/>
      <w:lvlText w:val="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Heading2"/>
      <w:suff w:val="space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Heading3"/>
      <w:suff w:val="space"/>
      <w:lvlText w:val="%2.%3.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Heading4"/>
      <w:suff w:val="space"/>
      <w:lvlText w:val="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Heading5"/>
      <w:suff w:val="space"/>
      <w:lvlText w:val="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3" w15:restartNumberingAfterBreak="0">
    <w:nsid w:val="5EC14EDE"/>
    <w:multiLevelType w:val="hybridMultilevel"/>
    <w:tmpl w:val="BDDEA006"/>
    <w:lvl w:ilvl="0" w:tplc="E5E07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CCF50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1D7BC4"/>
    <w:multiLevelType w:val="hybridMultilevel"/>
    <w:tmpl w:val="C156858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C736AB"/>
    <w:multiLevelType w:val="multilevel"/>
    <w:tmpl w:val="F2F420E0"/>
    <w:numStyleLink w:val="ScienscanoListNumbers"/>
  </w:abstractNum>
  <w:abstractNum w:abstractNumId="16" w15:restartNumberingAfterBreak="0">
    <w:nsid w:val="6F851D86"/>
    <w:multiLevelType w:val="multilevel"/>
    <w:tmpl w:val="F2F420E0"/>
    <w:numStyleLink w:val="ScienscanoListNumbers"/>
  </w:abstractNum>
  <w:abstractNum w:abstractNumId="17" w15:restartNumberingAfterBreak="0">
    <w:nsid w:val="735D1621"/>
    <w:multiLevelType w:val="multilevel"/>
    <w:tmpl w:val="8BCCBBB0"/>
    <w:lvl w:ilvl="0">
      <w:start w:val="1"/>
      <w:numFmt w:val="none"/>
      <w:suff w:val="nothing"/>
      <w:lvlText w:val="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suff w:val="space"/>
      <w:lvlText w:val="%2.%3.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suff w:val="space"/>
      <w:lvlText w:val="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8" w15:restartNumberingAfterBreak="0">
    <w:nsid w:val="75A80DC9"/>
    <w:multiLevelType w:val="multilevel"/>
    <w:tmpl w:val="97C008F8"/>
    <w:numStyleLink w:val="SciensanoListBullets"/>
  </w:abstractNum>
  <w:abstractNum w:abstractNumId="19" w15:restartNumberingAfterBreak="0">
    <w:nsid w:val="7ACC4A42"/>
    <w:multiLevelType w:val="multilevel"/>
    <w:tmpl w:val="F2F420E0"/>
    <w:numStyleLink w:val="ScienscanoListNumbers"/>
  </w:abstractNum>
  <w:num w:numId="1">
    <w:abstractNumId w:val="5"/>
  </w:num>
  <w:num w:numId="2">
    <w:abstractNumId w:val="4"/>
  </w:num>
  <w:num w:numId="3">
    <w:abstractNumId w:val="12"/>
  </w:num>
  <w:num w:numId="4">
    <w:abstractNumId w:val="18"/>
  </w:num>
  <w:num w:numId="5">
    <w:abstractNumId w:val="16"/>
  </w:num>
  <w:num w:numId="6">
    <w:abstractNumId w:val="10"/>
  </w:num>
  <w:num w:numId="7">
    <w:abstractNumId w:val="15"/>
  </w:num>
  <w:num w:numId="8">
    <w:abstractNumId w:val="19"/>
  </w:num>
  <w:num w:numId="9">
    <w:abstractNumId w:val="6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8"/>
  </w:num>
  <w:num w:numId="15">
    <w:abstractNumId w:val="12"/>
  </w:num>
  <w:num w:numId="16">
    <w:abstractNumId w:val="17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13"/>
  </w:num>
  <w:num w:numId="20">
    <w:abstractNumId w:val="9"/>
  </w:num>
  <w:num w:numId="21">
    <w:abstractNumId w:val="11"/>
  </w:num>
  <w:num w:numId="22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6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F46"/>
    <w:rsid w:val="00001531"/>
    <w:rsid w:val="00001DB1"/>
    <w:rsid w:val="00002164"/>
    <w:rsid w:val="000038F1"/>
    <w:rsid w:val="000042EA"/>
    <w:rsid w:val="00004CB5"/>
    <w:rsid w:val="00004DF5"/>
    <w:rsid w:val="0000626C"/>
    <w:rsid w:val="0000755B"/>
    <w:rsid w:val="000118CE"/>
    <w:rsid w:val="0001283D"/>
    <w:rsid w:val="00013815"/>
    <w:rsid w:val="00014BA4"/>
    <w:rsid w:val="0002149B"/>
    <w:rsid w:val="00021D81"/>
    <w:rsid w:val="000243C7"/>
    <w:rsid w:val="0002490B"/>
    <w:rsid w:val="00026A35"/>
    <w:rsid w:val="00027ACD"/>
    <w:rsid w:val="000310E8"/>
    <w:rsid w:val="00031273"/>
    <w:rsid w:val="00031A82"/>
    <w:rsid w:val="00034454"/>
    <w:rsid w:val="00034977"/>
    <w:rsid w:val="00034DE5"/>
    <w:rsid w:val="00035210"/>
    <w:rsid w:val="00035449"/>
    <w:rsid w:val="0003585C"/>
    <w:rsid w:val="00035ADE"/>
    <w:rsid w:val="0003640B"/>
    <w:rsid w:val="00036773"/>
    <w:rsid w:val="00036B29"/>
    <w:rsid w:val="0004083A"/>
    <w:rsid w:val="000410F0"/>
    <w:rsid w:val="00041A77"/>
    <w:rsid w:val="0004239D"/>
    <w:rsid w:val="00042790"/>
    <w:rsid w:val="00042995"/>
    <w:rsid w:val="00043A2D"/>
    <w:rsid w:val="00045DEE"/>
    <w:rsid w:val="00047447"/>
    <w:rsid w:val="00050AF0"/>
    <w:rsid w:val="00050B6A"/>
    <w:rsid w:val="00053D46"/>
    <w:rsid w:val="00057C10"/>
    <w:rsid w:val="00057C3F"/>
    <w:rsid w:val="00060137"/>
    <w:rsid w:val="00061175"/>
    <w:rsid w:val="00061396"/>
    <w:rsid w:val="00062F27"/>
    <w:rsid w:val="00063C53"/>
    <w:rsid w:val="00063C77"/>
    <w:rsid w:val="00065333"/>
    <w:rsid w:val="00066D95"/>
    <w:rsid w:val="000679DC"/>
    <w:rsid w:val="00067E2E"/>
    <w:rsid w:val="00070FB1"/>
    <w:rsid w:val="00071119"/>
    <w:rsid w:val="00071DAC"/>
    <w:rsid w:val="00071E6C"/>
    <w:rsid w:val="00073255"/>
    <w:rsid w:val="000733E3"/>
    <w:rsid w:val="00073A51"/>
    <w:rsid w:val="0007474E"/>
    <w:rsid w:val="00076C53"/>
    <w:rsid w:val="00080BD6"/>
    <w:rsid w:val="0008104F"/>
    <w:rsid w:val="00081921"/>
    <w:rsid w:val="00081C32"/>
    <w:rsid w:val="00082983"/>
    <w:rsid w:val="0008407F"/>
    <w:rsid w:val="00084CF6"/>
    <w:rsid w:val="0008508C"/>
    <w:rsid w:val="00086BF2"/>
    <w:rsid w:val="000879CE"/>
    <w:rsid w:val="000905D9"/>
    <w:rsid w:val="00091BD6"/>
    <w:rsid w:val="000922E1"/>
    <w:rsid w:val="00092CE3"/>
    <w:rsid w:val="00093374"/>
    <w:rsid w:val="00094197"/>
    <w:rsid w:val="000958F8"/>
    <w:rsid w:val="0009790A"/>
    <w:rsid w:val="000A04DF"/>
    <w:rsid w:val="000A115E"/>
    <w:rsid w:val="000A2F9F"/>
    <w:rsid w:val="000A3831"/>
    <w:rsid w:val="000A3934"/>
    <w:rsid w:val="000A4660"/>
    <w:rsid w:val="000A6146"/>
    <w:rsid w:val="000A63A1"/>
    <w:rsid w:val="000A657E"/>
    <w:rsid w:val="000A6998"/>
    <w:rsid w:val="000A7064"/>
    <w:rsid w:val="000B0F32"/>
    <w:rsid w:val="000B2BD0"/>
    <w:rsid w:val="000B30F9"/>
    <w:rsid w:val="000B354D"/>
    <w:rsid w:val="000B36B3"/>
    <w:rsid w:val="000B5671"/>
    <w:rsid w:val="000B6FF3"/>
    <w:rsid w:val="000C4A8B"/>
    <w:rsid w:val="000C5595"/>
    <w:rsid w:val="000C7E3D"/>
    <w:rsid w:val="000D126F"/>
    <w:rsid w:val="000D16CB"/>
    <w:rsid w:val="000D18B0"/>
    <w:rsid w:val="000D3AA6"/>
    <w:rsid w:val="000D4348"/>
    <w:rsid w:val="000D49B5"/>
    <w:rsid w:val="000D7C13"/>
    <w:rsid w:val="000D7D3C"/>
    <w:rsid w:val="000D7EDB"/>
    <w:rsid w:val="000D7F7F"/>
    <w:rsid w:val="000E13DA"/>
    <w:rsid w:val="000E1FC1"/>
    <w:rsid w:val="000E2CD7"/>
    <w:rsid w:val="000E36A0"/>
    <w:rsid w:val="000E46CD"/>
    <w:rsid w:val="000E6BE1"/>
    <w:rsid w:val="000E7A74"/>
    <w:rsid w:val="000F0C8B"/>
    <w:rsid w:val="000F3322"/>
    <w:rsid w:val="000F4EAC"/>
    <w:rsid w:val="00100B20"/>
    <w:rsid w:val="0010179C"/>
    <w:rsid w:val="001059A9"/>
    <w:rsid w:val="001067C2"/>
    <w:rsid w:val="00106906"/>
    <w:rsid w:val="0011010A"/>
    <w:rsid w:val="0011140B"/>
    <w:rsid w:val="00111CB7"/>
    <w:rsid w:val="0011241B"/>
    <w:rsid w:val="00113180"/>
    <w:rsid w:val="00113C25"/>
    <w:rsid w:val="00115E79"/>
    <w:rsid w:val="00116005"/>
    <w:rsid w:val="0011759A"/>
    <w:rsid w:val="00120078"/>
    <w:rsid w:val="0012088A"/>
    <w:rsid w:val="0012174B"/>
    <w:rsid w:val="001228E2"/>
    <w:rsid w:val="00123047"/>
    <w:rsid w:val="0012338F"/>
    <w:rsid w:val="001235A1"/>
    <w:rsid w:val="00123BAB"/>
    <w:rsid w:val="00123D1E"/>
    <w:rsid w:val="001240FD"/>
    <w:rsid w:val="00126546"/>
    <w:rsid w:val="00127512"/>
    <w:rsid w:val="00130300"/>
    <w:rsid w:val="00130E7B"/>
    <w:rsid w:val="00133F18"/>
    <w:rsid w:val="00136261"/>
    <w:rsid w:val="0013768D"/>
    <w:rsid w:val="001378F0"/>
    <w:rsid w:val="00137A9C"/>
    <w:rsid w:val="00137E09"/>
    <w:rsid w:val="0014009E"/>
    <w:rsid w:val="00140332"/>
    <w:rsid w:val="00142271"/>
    <w:rsid w:val="0014274E"/>
    <w:rsid w:val="00142BAA"/>
    <w:rsid w:val="0014477F"/>
    <w:rsid w:val="00145E9B"/>
    <w:rsid w:val="00146485"/>
    <w:rsid w:val="00146994"/>
    <w:rsid w:val="00146E94"/>
    <w:rsid w:val="0014726D"/>
    <w:rsid w:val="00147611"/>
    <w:rsid w:val="001479FC"/>
    <w:rsid w:val="00147C3B"/>
    <w:rsid w:val="001506FC"/>
    <w:rsid w:val="00151096"/>
    <w:rsid w:val="00151CF8"/>
    <w:rsid w:val="00153469"/>
    <w:rsid w:val="0015476E"/>
    <w:rsid w:val="00155834"/>
    <w:rsid w:val="00155A92"/>
    <w:rsid w:val="00156032"/>
    <w:rsid w:val="00157962"/>
    <w:rsid w:val="00160754"/>
    <w:rsid w:val="00160A33"/>
    <w:rsid w:val="00160E3E"/>
    <w:rsid w:val="001613B7"/>
    <w:rsid w:val="00161819"/>
    <w:rsid w:val="0016774C"/>
    <w:rsid w:val="00167BDA"/>
    <w:rsid w:val="00170569"/>
    <w:rsid w:val="00170E7C"/>
    <w:rsid w:val="0017239C"/>
    <w:rsid w:val="0017328E"/>
    <w:rsid w:val="001740DA"/>
    <w:rsid w:val="001760AF"/>
    <w:rsid w:val="001813BE"/>
    <w:rsid w:val="00181A0E"/>
    <w:rsid w:val="00181C0F"/>
    <w:rsid w:val="0018364F"/>
    <w:rsid w:val="00185F0B"/>
    <w:rsid w:val="00185FE5"/>
    <w:rsid w:val="0018703E"/>
    <w:rsid w:val="00191628"/>
    <w:rsid w:val="001938B7"/>
    <w:rsid w:val="001953A4"/>
    <w:rsid w:val="00195C61"/>
    <w:rsid w:val="001962E1"/>
    <w:rsid w:val="00196A35"/>
    <w:rsid w:val="001A0212"/>
    <w:rsid w:val="001A0575"/>
    <w:rsid w:val="001A12B2"/>
    <w:rsid w:val="001A1CCA"/>
    <w:rsid w:val="001A1CED"/>
    <w:rsid w:val="001A25CF"/>
    <w:rsid w:val="001A2849"/>
    <w:rsid w:val="001A6082"/>
    <w:rsid w:val="001A6575"/>
    <w:rsid w:val="001A70D9"/>
    <w:rsid w:val="001B239E"/>
    <w:rsid w:val="001B2FC8"/>
    <w:rsid w:val="001B3151"/>
    <w:rsid w:val="001B3311"/>
    <w:rsid w:val="001B4218"/>
    <w:rsid w:val="001B52E8"/>
    <w:rsid w:val="001B5EEF"/>
    <w:rsid w:val="001B64E1"/>
    <w:rsid w:val="001B71BA"/>
    <w:rsid w:val="001C0596"/>
    <w:rsid w:val="001C0D65"/>
    <w:rsid w:val="001C25C6"/>
    <w:rsid w:val="001C4A23"/>
    <w:rsid w:val="001C4E90"/>
    <w:rsid w:val="001C518E"/>
    <w:rsid w:val="001C5B39"/>
    <w:rsid w:val="001C5CD0"/>
    <w:rsid w:val="001C66D3"/>
    <w:rsid w:val="001C766E"/>
    <w:rsid w:val="001C7D3B"/>
    <w:rsid w:val="001D130F"/>
    <w:rsid w:val="001D1FDE"/>
    <w:rsid w:val="001D391C"/>
    <w:rsid w:val="001D4F9D"/>
    <w:rsid w:val="001D5417"/>
    <w:rsid w:val="001D5B99"/>
    <w:rsid w:val="001D6916"/>
    <w:rsid w:val="001D6FD1"/>
    <w:rsid w:val="001E0515"/>
    <w:rsid w:val="001E2941"/>
    <w:rsid w:val="001E319A"/>
    <w:rsid w:val="001E36CF"/>
    <w:rsid w:val="001E3EEF"/>
    <w:rsid w:val="001E537A"/>
    <w:rsid w:val="001E7399"/>
    <w:rsid w:val="001F02F9"/>
    <w:rsid w:val="001F0F7B"/>
    <w:rsid w:val="001F151B"/>
    <w:rsid w:val="001F15B5"/>
    <w:rsid w:val="001F2043"/>
    <w:rsid w:val="001F3867"/>
    <w:rsid w:val="001F3EDB"/>
    <w:rsid w:val="001F4754"/>
    <w:rsid w:val="001F6644"/>
    <w:rsid w:val="002001AB"/>
    <w:rsid w:val="002017E0"/>
    <w:rsid w:val="00201D29"/>
    <w:rsid w:val="00202EF9"/>
    <w:rsid w:val="00204185"/>
    <w:rsid w:val="00204DE8"/>
    <w:rsid w:val="00205953"/>
    <w:rsid w:val="00211DF8"/>
    <w:rsid w:val="002143BB"/>
    <w:rsid w:val="0021757B"/>
    <w:rsid w:val="00220E3F"/>
    <w:rsid w:val="00221A80"/>
    <w:rsid w:val="00221FEF"/>
    <w:rsid w:val="0022227E"/>
    <w:rsid w:val="002237BC"/>
    <w:rsid w:val="00224890"/>
    <w:rsid w:val="00224B15"/>
    <w:rsid w:val="00225775"/>
    <w:rsid w:val="00227D93"/>
    <w:rsid w:val="00227E9D"/>
    <w:rsid w:val="002300A9"/>
    <w:rsid w:val="00231202"/>
    <w:rsid w:val="002318FF"/>
    <w:rsid w:val="0023256D"/>
    <w:rsid w:val="00232673"/>
    <w:rsid w:val="00232938"/>
    <w:rsid w:val="00232AE8"/>
    <w:rsid w:val="00233806"/>
    <w:rsid w:val="00233DED"/>
    <w:rsid w:val="00233E7F"/>
    <w:rsid w:val="00236AB9"/>
    <w:rsid w:val="0024134E"/>
    <w:rsid w:val="002416BB"/>
    <w:rsid w:val="00243247"/>
    <w:rsid w:val="002432B5"/>
    <w:rsid w:val="00243EE9"/>
    <w:rsid w:val="002447A4"/>
    <w:rsid w:val="00244A4D"/>
    <w:rsid w:val="00246609"/>
    <w:rsid w:val="00246851"/>
    <w:rsid w:val="00247C0C"/>
    <w:rsid w:val="00250842"/>
    <w:rsid w:val="0025281D"/>
    <w:rsid w:val="00254237"/>
    <w:rsid w:val="002542CC"/>
    <w:rsid w:val="002548ED"/>
    <w:rsid w:val="00254E3E"/>
    <w:rsid w:val="00255BE5"/>
    <w:rsid w:val="00255EF8"/>
    <w:rsid w:val="00256695"/>
    <w:rsid w:val="00256C00"/>
    <w:rsid w:val="00260169"/>
    <w:rsid w:val="00260A61"/>
    <w:rsid w:val="00260B1C"/>
    <w:rsid w:val="00260C70"/>
    <w:rsid w:val="002625C9"/>
    <w:rsid w:val="00265938"/>
    <w:rsid w:val="0026690F"/>
    <w:rsid w:val="00267101"/>
    <w:rsid w:val="00267A56"/>
    <w:rsid w:val="00271A16"/>
    <w:rsid w:val="00271A70"/>
    <w:rsid w:val="0027227F"/>
    <w:rsid w:val="002740B3"/>
    <w:rsid w:val="00274372"/>
    <w:rsid w:val="002756CF"/>
    <w:rsid w:val="00275ACF"/>
    <w:rsid w:val="00276012"/>
    <w:rsid w:val="0027632C"/>
    <w:rsid w:val="002807E4"/>
    <w:rsid w:val="00281100"/>
    <w:rsid w:val="0028298C"/>
    <w:rsid w:val="0028352D"/>
    <w:rsid w:val="00283753"/>
    <w:rsid w:val="0028532E"/>
    <w:rsid w:val="00285E7A"/>
    <w:rsid w:val="00287AFB"/>
    <w:rsid w:val="00287C4F"/>
    <w:rsid w:val="00290925"/>
    <w:rsid w:val="00292358"/>
    <w:rsid w:val="0029394D"/>
    <w:rsid w:val="00293EC4"/>
    <w:rsid w:val="00295A41"/>
    <w:rsid w:val="002964D1"/>
    <w:rsid w:val="002A038E"/>
    <w:rsid w:val="002A2262"/>
    <w:rsid w:val="002A40A6"/>
    <w:rsid w:val="002A55F7"/>
    <w:rsid w:val="002A5612"/>
    <w:rsid w:val="002A681D"/>
    <w:rsid w:val="002A76C2"/>
    <w:rsid w:val="002B0289"/>
    <w:rsid w:val="002B227D"/>
    <w:rsid w:val="002B3163"/>
    <w:rsid w:val="002B4671"/>
    <w:rsid w:val="002B4764"/>
    <w:rsid w:val="002B4D6D"/>
    <w:rsid w:val="002B5AE1"/>
    <w:rsid w:val="002B62C6"/>
    <w:rsid w:val="002C00B7"/>
    <w:rsid w:val="002C0376"/>
    <w:rsid w:val="002C03F6"/>
    <w:rsid w:val="002C1DAB"/>
    <w:rsid w:val="002C25A8"/>
    <w:rsid w:val="002C4416"/>
    <w:rsid w:val="002C45E8"/>
    <w:rsid w:val="002C6817"/>
    <w:rsid w:val="002C71DA"/>
    <w:rsid w:val="002C79DA"/>
    <w:rsid w:val="002C7A1B"/>
    <w:rsid w:val="002D0801"/>
    <w:rsid w:val="002D0A0A"/>
    <w:rsid w:val="002D17F0"/>
    <w:rsid w:val="002D1F9F"/>
    <w:rsid w:val="002D4A1C"/>
    <w:rsid w:val="002D4E9E"/>
    <w:rsid w:val="002D4F69"/>
    <w:rsid w:val="002D69F1"/>
    <w:rsid w:val="002D7DFF"/>
    <w:rsid w:val="002E042B"/>
    <w:rsid w:val="002E2DC8"/>
    <w:rsid w:val="002E3101"/>
    <w:rsid w:val="002E4C03"/>
    <w:rsid w:val="002E6230"/>
    <w:rsid w:val="002E6898"/>
    <w:rsid w:val="002F12B4"/>
    <w:rsid w:val="002F51B0"/>
    <w:rsid w:val="002F529A"/>
    <w:rsid w:val="002F6296"/>
    <w:rsid w:val="002F67BA"/>
    <w:rsid w:val="002F7E07"/>
    <w:rsid w:val="00300018"/>
    <w:rsid w:val="003004C4"/>
    <w:rsid w:val="00300B6C"/>
    <w:rsid w:val="00300DBD"/>
    <w:rsid w:val="00301FB2"/>
    <w:rsid w:val="003023F0"/>
    <w:rsid w:val="0030240A"/>
    <w:rsid w:val="0030398A"/>
    <w:rsid w:val="00304913"/>
    <w:rsid w:val="00305784"/>
    <w:rsid w:val="00305A11"/>
    <w:rsid w:val="00305D56"/>
    <w:rsid w:val="00306A53"/>
    <w:rsid w:val="00310759"/>
    <w:rsid w:val="00312CFE"/>
    <w:rsid w:val="0031302F"/>
    <w:rsid w:val="00313C74"/>
    <w:rsid w:val="00314BF9"/>
    <w:rsid w:val="003173FD"/>
    <w:rsid w:val="0031756E"/>
    <w:rsid w:val="00320D6E"/>
    <w:rsid w:val="00323BD5"/>
    <w:rsid w:val="00324810"/>
    <w:rsid w:val="003274DD"/>
    <w:rsid w:val="00330CBE"/>
    <w:rsid w:val="00330EC5"/>
    <w:rsid w:val="0033120D"/>
    <w:rsid w:val="00332B2E"/>
    <w:rsid w:val="00334704"/>
    <w:rsid w:val="00334A50"/>
    <w:rsid w:val="0033503D"/>
    <w:rsid w:val="00335EAA"/>
    <w:rsid w:val="003366B7"/>
    <w:rsid w:val="0033727C"/>
    <w:rsid w:val="003408B8"/>
    <w:rsid w:val="00341C26"/>
    <w:rsid w:val="00341C3C"/>
    <w:rsid w:val="00344B2E"/>
    <w:rsid w:val="00344FE1"/>
    <w:rsid w:val="003458BC"/>
    <w:rsid w:val="0034626A"/>
    <w:rsid w:val="00346CF9"/>
    <w:rsid w:val="003474F1"/>
    <w:rsid w:val="00350F7E"/>
    <w:rsid w:val="00351B85"/>
    <w:rsid w:val="00352097"/>
    <w:rsid w:val="00352D3F"/>
    <w:rsid w:val="00354CA2"/>
    <w:rsid w:val="00354CA3"/>
    <w:rsid w:val="00357C4B"/>
    <w:rsid w:val="00357D43"/>
    <w:rsid w:val="0036022B"/>
    <w:rsid w:val="00360673"/>
    <w:rsid w:val="00362FB8"/>
    <w:rsid w:val="00364518"/>
    <w:rsid w:val="00365034"/>
    <w:rsid w:val="00365873"/>
    <w:rsid w:val="00365BE2"/>
    <w:rsid w:val="00370232"/>
    <w:rsid w:val="00370383"/>
    <w:rsid w:val="00370D75"/>
    <w:rsid w:val="00372A95"/>
    <w:rsid w:val="0037487D"/>
    <w:rsid w:val="0037658F"/>
    <w:rsid w:val="003817D6"/>
    <w:rsid w:val="00382B08"/>
    <w:rsid w:val="0038312E"/>
    <w:rsid w:val="00384F05"/>
    <w:rsid w:val="0038546E"/>
    <w:rsid w:val="00386AA1"/>
    <w:rsid w:val="0039051A"/>
    <w:rsid w:val="003905CA"/>
    <w:rsid w:val="00390C8B"/>
    <w:rsid w:val="003916E0"/>
    <w:rsid w:val="00394882"/>
    <w:rsid w:val="00395069"/>
    <w:rsid w:val="0039546A"/>
    <w:rsid w:val="00395762"/>
    <w:rsid w:val="003961D4"/>
    <w:rsid w:val="003961E2"/>
    <w:rsid w:val="003977D1"/>
    <w:rsid w:val="0039794C"/>
    <w:rsid w:val="00397C6C"/>
    <w:rsid w:val="003A05D0"/>
    <w:rsid w:val="003A09B1"/>
    <w:rsid w:val="003A1A41"/>
    <w:rsid w:val="003A3180"/>
    <w:rsid w:val="003A3D6C"/>
    <w:rsid w:val="003A4173"/>
    <w:rsid w:val="003A53DC"/>
    <w:rsid w:val="003A58D7"/>
    <w:rsid w:val="003A5CE2"/>
    <w:rsid w:val="003A6275"/>
    <w:rsid w:val="003B0541"/>
    <w:rsid w:val="003B0FDA"/>
    <w:rsid w:val="003B1F7C"/>
    <w:rsid w:val="003B20B2"/>
    <w:rsid w:val="003B22C4"/>
    <w:rsid w:val="003B25E6"/>
    <w:rsid w:val="003B30E7"/>
    <w:rsid w:val="003B479B"/>
    <w:rsid w:val="003B6DDB"/>
    <w:rsid w:val="003B6FF4"/>
    <w:rsid w:val="003B7FB9"/>
    <w:rsid w:val="003C1634"/>
    <w:rsid w:val="003C2480"/>
    <w:rsid w:val="003C2918"/>
    <w:rsid w:val="003C2C76"/>
    <w:rsid w:val="003C50DF"/>
    <w:rsid w:val="003C72C1"/>
    <w:rsid w:val="003C79F8"/>
    <w:rsid w:val="003D10DB"/>
    <w:rsid w:val="003D11B5"/>
    <w:rsid w:val="003D4590"/>
    <w:rsid w:val="003D67E4"/>
    <w:rsid w:val="003D6AD5"/>
    <w:rsid w:val="003D6AF4"/>
    <w:rsid w:val="003D70A8"/>
    <w:rsid w:val="003E0D13"/>
    <w:rsid w:val="003E20E5"/>
    <w:rsid w:val="003E5074"/>
    <w:rsid w:val="003E635D"/>
    <w:rsid w:val="003E6CF9"/>
    <w:rsid w:val="003E7169"/>
    <w:rsid w:val="003F1876"/>
    <w:rsid w:val="003F193C"/>
    <w:rsid w:val="003F19B2"/>
    <w:rsid w:val="003F1A65"/>
    <w:rsid w:val="003F1BFD"/>
    <w:rsid w:val="003F2E15"/>
    <w:rsid w:val="003F2E17"/>
    <w:rsid w:val="003F303F"/>
    <w:rsid w:val="003F32C5"/>
    <w:rsid w:val="003F395C"/>
    <w:rsid w:val="003F396D"/>
    <w:rsid w:val="003F4A7D"/>
    <w:rsid w:val="003F5C88"/>
    <w:rsid w:val="003F60B6"/>
    <w:rsid w:val="003F6534"/>
    <w:rsid w:val="003F7701"/>
    <w:rsid w:val="003F7E5C"/>
    <w:rsid w:val="00401AAD"/>
    <w:rsid w:val="004021BF"/>
    <w:rsid w:val="00403706"/>
    <w:rsid w:val="00404731"/>
    <w:rsid w:val="004067D9"/>
    <w:rsid w:val="00410004"/>
    <w:rsid w:val="00410C76"/>
    <w:rsid w:val="004117F0"/>
    <w:rsid w:val="00411EC4"/>
    <w:rsid w:val="00413AAC"/>
    <w:rsid w:val="00414A4F"/>
    <w:rsid w:val="00415007"/>
    <w:rsid w:val="00415068"/>
    <w:rsid w:val="004154E2"/>
    <w:rsid w:val="00415A53"/>
    <w:rsid w:val="00415B74"/>
    <w:rsid w:val="00420204"/>
    <w:rsid w:val="00420584"/>
    <w:rsid w:val="004209E3"/>
    <w:rsid w:val="00420BA3"/>
    <w:rsid w:val="00421CB1"/>
    <w:rsid w:val="00422096"/>
    <w:rsid w:val="00423CB6"/>
    <w:rsid w:val="00424626"/>
    <w:rsid w:val="00425C4C"/>
    <w:rsid w:val="004263AF"/>
    <w:rsid w:val="00426781"/>
    <w:rsid w:val="00427797"/>
    <w:rsid w:val="004277C2"/>
    <w:rsid w:val="00430715"/>
    <w:rsid w:val="00430D26"/>
    <w:rsid w:val="00430D92"/>
    <w:rsid w:val="0043189D"/>
    <w:rsid w:val="0043295D"/>
    <w:rsid w:val="00434682"/>
    <w:rsid w:val="004353C7"/>
    <w:rsid w:val="00435863"/>
    <w:rsid w:val="00437CD7"/>
    <w:rsid w:val="0044021A"/>
    <w:rsid w:val="00442415"/>
    <w:rsid w:val="004426D8"/>
    <w:rsid w:val="0044271D"/>
    <w:rsid w:val="0044425D"/>
    <w:rsid w:val="004444D2"/>
    <w:rsid w:val="004445AF"/>
    <w:rsid w:val="00444759"/>
    <w:rsid w:val="00445466"/>
    <w:rsid w:val="00446A8D"/>
    <w:rsid w:val="00447C54"/>
    <w:rsid w:val="004508C9"/>
    <w:rsid w:val="0045118D"/>
    <w:rsid w:val="00452161"/>
    <w:rsid w:val="0045386D"/>
    <w:rsid w:val="004538DE"/>
    <w:rsid w:val="0045438C"/>
    <w:rsid w:val="00455172"/>
    <w:rsid w:val="004555DB"/>
    <w:rsid w:val="00456968"/>
    <w:rsid w:val="00457C6C"/>
    <w:rsid w:val="004609DF"/>
    <w:rsid w:val="0046157A"/>
    <w:rsid w:val="00461CBD"/>
    <w:rsid w:val="00461F68"/>
    <w:rsid w:val="004646C1"/>
    <w:rsid w:val="00464DE7"/>
    <w:rsid w:val="0046511F"/>
    <w:rsid w:val="00465618"/>
    <w:rsid w:val="00465718"/>
    <w:rsid w:val="0046633C"/>
    <w:rsid w:val="00466F60"/>
    <w:rsid w:val="00466FB8"/>
    <w:rsid w:val="004670ED"/>
    <w:rsid w:val="0047192F"/>
    <w:rsid w:val="00477ACD"/>
    <w:rsid w:val="00477FDD"/>
    <w:rsid w:val="00483169"/>
    <w:rsid w:val="0048432C"/>
    <w:rsid w:val="004847C7"/>
    <w:rsid w:val="00487114"/>
    <w:rsid w:val="00490641"/>
    <w:rsid w:val="00490888"/>
    <w:rsid w:val="00492ABB"/>
    <w:rsid w:val="0049372F"/>
    <w:rsid w:val="00493D87"/>
    <w:rsid w:val="00493E5E"/>
    <w:rsid w:val="00493F84"/>
    <w:rsid w:val="00497142"/>
    <w:rsid w:val="00497F3D"/>
    <w:rsid w:val="004A1F76"/>
    <w:rsid w:val="004A396A"/>
    <w:rsid w:val="004A4EFC"/>
    <w:rsid w:val="004A540F"/>
    <w:rsid w:val="004B2AE1"/>
    <w:rsid w:val="004B301A"/>
    <w:rsid w:val="004B41F5"/>
    <w:rsid w:val="004B4746"/>
    <w:rsid w:val="004B49BF"/>
    <w:rsid w:val="004B58A9"/>
    <w:rsid w:val="004B5F64"/>
    <w:rsid w:val="004B676B"/>
    <w:rsid w:val="004B6F80"/>
    <w:rsid w:val="004B7220"/>
    <w:rsid w:val="004C0852"/>
    <w:rsid w:val="004C25DE"/>
    <w:rsid w:val="004C3506"/>
    <w:rsid w:val="004C473A"/>
    <w:rsid w:val="004D01F8"/>
    <w:rsid w:val="004D2F1C"/>
    <w:rsid w:val="004D37C0"/>
    <w:rsid w:val="004D3C6D"/>
    <w:rsid w:val="004D48DE"/>
    <w:rsid w:val="004D7DB5"/>
    <w:rsid w:val="004D7F6B"/>
    <w:rsid w:val="004E0091"/>
    <w:rsid w:val="004E0501"/>
    <w:rsid w:val="004E12FB"/>
    <w:rsid w:val="004E1480"/>
    <w:rsid w:val="004E20C4"/>
    <w:rsid w:val="004E2132"/>
    <w:rsid w:val="004E2F28"/>
    <w:rsid w:val="004E30A3"/>
    <w:rsid w:val="004E41B8"/>
    <w:rsid w:val="004E4ECF"/>
    <w:rsid w:val="004E63B9"/>
    <w:rsid w:val="004E6E68"/>
    <w:rsid w:val="004E76A2"/>
    <w:rsid w:val="004F0986"/>
    <w:rsid w:val="004F0BF0"/>
    <w:rsid w:val="004F0CE9"/>
    <w:rsid w:val="004F16E4"/>
    <w:rsid w:val="004F312C"/>
    <w:rsid w:val="004F561A"/>
    <w:rsid w:val="004F5D9D"/>
    <w:rsid w:val="004F66DA"/>
    <w:rsid w:val="0050006A"/>
    <w:rsid w:val="00501559"/>
    <w:rsid w:val="0050298D"/>
    <w:rsid w:val="00503A35"/>
    <w:rsid w:val="00504E98"/>
    <w:rsid w:val="005051F9"/>
    <w:rsid w:val="005059FA"/>
    <w:rsid w:val="00510133"/>
    <w:rsid w:val="0051082C"/>
    <w:rsid w:val="005109A2"/>
    <w:rsid w:val="00511604"/>
    <w:rsid w:val="005126D7"/>
    <w:rsid w:val="00513E0E"/>
    <w:rsid w:val="00516FAF"/>
    <w:rsid w:val="005178E7"/>
    <w:rsid w:val="00520EB8"/>
    <w:rsid w:val="0052187F"/>
    <w:rsid w:val="00523032"/>
    <w:rsid w:val="00523512"/>
    <w:rsid w:val="005249EA"/>
    <w:rsid w:val="00525518"/>
    <w:rsid w:val="00525ED2"/>
    <w:rsid w:val="0052622A"/>
    <w:rsid w:val="00527256"/>
    <w:rsid w:val="00527834"/>
    <w:rsid w:val="005279BF"/>
    <w:rsid w:val="00530CBA"/>
    <w:rsid w:val="00530FD7"/>
    <w:rsid w:val="0053201F"/>
    <w:rsid w:val="005328F7"/>
    <w:rsid w:val="00532EE8"/>
    <w:rsid w:val="00533651"/>
    <w:rsid w:val="00533AEC"/>
    <w:rsid w:val="0053586F"/>
    <w:rsid w:val="005360A1"/>
    <w:rsid w:val="005373EE"/>
    <w:rsid w:val="0054058C"/>
    <w:rsid w:val="005407D8"/>
    <w:rsid w:val="00541EB2"/>
    <w:rsid w:val="00541FF7"/>
    <w:rsid w:val="00542460"/>
    <w:rsid w:val="00542DBB"/>
    <w:rsid w:val="0054304F"/>
    <w:rsid w:val="0054449E"/>
    <w:rsid w:val="00545747"/>
    <w:rsid w:val="00545C5D"/>
    <w:rsid w:val="005465A3"/>
    <w:rsid w:val="00546703"/>
    <w:rsid w:val="0054724B"/>
    <w:rsid w:val="00547D92"/>
    <w:rsid w:val="00550B54"/>
    <w:rsid w:val="00552E77"/>
    <w:rsid w:val="00554B14"/>
    <w:rsid w:val="005558D8"/>
    <w:rsid w:val="00557B3D"/>
    <w:rsid w:val="00560305"/>
    <w:rsid w:val="005616DD"/>
    <w:rsid w:val="0056292D"/>
    <w:rsid w:val="00562E95"/>
    <w:rsid w:val="00563D55"/>
    <w:rsid w:val="005657DB"/>
    <w:rsid w:val="00565BA0"/>
    <w:rsid w:val="00567503"/>
    <w:rsid w:val="005700C8"/>
    <w:rsid w:val="005702E5"/>
    <w:rsid w:val="00570782"/>
    <w:rsid w:val="0057125D"/>
    <w:rsid w:val="005713E9"/>
    <w:rsid w:val="00571889"/>
    <w:rsid w:val="005745C2"/>
    <w:rsid w:val="005766BD"/>
    <w:rsid w:val="0057765D"/>
    <w:rsid w:val="00580089"/>
    <w:rsid w:val="00581928"/>
    <w:rsid w:val="00581E53"/>
    <w:rsid w:val="00583A61"/>
    <w:rsid w:val="00583D8E"/>
    <w:rsid w:val="0058451F"/>
    <w:rsid w:val="00584E14"/>
    <w:rsid w:val="00585653"/>
    <w:rsid w:val="00585665"/>
    <w:rsid w:val="0058652A"/>
    <w:rsid w:val="005879D9"/>
    <w:rsid w:val="0059065B"/>
    <w:rsid w:val="005908FB"/>
    <w:rsid w:val="00593912"/>
    <w:rsid w:val="00595730"/>
    <w:rsid w:val="00595AD7"/>
    <w:rsid w:val="005961C2"/>
    <w:rsid w:val="005A02B2"/>
    <w:rsid w:val="005A36A1"/>
    <w:rsid w:val="005A3DF0"/>
    <w:rsid w:val="005A4056"/>
    <w:rsid w:val="005A488D"/>
    <w:rsid w:val="005A589E"/>
    <w:rsid w:val="005A7E40"/>
    <w:rsid w:val="005B258B"/>
    <w:rsid w:val="005B2719"/>
    <w:rsid w:val="005B3FC4"/>
    <w:rsid w:val="005B4136"/>
    <w:rsid w:val="005B476F"/>
    <w:rsid w:val="005B4EDE"/>
    <w:rsid w:val="005B55D8"/>
    <w:rsid w:val="005B5B38"/>
    <w:rsid w:val="005B5D2B"/>
    <w:rsid w:val="005C0808"/>
    <w:rsid w:val="005C0B24"/>
    <w:rsid w:val="005C1939"/>
    <w:rsid w:val="005C2CCC"/>
    <w:rsid w:val="005C2DCB"/>
    <w:rsid w:val="005C3677"/>
    <w:rsid w:val="005C4463"/>
    <w:rsid w:val="005C54F7"/>
    <w:rsid w:val="005C5D14"/>
    <w:rsid w:val="005C7519"/>
    <w:rsid w:val="005C7BA5"/>
    <w:rsid w:val="005C7E76"/>
    <w:rsid w:val="005D0A8D"/>
    <w:rsid w:val="005D11CF"/>
    <w:rsid w:val="005D2219"/>
    <w:rsid w:val="005D25B8"/>
    <w:rsid w:val="005D4915"/>
    <w:rsid w:val="005D4DA5"/>
    <w:rsid w:val="005D56EE"/>
    <w:rsid w:val="005D5829"/>
    <w:rsid w:val="005D5DEB"/>
    <w:rsid w:val="005D6321"/>
    <w:rsid w:val="005D6BBB"/>
    <w:rsid w:val="005D6D53"/>
    <w:rsid w:val="005E0463"/>
    <w:rsid w:val="005E0BA3"/>
    <w:rsid w:val="005E1F79"/>
    <w:rsid w:val="005E20EF"/>
    <w:rsid w:val="005E3B7E"/>
    <w:rsid w:val="005E3CCA"/>
    <w:rsid w:val="005E446B"/>
    <w:rsid w:val="005E7425"/>
    <w:rsid w:val="005F026A"/>
    <w:rsid w:val="005F13E4"/>
    <w:rsid w:val="005F1DCE"/>
    <w:rsid w:val="005F2D2E"/>
    <w:rsid w:val="005F38A9"/>
    <w:rsid w:val="005F507E"/>
    <w:rsid w:val="005F54D5"/>
    <w:rsid w:val="005F6319"/>
    <w:rsid w:val="005F7996"/>
    <w:rsid w:val="005F7F76"/>
    <w:rsid w:val="005F7FC6"/>
    <w:rsid w:val="00601346"/>
    <w:rsid w:val="006013B5"/>
    <w:rsid w:val="00602388"/>
    <w:rsid w:val="006040F9"/>
    <w:rsid w:val="006101B0"/>
    <w:rsid w:val="00610DB8"/>
    <w:rsid w:val="00611ED6"/>
    <w:rsid w:val="00613BCB"/>
    <w:rsid w:val="00614AA8"/>
    <w:rsid w:val="00614C2C"/>
    <w:rsid w:val="00614D3F"/>
    <w:rsid w:val="00614E9D"/>
    <w:rsid w:val="00615538"/>
    <w:rsid w:val="00615C4D"/>
    <w:rsid w:val="0061672F"/>
    <w:rsid w:val="00616AAE"/>
    <w:rsid w:val="00617AEF"/>
    <w:rsid w:val="0062090F"/>
    <w:rsid w:val="00620F73"/>
    <w:rsid w:val="006226FB"/>
    <w:rsid w:val="006232DD"/>
    <w:rsid w:val="00633B89"/>
    <w:rsid w:val="00635586"/>
    <w:rsid w:val="0063641D"/>
    <w:rsid w:val="006365E4"/>
    <w:rsid w:val="00636DD5"/>
    <w:rsid w:val="00637127"/>
    <w:rsid w:val="00637754"/>
    <w:rsid w:val="00637883"/>
    <w:rsid w:val="00641A58"/>
    <w:rsid w:val="0064234C"/>
    <w:rsid w:val="00644CE5"/>
    <w:rsid w:val="00645530"/>
    <w:rsid w:val="006464FC"/>
    <w:rsid w:val="006465BC"/>
    <w:rsid w:val="006466DD"/>
    <w:rsid w:val="00646F92"/>
    <w:rsid w:val="006510FA"/>
    <w:rsid w:val="00651113"/>
    <w:rsid w:val="0065202C"/>
    <w:rsid w:val="00653AF8"/>
    <w:rsid w:val="006541AF"/>
    <w:rsid w:val="006549C8"/>
    <w:rsid w:val="00655361"/>
    <w:rsid w:val="00657101"/>
    <w:rsid w:val="00657E4F"/>
    <w:rsid w:val="00660573"/>
    <w:rsid w:val="006606C5"/>
    <w:rsid w:val="00664E41"/>
    <w:rsid w:val="006655A5"/>
    <w:rsid w:val="006706E1"/>
    <w:rsid w:val="00672D07"/>
    <w:rsid w:val="006761C6"/>
    <w:rsid w:val="0068059D"/>
    <w:rsid w:val="0068125C"/>
    <w:rsid w:val="00681618"/>
    <w:rsid w:val="006823A8"/>
    <w:rsid w:val="006823D2"/>
    <w:rsid w:val="00684D8F"/>
    <w:rsid w:val="006853F8"/>
    <w:rsid w:val="00692A1A"/>
    <w:rsid w:val="0069494D"/>
    <w:rsid w:val="00694FFA"/>
    <w:rsid w:val="0069513F"/>
    <w:rsid w:val="00696A3D"/>
    <w:rsid w:val="006A1466"/>
    <w:rsid w:val="006A2617"/>
    <w:rsid w:val="006A2B32"/>
    <w:rsid w:val="006A2F9A"/>
    <w:rsid w:val="006A5404"/>
    <w:rsid w:val="006A7530"/>
    <w:rsid w:val="006A7538"/>
    <w:rsid w:val="006B0094"/>
    <w:rsid w:val="006B18B3"/>
    <w:rsid w:val="006B2AE0"/>
    <w:rsid w:val="006B3483"/>
    <w:rsid w:val="006B3B3B"/>
    <w:rsid w:val="006B3EB7"/>
    <w:rsid w:val="006B5251"/>
    <w:rsid w:val="006B74A3"/>
    <w:rsid w:val="006C03D5"/>
    <w:rsid w:val="006C0A7F"/>
    <w:rsid w:val="006C11F9"/>
    <w:rsid w:val="006C492E"/>
    <w:rsid w:val="006C64B0"/>
    <w:rsid w:val="006C6712"/>
    <w:rsid w:val="006C72E8"/>
    <w:rsid w:val="006D1EAD"/>
    <w:rsid w:val="006D251D"/>
    <w:rsid w:val="006D3CDC"/>
    <w:rsid w:val="006D3E19"/>
    <w:rsid w:val="006D782A"/>
    <w:rsid w:val="006E0B26"/>
    <w:rsid w:val="006E1183"/>
    <w:rsid w:val="006E13E8"/>
    <w:rsid w:val="006E1815"/>
    <w:rsid w:val="006E3921"/>
    <w:rsid w:val="006E41DB"/>
    <w:rsid w:val="006E53A7"/>
    <w:rsid w:val="006E749C"/>
    <w:rsid w:val="006F0552"/>
    <w:rsid w:val="006F098B"/>
    <w:rsid w:val="006F0EB9"/>
    <w:rsid w:val="006F159B"/>
    <w:rsid w:val="006F1BAC"/>
    <w:rsid w:val="006F40C7"/>
    <w:rsid w:val="006F4E31"/>
    <w:rsid w:val="006F6CEA"/>
    <w:rsid w:val="006F7448"/>
    <w:rsid w:val="006F7518"/>
    <w:rsid w:val="006F7CF6"/>
    <w:rsid w:val="007001A6"/>
    <w:rsid w:val="00702CC1"/>
    <w:rsid w:val="007037B9"/>
    <w:rsid w:val="00703859"/>
    <w:rsid w:val="00704D31"/>
    <w:rsid w:val="0070591D"/>
    <w:rsid w:val="00710B09"/>
    <w:rsid w:val="00711532"/>
    <w:rsid w:val="00716A3C"/>
    <w:rsid w:val="0072032D"/>
    <w:rsid w:val="00720B47"/>
    <w:rsid w:val="0072190F"/>
    <w:rsid w:val="007229B6"/>
    <w:rsid w:val="00723811"/>
    <w:rsid w:val="00723900"/>
    <w:rsid w:val="0072549A"/>
    <w:rsid w:val="00725C85"/>
    <w:rsid w:val="00725E05"/>
    <w:rsid w:val="007269C5"/>
    <w:rsid w:val="0072734D"/>
    <w:rsid w:val="00731551"/>
    <w:rsid w:val="0073427F"/>
    <w:rsid w:val="007346B2"/>
    <w:rsid w:val="00734D79"/>
    <w:rsid w:val="007358CB"/>
    <w:rsid w:val="00735C5C"/>
    <w:rsid w:val="00735FEC"/>
    <w:rsid w:val="007371AD"/>
    <w:rsid w:val="00737899"/>
    <w:rsid w:val="0074073F"/>
    <w:rsid w:val="00740B30"/>
    <w:rsid w:val="00741239"/>
    <w:rsid w:val="007418A0"/>
    <w:rsid w:val="00741FC0"/>
    <w:rsid w:val="00742F3D"/>
    <w:rsid w:val="00743799"/>
    <w:rsid w:val="007445D5"/>
    <w:rsid w:val="00746B27"/>
    <w:rsid w:val="00746E5F"/>
    <w:rsid w:val="00750EE2"/>
    <w:rsid w:val="007517B0"/>
    <w:rsid w:val="00751CB1"/>
    <w:rsid w:val="00752779"/>
    <w:rsid w:val="007538D2"/>
    <w:rsid w:val="007540E1"/>
    <w:rsid w:val="0075759B"/>
    <w:rsid w:val="007576F1"/>
    <w:rsid w:val="00757FB5"/>
    <w:rsid w:val="00760C18"/>
    <w:rsid w:val="0076109F"/>
    <w:rsid w:val="007613D7"/>
    <w:rsid w:val="00761E89"/>
    <w:rsid w:val="0076393C"/>
    <w:rsid w:val="0076425F"/>
    <w:rsid w:val="00765EEB"/>
    <w:rsid w:val="00766F33"/>
    <w:rsid w:val="007679CF"/>
    <w:rsid w:val="00767BF4"/>
    <w:rsid w:val="00771FB1"/>
    <w:rsid w:val="00772A89"/>
    <w:rsid w:val="007730F8"/>
    <w:rsid w:val="007733FA"/>
    <w:rsid w:val="007736C5"/>
    <w:rsid w:val="00773AA4"/>
    <w:rsid w:val="00774239"/>
    <w:rsid w:val="007743FB"/>
    <w:rsid w:val="00774C8F"/>
    <w:rsid w:val="00775CFE"/>
    <w:rsid w:val="00776B05"/>
    <w:rsid w:val="00776C10"/>
    <w:rsid w:val="00776F65"/>
    <w:rsid w:val="00781B62"/>
    <w:rsid w:val="0078265B"/>
    <w:rsid w:val="0078448F"/>
    <w:rsid w:val="00784BF4"/>
    <w:rsid w:val="007878AE"/>
    <w:rsid w:val="007879B2"/>
    <w:rsid w:val="007903F1"/>
    <w:rsid w:val="00790A1B"/>
    <w:rsid w:val="007946C8"/>
    <w:rsid w:val="007970F1"/>
    <w:rsid w:val="00797169"/>
    <w:rsid w:val="007A41EE"/>
    <w:rsid w:val="007A4B26"/>
    <w:rsid w:val="007A4F2C"/>
    <w:rsid w:val="007A592A"/>
    <w:rsid w:val="007A5CEC"/>
    <w:rsid w:val="007A5F5E"/>
    <w:rsid w:val="007A6927"/>
    <w:rsid w:val="007A70AF"/>
    <w:rsid w:val="007A7ADF"/>
    <w:rsid w:val="007B248A"/>
    <w:rsid w:val="007B2D50"/>
    <w:rsid w:val="007B377D"/>
    <w:rsid w:val="007B4448"/>
    <w:rsid w:val="007B78FE"/>
    <w:rsid w:val="007C0CCE"/>
    <w:rsid w:val="007C2967"/>
    <w:rsid w:val="007C4CCB"/>
    <w:rsid w:val="007C65AD"/>
    <w:rsid w:val="007D0171"/>
    <w:rsid w:val="007D01C3"/>
    <w:rsid w:val="007D1E56"/>
    <w:rsid w:val="007D3A3A"/>
    <w:rsid w:val="007D3F54"/>
    <w:rsid w:val="007D4174"/>
    <w:rsid w:val="007D4419"/>
    <w:rsid w:val="007D5318"/>
    <w:rsid w:val="007D5862"/>
    <w:rsid w:val="007D5C2A"/>
    <w:rsid w:val="007D61F0"/>
    <w:rsid w:val="007D6BCB"/>
    <w:rsid w:val="007D722B"/>
    <w:rsid w:val="007D79E8"/>
    <w:rsid w:val="007E0B3A"/>
    <w:rsid w:val="007E268F"/>
    <w:rsid w:val="007E3A44"/>
    <w:rsid w:val="007E49C1"/>
    <w:rsid w:val="007E7906"/>
    <w:rsid w:val="007E7A13"/>
    <w:rsid w:val="007F2550"/>
    <w:rsid w:val="007F5927"/>
    <w:rsid w:val="007F71F2"/>
    <w:rsid w:val="007F7AE0"/>
    <w:rsid w:val="0080083E"/>
    <w:rsid w:val="008011B8"/>
    <w:rsid w:val="0080220B"/>
    <w:rsid w:val="008050D5"/>
    <w:rsid w:val="00805468"/>
    <w:rsid w:val="008058A3"/>
    <w:rsid w:val="008061F1"/>
    <w:rsid w:val="0080775F"/>
    <w:rsid w:val="008104FE"/>
    <w:rsid w:val="00811DF0"/>
    <w:rsid w:val="00814067"/>
    <w:rsid w:val="008142FC"/>
    <w:rsid w:val="00814429"/>
    <w:rsid w:val="00815A91"/>
    <w:rsid w:val="00816CDA"/>
    <w:rsid w:val="008175E9"/>
    <w:rsid w:val="00820864"/>
    <w:rsid w:val="00822434"/>
    <w:rsid w:val="00823531"/>
    <w:rsid w:val="00823D85"/>
    <w:rsid w:val="0082488E"/>
    <w:rsid w:val="00826180"/>
    <w:rsid w:val="00826191"/>
    <w:rsid w:val="008263F8"/>
    <w:rsid w:val="00826BE6"/>
    <w:rsid w:val="008278F7"/>
    <w:rsid w:val="00830241"/>
    <w:rsid w:val="00830E8D"/>
    <w:rsid w:val="00832AE4"/>
    <w:rsid w:val="00833AB8"/>
    <w:rsid w:val="00834B87"/>
    <w:rsid w:val="00834FCA"/>
    <w:rsid w:val="00836227"/>
    <w:rsid w:val="00836504"/>
    <w:rsid w:val="008371F8"/>
    <w:rsid w:val="0083760B"/>
    <w:rsid w:val="00837DD0"/>
    <w:rsid w:val="008404CE"/>
    <w:rsid w:val="0084062F"/>
    <w:rsid w:val="00841232"/>
    <w:rsid w:val="00842598"/>
    <w:rsid w:val="008434AE"/>
    <w:rsid w:val="00846333"/>
    <w:rsid w:val="00846A2F"/>
    <w:rsid w:val="00847E2A"/>
    <w:rsid w:val="00847E42"/>
    <w:rsid w:val="00847E4E"/>
    <w:rsid w:val="0085051A"/>
    <w:rsid w:val="00850EEE"/>
    <w:rsid w:val="00851544"/>
    <w:rsid w:val="00851DB0"/>
    <w:rsid w:val="00857732"/>
    <w:rsid w:val="00860415"/>
    <w:rsid w:val="00860668"/>
    <w:rsid w:val="00863A29"/>
    <w:rsid w:val="008652FC"/>
    <w:rsid w:val="00865BA7"/>
    <w:rsid w:val="00866A61"/>
    <w:rsid w:val="00867061"/>
    <w:rsid w:val="00867D5C"/>
    <w:rsid w:val="00872B0D"/>
    <w:rsid w:val="008737C3"/>
    <w:rsid w:val="00873990"/>
    <w:rsid w:val="00873A4F"/>
    <w:rsid w:val="008747BA"/>
    <w:rsid w:val="008748AE"/>
    <w:rsid w:val="0087668E"/>
    <w:rsid w:val="00876DE9"/>
    <w:rsid w:val="00883024"/>
    <w:rsid w:val="0088343E"/>
    <w:rsid w:val="0088368C"/>
    <w:rsid w:val="008842FF"/>
    <w:rsid w:val="0088534C"/>
    <w:rsid w:val="00885921"/>
    <w:rsid w:val="00886040"/>
    <w:rsid w:val="00886ECC"/>
    <w:rsid w:val="0088778E"/>
    <w:rsid w:val="0089078E"/>
    <w:rsid w:val="00890DFE"/>
    <w:rsid w:val="00891126"/>
    <w:rsid w:val="00891492"/>
    <w:rsid w:val="00891747"/>
    <w:rsid w:val="00891A55"/>
    <w:rsid w:val="00892435"/>
    <w:rsid w:val="00893604"/>
    <w:rsid w:val="00893B5F"/>
    <w:rsid w:val="008A0901"/>
    <w:rsid w:val="008A2A09"/>
    <w:rsid w:val="008A4DE2"/>
    <w:rsid w:val="008A4EA8"/>
    <w:rsid w:val="008A56D2"/>
    <w:rsid w:val="008A5EC6"/>
    <w:rsid w:val="008A60EC"/>
    <w:rsid w:val="008A65EB"/>
    <w:rsid w:val="008A76F5"/>
    <w:rsid w:val="008B1EDE"/>
    <w:rsid w:val="008B23A9"/>
    <w:rsid w:val="008B243E"/>
    <w:rsid w:val="008B2C50"/>
    <w:rsid w:val="008B3B0E"/>
    <w:rsid w:val="008B59D9"/>
    <w:rsid w:val="008B5A8D"/>
    <w:rsid w:val="008B6179"/>
    <w:rsid w:val="008B62D7"/>
    <w:rsid w:val="008C0479"/>
    <w:rsid w:val="008C05DC"/>
    <w:rsid w:val="008C43FB"/>
    <w:rsid w:val="008C5444"/>
    <w:rsid w:val="008D020B"/>
    <w:rsid w:val="008D0403"/>
    <w:rsid w:val="008D1DF6"/>
    <w:rsid w:val="008D253E"/>
    <w:rsid w:val="008E0D66"/>
    <w:rsid w:val="008E0F87"/>
    <w:rsid w:val="008E22C8"/>
    <w:rsid w:val="008E4199"/>
    <w:rsid w:val="008E6319"/>
    <w:rsid w:val="008E6861"/>
    <w:rsid w:val="008E78FC"/>
    <w:rsid w:val="008F23DA"/>
    <w:rsid w:val="008F25AB"/>
    <w:rsid w:val="008F6279"/>
    <w:rsid w:val="008F6612"/>
    <w:rsid w:val="008F6930"/>
    <w:rsid w:val="008F6EF8"/>
    <w:rsid w:val="008F722A"/>
    <w:rsid w:val="00901205"/>
    <w:rsid w:val="00902516"/>
    <w:rsid w:val="009027DC"/>
    <w:rsid w:val="009028FE"/>
    <w:rsid w:val="009034A6"/>
    <w:rsid w:val="00904D8B"/>
    <w:rsid w:val="0090585D"/>
    <w:rsid w:val="00905A94"/>
    <w:rsid w:val="009061B5"/>
    <w:rsid w:val="0090711B"/>
    <w:rsid w:val="009074AB"/>
    <w:rsid w:val="009100EF"/>
    <w:rsid w:val="009115B2"/>
    <w:rsid w:val="00913F31"/>
    <w:rsid w:val="0091410A"/>
    <w:rsid w:val="009142EE"/>
    <w:rsid w:val="0091491D"/>
    <w:rsid w:val="00914B96"/>
    <w:rsid w:val="00914FB0"/>
    <w:rsid w:val="00915219"/>
    <w:rsid w:val="00915E64"/>
    <w:rsid w:val="009162C1"/>
    <w:rsid w:val="0091656E"/>
    <w:rsid w:val="0091662C"/>
    <w:rsid w:val="009169A5"/>
    <w:rsid w:val="00917896"/>
    <w:rsid w:val="009216A5"/>
    <w:rsid w:val="00921806"/>
    <w:rsid w:val="009218F8"/>
    <w:rsid w:val="00921C4E"/>
    <w:rsid w:val="00922676"/>
    <w:rsid w:val="00922D06"/>
    <w:rsid w:val="00922D3F"/>
    <w:rsid w:val="009242E3"/>
    <w:rsid w:val="0092482A"/>
    <w:rsid w:val="00924B0D"/>
    <w:rsid w:val="00926F00"/>
    <w:rsid w:val="0092762E"/>
    <w:rsid w:val="00930859"/>
    <w:rsid w:val="00932089"/>
    <w:rsid w:val="00934109"/>
    <w:rsid w:val="009362CA"/>
    <w:rsid w:val="009378E3"/>
    <w:rsid w:val="00942FDC"/>
    <w:rsid w:val="009430DC"/>
    <w:rsid w:val="00943388"/>
    <w:rsid w:val="009435DB"/>
    <w:rsid w:val="00943764"/>
    <w:rsid w:val="009444A0"/>
    <w:rsid w:val="0094708F"/>
    <w:rsid w:val="00947594"/>
    <w:rsid w:val="00951828"/>
    <w:rsid w:val="00951D99"/>
    <w:rsid w:val="009528F7"/>
    <w:rsid w:val="00952BFF"/>
    <w:rsid w:val="00953E81"/>
    <w:rsid w:val="00954CF0"/>
    <w:rsid w:val="00954F06"/>
    <w:rsid w:val="00956774"/>
    <w:rsid w:val="00956825"/>
    <w:rsid w:val="00956DEF"/>
    <w:rsid w:val="009600C5"/>
    <w:rsid w:val="009624B0"/>
    <w:rsid w:val="00962F3F"/>
    <w:rsid w:val="00964900"/>
    <w:rsid w:val="00964D2A"/>
    <w:rsid w:val="00970D65"/>
    <w:rsid w:val="00971E0B"/>
    <w:rsid w:val="0097270B"/>
    <w:rsid w:val="0097378E"/>
    <w:rsid w:val="0097535B"/>
    <w:rsid w:val="009762CA"/>
    <w:rsid w:val="00981124"/>
    <w:rsid w:val="00984760"/>
    <w:rsid w:val="0098737F"/>
    <w:rsid w:val="0098769C"/>
    <w:rsid w:val="009878ED"/>
    <w:rsid w:val="00987ECA"/>
    <w:rsid w:val="00990327"/>
    <w:rsid w:val="00991FEE"/>
    <w:rsid w:val="00992A36"/>
    <w:rsid w:val="00994375"/>
    <w:rsid w:val="009944F5"/>
    <w:rsid w:val="009966AF"/>
    <w:rsid w:val="009A114E"/>
    <w:rsid w:val="009A1361"/>
    <w:rsid w:val="009A269F"/>
    <w:rsid w:val="009A2CD3"/>
    <w:rsid w:val="009A4534"/>
    <w:rsid w:val="009A6AD9"/>
    <w:rsid w:val="009A7911"/>
    <w:rsid w:val="009A7991"/>
    <w:rsid w:val="009A7AFD"/>
    <w:rsid w:val="009A7D25"/>
    <w:rsid w:val="009B0080"/>
    <w:rsid w:val="009B0172"/>
    <w:rsid w:val="009B0366"/>
    <w:rsid w:val="009B0A77"/>
    <w:rsid w:val="009B22D9"/>
    <w:rsid w:val="009B28E3"/>
    <w:rsid w:val="009B2927"/>
    <w:rsid w:val="009B3F0B"/>
    <w:rsid w:val="009B3F63"/>
    <w:rsid w:val="009B5206"/>
    <w:rsid w:val="009B622A"/>
    <w:rsid w:val="009C0024"/>
    <w:rsid w:val="009C0493"/>
    <w:rsid w:val="009C10AF"/>
    <w:rsid w:val="009C11BD"/>
    <w:rsid w:val="009C256F"/>
    <w:rsid w:val="009C3EA7"/>
    <w:rsid w:val="009C5518"/>
    <w:rsid w:val="009C5D68"/>
    <w:rsid w:val="009C6212"/>
    <w:rsid w:val="009C62CA"/>
    <w:rsid w:val="009C75CA"/>
    <w:rsid w:val="009D0C0B"/>
    <w:rsid w:val="009D2953"/>
    <w:rsid w:val="009D34B4"/>
    <w:rsid w:val="009D3A6A"/>
    <w:rsid w:val="009D4087"/>
    <w:rsid w:val="009D4CF4"/>
    <w:rsid w:val="009D5127"/>
    <w:rsid w:val="009D574F"/>
    <w:rsid w:val="009D6490"/>
    <w:rsid w:val="009D7581"/>
    <w:rsid w:val="009E2D98"/>
    <w:rsid w:val="009E3058"/>
    <w:rsid w:val="009E7D8D"/>
    <w:rsid w:val="009F01D6"/>
    <w:rsid w:val="009F1B5F"/>
    <w:rsid w:val="009F3684"/>
    <w:rsid w:val="009F4AED"/>
    <w:rsid w:val="009F6BDC"/>
    <w:rsid w:val="00A00779"/>
    <w:rsid w:val="00A00ED1"/>
    <w:rsid w:val="00A00F49"/>
    <w:rsid w:val="00A01A38"/>
    <w:rsid w:val="00A01BC2"/>
    <w:rsid w:val="00A04B1A"/>
    <w:rsid w:val="00A05680"/>
    <w:rsid w:val="00A057BF"/>
    <w:rsid w:val="00A06261"/>
    <w:rsid w:val="00A06DA3"/>
    <w:rsid w:val="00A07EE7"/>
    <w:rsid w:val="00A11FA2"/>
    <w:rsid w:val="00A123FD"/>
    <w:rsid w:val="00A147B6"/>
    <w:rsid w:val="00A14E39"/>
    <w:rsid w:val="00A152F6"/>
    <w:rsid w:val="00A170B6"/>
    <w:rsid w:val="00A17EED"/>
    <w:rsid w:val="00A22015"/>
    <w:rsid w:val="00A221AC"/>
    <w:rsid w:val="00A22490"/>
    <w:rsid w:val="00A2395A"/>
    <w:rsid w:val="00A243F8"/>
    <w:rsid w:val="00A2523E"/>
    <w:rsid w:val="00A25513"/>
    <w:rsid w:val="00A26083"/>
    <w:rsid w:val="00A26DD1"/>
    <w:rsid w:val="00A27135"/>
    <w:rsid w:val="00A275A4"/>
    <w:rsid w:val="00A27A75"/>
    <w:rsid w:val="00A33C12"/>
    <w:rsid w:val="00A352B1"/>
    <w:rsid w:val="00A3617F"/>
    <w:rsid w:val="00A36B0C"/>
    <w:rsid w:val="00A36DAA"/>
    <w:rsid w:val="00A41E91"/>
    <w:rsid w:val="00A42880"/>
    <w:rsid w:val="00A446AD"/>
    <w:rsid w:val="00A44ED1"/>
    <w:rsid w:val="00A45936"/>
    <w:rsid w:val="00A46CEF"/>
    <w:rsid w:val="00A47038"/>
    <w:rsid w:val="00A505F1"/>
    <w:rsid w:val="00A53453"/>
    <w:rsid w:val="00A5656F"/>
    <w:rsid w:val="00A56A6A"/>
    <w:rsid w:val="00A56BE9"/>
    <w:rsid w:val="00A575E1"/>
    <w:rsid w:val="00A60990"/>
    <w:rsid w:val="00A60F6B"/>
    <w:rsid w:val="00A61ADB"/>
    <w:rsid w:val="00A61C57"/>
    <w:rsid w:val="00A62018"/>
    <w:rsid w:val="00A62483"/>
    <w:rsid w:val="00A62671"/>
    <w:rsid w:val="00A62C22"/>
    <w:rsid w:val="00A641C6"/>
    <w:rsid w:val="00A6421B"/>
    <w:rsid w:val="00A66A13"/>
    <w:rsid w:val="00A672EC"/>
    <w:rsid w:val="00A67E68"/>
    <w:rsid w:val="00A67ED0"/>
    <w:rsid w:val="00A729A3"/>
    <w:rsid w:val="00A7579F"/>
    <w:rsid w:val="00A770B7"/>
    <w:rsid w:val="00A80FA7"/>
    <w:rsid w:val="00A81634"/>
    <w:rsid w:val="00A826E7"/>
    <w:rsid w:val="00A841DD"/>
    <w:rsid w:val="00A842AC"/>
    <w:rsid w:val="00A85642"/>
    <w:rsid w:val="00A86383"/>
    <w:rsid w:val="00A90B2F"/>
    <w:rsid w:val="00A91BB4"/>
    <w:rsid w:val="00A9294F"/>
    <w:rsid w:val="00A93213"/>
    <w:rsid w:val="00A938B6"/>
    <w:rsid w:val="00A95B98"/>
    <w:rsid w:val="00A96162"/>
    <w:rsid w:val="00A96907"/>
    <w:rsid w:val="00A96B2C"/>
    <w:rsid w:val="00A96BBA"/>
    <w:rsid w:val="00A97BDF"/>
    <w:rsid w:val="00AA0D37"/>
    <w:rsid w:val="00AA3A05"/>
    <w:rsid w:val="00AA41B3"/>
    <w:rsid w:val="00AA6AF9"/>
    <w:rsid w:val="00AA71CE"/>
    <w:rsid w:val="00AB1A4C"/>
    <w:rsid w:val="00AB1F47"/>
    <w:rsid w:val="00AB3C61"/>
    <w:rsid w:val="00AB4A38"/>
    <w:rsid w:val="00AB57EE"/>
    <w:rsid w:val="00AC0DE7"/>
    <w:rsid w:val="00AC3101"/>
    <w:rsid w:val="00AC3259"/>
    <w:rsid w:val="00AC3A36"/>
    <w:rsid w:val="00AC3D72"/>
    <w:rsid w:val="00AC515E"/>
    <w:rsid w:val="00AC5F43"/>
    <w:rsid w:val="00AC68DA"/>
    <w:rsid w:val="00AC7522"/>
    <w:rsid w:val="00AD0649"/>
    <w:rsid w:val="00AD1629"/>
    <w:rsid w:val="00AD30C8"/>
    <w:rsid w:val="00AD3AB5"/>
    <w:rsid w:val="00AD3DDE"/>
    <w:rsid w:val="00AD46D2"/>
    <w:rsid w:val="00AD5F7C"/>
    <w:rsid w:val="00AD6290"/>
    <w:rsid w:val="00AD66AB"/>
    <w:rsid w:val="00AD6930"/>
    <w:rsid w:val="00AD71C5"/>
    <w:rsid w:val="00AD7841"/>
    <w:rsid w:val="00AD7F28"/>
    <w:rsid w:val="00AE0F9E"/>
    <w:rsid w:val="00AE40FD"/>
    <w:rsid w:val="00AE4156"/>
    <w:rsid w:val="00AE470D"/>
    <w:rsid w:val="00AF0A48"/>
    <w:rsid w:val="00AF1657"/>
    <w:rsid w:val="00AF2344"/>
    <w:rsid w:val="00AF2B67"/>
    <w:rsid w:val="00AF52CA"/>
    <w:rsid w:val="00AF68DD"/>
    <w:rsid w:val="00AF7133"/>
    <w:rsid w:val="00B025F9"/>
    <w:rsid w:val="00B03613"/>
    <w:rsid w:val="00B03848"/>
    <w:rsid w:val="00B04BDA"/>
    <w:rsid w:val="00B0505F"/>
    <w:rsid w:val="00B05133"/>
    <w:rsid w:val="00B06870"/>
    <w:rsid w:val="00B06B64"/>
    <w:rsid w:val="00B07134"/>
    <w:rsid w:val="00B10732"/>
    <w:rsid w:val="00B10F7C"/>
    <w:rsid w:val="00B117F0"/>
    <w:rsid w:val="00B11C44"/>
    <w:rsid w:val="00B13072"/>
    <w:rsid w:val="00B1314F"/>
    <w:rsid w:val="00B14B4B"/>
    <w:rsid w:val="00B15CAD"/>
    <w:rsid w:val="00B16789"/>
    <w:rsid w:val="00B20ECE"/>
    <w:rsid w:val="00B21DBE"/>
    <w:rsid w:val="00B21EC3"/>
    <w:rsid w:val="00B221EB"/>
    <w:rsid w:val="00B2311F"/>
    <w:rsid w:val="00B23B9A"/>
    <w:rsid w:val="00B24D9E"/>
    <w:rsid w:val="00B27224"/>
    <w:rsid w:val="00B30DE2"/>
    <w:rsid w:val="00B3216E"/>
    <w:rsid w:val="00B3279C"/>
    <w:rsid w:val="00B32E6B"/>
    <w:rsid w:val="00B33121"/>
    <w:rsid w:val="00B341D9"/>
    <w:rsid w:val="00B34B3B"/>
    <w:rsid w:val="00B35A30"/>
    <w:rsid w:val="00B36DA1"/>
    <w:rsid w:val="00B376CB"/>
    <w:rsid w:val="00B412AA"/>
    <w:rsid w:val="00B41929"/>
    <w:rsid w:val="00B44720"/>
    <w:rsid w:val="00B44ABD"/>
    <w:rsid w:val="00B45252"/>
    <w:rsid w:val="00B51497"/>
    <w:rsid w:val="00B5391F"/>
    <w:rsid w:val="00B53BC4"/>
    <w:rsid w:val="00B53BFA"/>
    <w:rsid w:val="00B53EE5"/>
    <w:rsid w:val="00B54E73"/>
    <w:rsid w:val="00B57154"/>
    <w:rsid w:val="00B57B1A"/>
    <w:rsid w:val="00B6081B"/>
    <w:rsid w:val="00B60D92"/>
    <w:rsid w:val="00B610E2"/>
    <w:rsid w:val="00B617F3"/>
    <w:rsid w:val="00B626FF"/>
    <w:rsid w:val="00B643B7"/>
    <w:rsid w:val="00B65696"/>
    <w:rsid w:val="00B71A7A"/>
    <w:rsid w:val="00B72F47"/>
    <w:rsid w:val="00B775C4"/>
    <w:rsid w:val="00B77CF4"/>
    <w:rsid w:val="00B80B5A"/>
    <w:rsid w:val="00B814B2"/>
    <w:rsid w:val="00B844FD"/>
    <w:rsid w:val="00B84CB4"/>
    <w:rsid w:val="00B859E7"/>
    <w:rsid w:val="00B85F2F"/>
    <w:rsid w:val="00B86DE9"/>
    <w:rsid w:val="00B9270C"/>
    <w:rsid w:val="00B939AD"/>
    <w:rsid w:val="00B93D46"/>
    <w:rsid w:val="00B9440D"/>
    <w:rsid w:val="00B965A0"/>
    <w:rsid w:val="00B9667F"/>
    <w:rsid w:val="00B96F4C"/>
    <w:rsid w:val="00B97B37"/>
    <w:rsid w:val="00BA014F"/>
    <w:rsid w:val="00BA4FDA"/>
    <w:rsid w:val="00BA6D7D"/>
    <w:rsid w:val="00BA78F2"/>
    <w:rsid w:val="00BA7F20"/>
    <w:rsid w:val="00BB1757"/>
    <w:rsid w:val="00BB17B8"/>
    <w:rsid w:val="00BB281E"/>
    <w:rsid w:val="00BB33D3"/>
    <w:rsid w:val="00BB3FEC"/>
    <w:rsid w:val="00BB5346"/>
    <w:rsid w:val="00BB5348"/>
    <w:rsid w:val="00BB5834"/>
    <w:rsid w:val="00BB6080"/>
    <w:rsid w:val="00BB6245"/>
    <w:rsid w:val="00BB7833"/>
    <w:rsid w:val="00BC1922"/>
    <w:rsid w:val="00BC1E45"/>
    <w:rsid w:val="00BC7502"/>
    <w:rsid w:val="00BD0FAD"/>
    <w:rsid w:val="00BD12ED"/>
    <w:rsid w:val="00BD16BA"/>
    <w:rsid w:val="00BD2334"/>
    <w:rsid w:val="00BD2416"/>
    <w:rsid w:val="00BD3F18"/>
    <w:rsid w:val="00BD4BA2"/>
    <w:rsid w:val="00BD74E2"/>
    <w:rsid w:val="00BE44AD"/>
    <w:rsid w:val="00BE51A5"/>
    <w:rsid w:val="00BE5B91"/>
    <w:rsid w:val="00BE6A1C"/>
    <w:rsid w:val="00BF031C"/>
    <w:rsid w:val="00BF1B6D"/>
    <w:rsid w:val="00BF3402"/>
    <w:rsid w:val="00BF397B"/>
    <w:rsid w:val="00BF49D4"/>
    <w:rsid w:val="00BF4C2F"/>
    <w:rsid w:val="00BF52CC"/>
    <w:rsid w:val="00BF6ECE"/>
    <w:rsid w:val="00BF7F9F"/>
    <w:rsid w:val="00C01404"/>
    <w:rsid w:val="00C01A12"/>
    <w:rsid w:val="00C01A6A"/>
    <w:rsid w:val="00C05964"/>
    <w:rsid w:val="00C05DC6"/>
    <w:rsid w:val="00C05EB3"/>
    <w:rsid w:val="00C06975"/>
    <w:rsid w:val="00C10B0F"/>
    <w:rsid w:val="00C1103F"/>
    <w:rsid w:val="00C12748"/>
    <w:rsid w:val="00C156F7"/>
    <w:rsid w:val="00C157CF"/>
    <w:rsid w:val="00C15D76"/>
    <w:rsid w:val="00C1650E"/>
    <w:rsid w:val="00C1672D"/>
    <w:rsid w:val="00C20698"/>
    <w:rsid w:val="00C22221"/>
    <w:rsid w:val="00C24A2D"/>
    <w:rsid w:val="00C25681"/>
    <w:rsid w:val="00C26BE7"/>
    <w:rsid w:val="00C26D32"/>
    <w:rsid w:val="00C27302"/>
    <w:rsid w:val="00C30CCC"/>
    <w:rsid w:val="00C30F81"/>
    <w:rsid w:val="00C3199B"/>
    <w:rsid w:val="00C34632"/>
    <w:rsid w:val="00C35D6D"/>
    <w:rsid w:val="00C368AB"/>
    <w:rsid w:val="00C368BC"/>
    <w:rsid w:val="00C4007E"/>
    <w:rsid w:val="00C43143"/>
    <w:rsid w:val="00C43F91"/>
    <w:rsid w:val="00C4443E"/>
    <w:rsid w:val="00C445AE"/>
    <w:rsid w:val="00C45324"/>
    <w:rsid w:val="00C4548E"/>
    <w:rsid w:val="00C46957"/>
    <w:rsid w:val="00C47594"/>
    <w:rsid w:val="00C52583"/>
    <w:rsid w:val="00C52BA6"/>
    <w:rsid w:val="00C52C9E"/>
    <w:rsid w:val="00C52FF5"/>
    <w:rsid w:val="00C532FF"/>
    <w:rsid w:val="00C53F73"/>
    <w:rsid w:val="00C5492E"/>
    <w:rsid w:val="00C54FA7"/>
    <w:rsid w:val="00C55578"/>
    <w:rsid w:val="00C565E7"/>
    <w:rsid w:val="00C5664F"/>
    <w:rsid w:val="00C6317A"/>
    <w:rsid w:val="00C632A4"/>
    <w:rsid w:val="00C64324"/>
    <w:rsid w:val="00C66A71"/>
    <w:rsid w:val="00C6722E"/>
    <w:rsid w:val="00C6763D"/>
    <w:rsid w:val="00C70310"/>
    <w:rsid w:val="00C711B1"/>
    <w:rsid w:val="00C71C0D"/>
    <w:rsid w:val="00C71EB3"/>
    <w:rsid w:val="00C736D8"/>
    <w:rsid w:val="00C73C90"/>
    <w:rsid w:val="00C74AAE"/>
    <w:rsid w:val="00C75657"/>
    <w:rsid w:val="00C75F41"/>
    <w:rsid w:val="00C768EE"/>
    <w:rsid w:val="00C814BA"/>
    <w:rsid w:val="00C835C8"/>
    <w:rsid w:val="00C85283"/>
    <w:rsid w:val="00C856AE"/>
    <w:rsid w:val="00C85FB5"/>
    <w:rsid w:val="00C9152D"/>
    <w:rsid w:val="00C9293E"/>
    <w:rsid w:val="00C9440C"/>
    <w:rsid w:val="00C94BAD"/>
    <w:rsid w:val="00C95229"/>
    <w:rsid w:val="00C9604D"/>
    <w:rsid w:val="00C960CC"/>
    <w:rsid w:val="00C9656D"/>
    <w:rsid w:val="00C96AF8"/>
    <w:rsid w:val="00C96D4B"/>
    <w:rsid w:val="00C972C9"/>
    <w:rsid w:val="00C97E3C"/>
    <w:rsid w:val="00CA09B9"/>
    <w:rsid w:val="00CA301D"/>
    <w:rsid w:val="00CA42E4"/>
    <w:rsid w:val="00CA6B9A"/>
    <w:rsid w:val="00CA6C37"/>
    <w:rsid w:val="00CB2D64"/>
    <w:rsid w:val="00CB4504"/>
    <w:rsid w:val="00CB48C4"/>
    <w:rsid w:val="00CB4A85"/>
    <w:rsid w:val="00CB4FB0"/>
    <w:rsid w:val="00CB50C9"/>
    <w:rsid w:val="00CB6211"/>
    <w:rsid w:val="00CB71B9"/>
    <w:rsid w:val="00CC07D0"/>
    <w:rsid w:val="00CC0EFB"/>
    <w:rsid w:val="00CC1B28"/>
    <w:rsid w:val="00CC3152"/>
    <w:rsid w:val="00CC40FF"/>
    <w:rsid w:val="00CC53BF"/>
    <w:rsid w:val="00CC5E76"/>
    <w:rsid w:val="00CC6616"/>
    <w:rsid w:val="00CD0198"/>
    <w:rsid w:val="00CD09BF"/>
    <w:rsid w:val="00CD0FED"/>
    <w:rsid w:val="00CD10C1"/>
    <w:rsid w:val="00CD129F"/>
    <w:rsid w:val="00CD212C"/>
    <w:rsid w:val="00CD28C7"/>
    <w:rsid w:val="00CD4FE3"/>
    <w:rsid w:val="00CD51BF"/>
    <w:rsid w:val="00CD6765"/>
    <w:rsid w:val="00CD6EF4"/>
    <w:rsid w:val="00CD71DC"/>
    <w:rsid w:val="00CD77CE"/>
    <w:rsid w:val="00CD79EA"/>
    <w:rsid w:val="00CE0AF4"/>
    <w:rsid w:val="00CE3053"/>
    <w:rsid w:val="00CE6ADC"/>
    <w:rsid w:val="00CE79B5"/>
    <w:rsid w:val="00CE7B0A"/>
    <w:rsid w:val="00CF1747"/>
    <w:rsid w:val="00CF1CD5"/>
    <w:rsid w:val="00CF2431"/>
    <w:rsid w:val="00CF291B"/>
    <w:rsid w:val="00D009CC"/>
    <w:rsid w:val="00D00C58"/>
    <w:rsid w:val="00D01305"/>
    <w:rsid w:val="00D0169C"/>
    <w:rsid w:val="00D018E5"/>
    <w:rsid w:val="00D0228E"/>
    <w:rsid w:val="00D022CD"/>
    <w:rsid w:val="00D03949"/>
    <w:rsid w:val="00D04154"/>
    <w:rsid w:val="00D042AA"/>
    <w:rsid w:val="00D053AD"/>
    <w:rsid w:val="00D054D7"/>
    <w:rsid w:val="00D0770C"/>
    <w:rsid w:val="00D07F08"/>
    <w:rsid w:val="00D1111D"/>
    <w:rsid w:val="00D1321E"/>
    <w:rsid w:val="00D13AF4"/>
    <w:rsid w:val="00D13B40"/>
    <w:rsid w:val="00D1734F"/>
    <w:rsid w:val="00D2082B"/>
    <w:rsid w:val="00D20DA5"/>
    <w:rsid w:val="00D2187B"/>
    <w:rsid w:val="00D22A6A"/>
    <w:rsid w:val="00D23E9A"/>
    <w:rsid w:val="00D24A9C"/>
    <w:rsid w:val="00D251C0"/>
    <w:rsid w:val="00D255E1"/>
    <w:rsid w:val="00D30245"/>
    <w:rsid w:val="00D31067"/>
    <w:rsid w:val="00D32566"/>
    <w:rsid w:val="00D342AE"/>
    <w:rsid w:val="00D351CA"/>
    <w:rsid w:val="00D35E9B"/>
    <w:rsid w:val="00D362ED"/>
    <w:rsid w:val="00D41BAF"/>
    <w:rsid w:val="00D43E8D"/>
    <w:rsid w:val="00D4609D"/>
    <w:rsid w:val="00D4752B"/>
    <w:rsid w:val="00D478F1"/>
    <w:rsid w:val="00D51A71"/>
    <w:rsid w:val="00D53510"/>
    <w:rsid w:val="00D53F1E"/>
    <w:rsid w:val="00D55431"/>
    <w:rsid w:val="00D5599F"/>
    <w:rsid w:val="00D55F7A"/>
    <w:rsid w:val="00D56F10"/>
    <w:rsid w:val="00D600C8"/>
    <w:rsid w:val="00D60C9E"/>
    <w:rsid w:val="00D619DB"/>
    <w:rsid w:val="00D61ED7"/>
    <w:rsid w:val="00D625F2"/>
    <w:rsid w:val="00D62CE7"/>
    <w:rsid w:val="00D63E0B"/>
    <w:rsid w:val="00D659D7"/>
    <w:rsid w:val="00D66803"/>
    <w:rsid w:val="00D67418"/>
    <w:rsid w:val="00D67CF5"/>
    <w:rsid w:val="00D70C4A"/>
    <w:rsid w:val="00D7496E"/>
    <w:rsid w:val="00D749C7"/>
    <w:rsid w:val="00D750E2"/>
    <w:rsid w:val="00D75E72"/>
    <w:rsid w:val="00D7638B"/>
    <w:rsid w:val="00D77C1A"/>
    <w:rsid w:val="00D77EAE"/>
    <w:rsid w:val="00D800DC"/>
    <w:rsid w:val="00D80CAE"/>
    <w:rsid w:val="00D8113D"/>
    <w:rsid w:val="00D8354B"/>
    <w:rsid w:val="00D83610"/>
    <w:rsid w:val="00D85753"/>
    <w:rsid w:val="00D8664C"/>
    <w:rsid w:val="00D87A95"/>
    <w:rsid w:val="00D9137B"/>
    <w:rsid w:val="00D93548"/>
    <w:rsid w:val="00D93822"/>
    <w:rsid w:val="00D948B9"/>
    <w:rsid w:val="00D95240"/>
    <w:rsid w:val="00D966BF"/>
    <w:rsid w:val="00D974DA"/>
    <w:rsid w:val="00D974DE"/>
    <w:rsid w:val="00DA0D68"/>
    <w:rsid w:val="00DA0D7C"/>
    <w:rsid w:val="00DA204F"/>
    <w:rsid w:val="00DA26EF"/>
    <w:rsid w:val="00DA3264"/>
    <w:rsid w:val="00DA3E71"/>
    <w:rsid w:val="00DA4A2C"/>
    <w:rsid w:val="00DA4C54"/>
    <w:rsid w:val="00DA59A6"/>
    <w:rsid w:val="00DB0715"/>
    <w:rsid w:val="00DB1696"/>
    <w:rsid w:val="00DB1F40"/>
    <w:rsid w:val="00DB2F3E"/>
    <w:rsid w:val="00DB75F6"/>
    <w:rsid w:val="00DC1062"/>
    <w:rsid w:val="00DC1C9B"/>
    <w:rsid w:val="00DC208E"/>
    <w:rsid w:val="00DC2161"/>
    <w:rsid w:val="00DC23CC"/>
    <w:rsid w:val="00DC2732"/>
    <w:rsid w:val="00DC3146"/>
    <w:rsid w:val="00DC4091"/>
    <w:rsid w:val="00DC636B"/>
    <w:rsid w:val="00DC722F"/>
    <w:rsid w:val="00DD0B0E"/>
    <w:rsid w:val="00DD13EC"/>
    <w:rsid w:val="00DD2869"/>
    <w:rsid w:val="00DD34DF"/>
    <w:rsid w:val="00DD3F53"/>
    <w:rsid w:val="00DD3F7A"/>
    <w:rsid w:val="00DD4464"/>
    <w:rsid w:val="00DD4F31"/>
    <w:rsid w:val="00DD5773"/>
    <w:rsid w:val="00DD5A09"/>
    <w:rsid w:val="00DE0C68"/>
    <w:rsid w:val="00DE1552"/>
    <w:rsid w:val="00DE1C68"/>
    <w:rsid w:val="00DE28ED"/>
    <w:rsid w:val="00DE37EF"/>
    <w:rsid w:val="00DE40D7"/>
    <w:rsid w:val="00DE5C6A"/>
    <w:rsid w:val="00DE5D97"/>
    <w:rsid w:val="00DE5DE0"/>
    <w:rsid w:val="00DE67F2"/>
    <w:rsid w:val="00DE6CF5"/>
    <w:rsid w:val="00DE7DD8"/>
    <w:rsid w:val="00DE7F4B"/>
    <w:rsid w:val="00DF0802"/>
    <w:rsid w:val="00DF0DE3"/>
    <w:rsid w:val="00DF1C3C"/>
    <w:rsid w:val="00DF202B"/>
    <w:rsid w:val="00DF254B"/>
    <w:rsid w:val="00DF29F3"/>
    <w:rsid w:val="00DF3917"/>
    <w:rsid w:val="00DF438E"/>
    <w:rsid w:val="00DF50DC"/>
    <w:rsid w:val="00DF51D2"/>
    <w:rsid w:val="00DF52E9"/>
    <w:rsid w:val="00DF55C6"/>
    <w:rsid w:val="00DF576B"/>
    <w:rsid w:val="00DF5829"/>
    <w:rsid w:val="00DF5E5E"/>
    <w:rsid w:val="00DF6348"/>
    <w:rsid w:val="00DF7188"/>
    <w:rsid w:val="00DF787E"/>
    <w:rsid w:val="00DF7D4E"/>
    <w:rsid w:val="00E01EAA"/>
    <w:rsid w:val="00E05C11"/>
    <w:rsid w:val="00E05E36"/>
    <w:rsid w:val="00E0767C"/>
    <w:rsid w:val="00E07742"/>
    <w:rsid w:val="00E07A29"/>
    <w:rsid w:val="00E10AF0"/>
    <w:rsid w:val="00E11FEF"/>
    <w:rsid w:val="00E14395"/>
    <w:rsid w:val="00E14C07"/>
    <w:rsid w:val="00E15218"/>
    <w:rsid w:val="00E1626F"/>
    <w:rsid w:val="00E173E9"/>
    <w:rsid w:val="00E17DD0"/>
    <w:rsid w:val="00E25927"/>
    <w:rsid w:val="00E26C39"/>
    <w:rsid w:val="00E27D18"/>
    <w:rsid w:val="00E361D3"/>
    <w:rsid w:val="00E374F5"/>
    <w:rsid w:val="00E37A8F"/>
    <w:rsid w:val="00E4045A"/>
    <w:rsid w:val="00E411D8"/>
    <w:rsid w:val="00E4171A"/>
    <w:rsid w:val="00E41C12"/>
    <w:rsid w:val="00E423C5"/>
    <w:rsid w:val="00E42D66"/>
    <w:rsid w:val="00E43538"/>
    <w:rsid w:val="00E439C7"/>
    <w:rsid w:val="00E43D21"/>
    <w:rsid w:val="00E45ECF"/>
    <w:rsid w:val="00E46CAF"/>
    <w:rsid w:val="00E471CC"/>
    <w:rsid w:val="00E4797C"/>
    <w:rsid w:val="00E52367"/>
    <w:rsid w:val="00E52C4C"/>
    <w:rsid w:val="00E532D7"/>
    <w:rsid w:val="00E537C8"/>
    <w:rsid w:val="00E541AC"/>
    <w:rsid w:val="00E54540"/>
    <w:rsid w:val="00E549CC"/>
    <w:rsid w:val="00E56500"/>
    <w:rsid w:val="00E601F8"/>
    <w:rsid w:val="00E60B97"/>
    <w:rsid w:val="00E61383"/>
    <w:rsid w:val="00E6354F"/>
    <w:rsid w:val="00E63961"/>
    <w:rsid w:val="00E64938"/>
    <w:rsid w:val="00E65907"/>
    <w:rsid w:val="00E66612"/>
    <w:rsid w:val="00E66FFE"/>
    <w:rsid w:val="00E71B5F"/>
    <w:rsid w:val="00E71C14"/>
    <w:rsid w:val="00E725DC"/>
    <w:rsid w:val="00E73990"/>
    <w:rsid w:val="00E75195"/>
    <w:rsid w:val="00E752ED"/>
    <w:rsid w:val="00E75325"/>
    <w:rsid w:val="00E75986"/>
    <w:rsid w:val="00E759B4"/>
    <w:rsid w:val="00E770EB"/>
    <w:rsid w:val="00E779D4"/>
    <w:rsid w:val="00E77A03"/>
    <w:rsid w:val="00E80C91"/>
    <w:rsid w:val="00E8130A"/>
    <w:rsid w:val="00E81958"/>
    <w:rsid w:val="00E82FDB"/>
    <w:rsid w:val="00E846DD"/>
    <w:rsid w:val="00E85FC3"/>
    <w:rsid w:val="00E863A9"/>
    <w:rsid w:val="00E86977"/>
    <w:rsid w:val="00E87232"/>
    <w:rsid w:val="00E87F55"/>
    <w:rsid w:val="00E9291B"/>
    <w:rsid w:val="00E9335E"/>
    <w:rsid w:val="00E935E6"/>
    <w:rsid w:val="00E93BFD"/>
    <w:rsid w:val="00E94169"/>
    <w:rsid w:val="00E9417C"/>
    <w:rsid w:val="00E94336"/>
    <w:rsid w:val="00E95D9A"/>
    <w:rsid w:val="00E96138"/>
    <w:rsid w:val="00E97E64"/>
    <w:rsid w:val="00EA0710"/>
    <w:rsid w:val="00EA074D"/>
    <w:rsid w:val="00EA0B61"/>
    <w:rsid w:val="00EA0B78"/>
    <w:rsid w:val="00EA0FA7"/>
    <w:rsid w:val="00EA1AAF"/>
    <w:rsid w:val="00EA231A"/>
    <w:rsid w:val="00EA2F46"/>
    <w:rsid w:val="00EA41DE"/>
    <w:rsid w:val="00EA49D4"/>
    <w:rsid w:val="00EA551C"/>
    <w:rsid w:val="00EA55A5"/>
    <w:rsid w:val="00EA5A5E"/>
    <w:rsid w:val="00EA66C8"/>
    <w:rsid w:val="00EA69E0"/>
    <w:rsid w:val="00EA77A3"/>
    <w:rsid w:val="00EB12DB"/>
    <w:rsid w:val="00EB1300"/>
    <w:rsid w:val="00EB3522"/>
    <w:rsid w:val="00EB3544"/>
    <w:rsid w:val="00EB3CEA"/>
    <w:rsid w:val="00EB68FB"/>
    <w:rsid w:val="00EB6958"/>
    <w:rsid w:val="00EB6B71"/>
    <w:rsid w:val="00EB7054"/>
    <w:rsid w:val="00EB7791"/>
    <w:rsid w:val="00EC18EB"/>
    <w:rsid w:val="00EC1B7B"/>
    <w:rsid w:val="00EC42F2"/>
    <w:rsid w:val="00EC7877"/>
    <w:rsid w:val="00EC790A"/>
    <w:rsid w:val="00ED0082"/>
    <w:rsid w:val="00ED0415"/>
    <w:rsid w:val="00ED4B40"/>
    <w:rsid w:val="00ED5C96"/>
    <w:rsid w:val="00ED65E5"/>
    <w:rsid w:val="00ED7E71"/>
    <w:rsid w:val="00EE0910"/>
    <w:rsid w:val="00EE107C"/>
    <w:rsid w:val="00EE1B10"/>
    <w:rsid w:val="00EE1DD9"/>
    <w:rsid w:val="00EE2410"/>
    <w:rsid w:val="00EE68CA"/>
    <w:rsid w:val="00EF08D2"/>
    <w:rsid w:val="00EF221F"/>
    <w:rsid w:val="00EF2AEB"/>
    <w:rsid w:val="00EF2E8A"/>
    <w:rsid w:val="00EF32AD"/>
    <w:rsid w:val="00EF3880"/>
    <w:rsid w:val="00EF4606"/>
    <w:rsid w:val="00EF5306"/>
    <w:rsid w:val="00EF6685"/>
    <w:rsid w:val="00F007E2"/>
    <w:rsid w:val="00F01678"/>
    <w:rsid w:val="00F01870"/>
    <w:rsid w:val="00F01926"/>
    <w:rsid w:val="00F054E5"/>
    <w:rsid w:val="00F06846"/>
    <w:rsid w:val="00F135EE"/>
    <w:rsid w:val="00F13BBC"/>
    <w:rsid w:val="00F15B24"/>
    <w:rsid w:val="00F16A65"/>
    <w:rsid w:val="00F213B9"/>
    <w:rsid w:val="00F21E4E"/>
    <w:rsid w:val="00F220E5"/>
    <w:rsid w:val="00F235CE"/>
    <w:rsid w:val="00F23A0E"/>
    <w:rsid w:val="00F24C89"/>
    <w:rsid w:val="00F24E0E"/>
    <w:rsid w:val="00F256B7"/>
    <w:rsid w:val="00F259E4"/>
    <w:rsid w:val="00F25E6B"/>
    <w:rsid w:val="00F25E73"/>
    <w:rsid w:val="00F27CC7"/>
    <w:rsid w:val="00F30242"/>
    <w:rsid w:val="00F30A20"/>
    <w:rsid w:val="00F30FE9"/>
    <w:rsid w:val="00F3274E"/>
    <w:rsid w:val="00F32FC3"/>
    <w:rsid w:val="00F429EA"/>
    <w:rsid w:val="00F4355D"/>
    <w:rsid w:val="00F43582"/>
    <w:rsid w:val="00F435A9"/>
    <w:rsid w:val="00F44FC3"/>
    <w:rsid w:val="00F45F34"/>
    <w:rsid w:val="00F46235"/>
    <w:rsid w:val="00F469B2"/>
    <w:rsid w:val="00F46DC1"/>
    <w:rsid w:val="00F50365"/>
    <w:rsid w:val="00F5252D"/>
    <w:rsid w:val="00F52685"/>
    <w:rsid w:val="00F52A5A"/>
    <w:rsid w:val="00F5313A"/>
    <w:rsid w:val="00F535D4"/>
    <w:rsid w:val="00F54D8B"/>
    <w:rsid w:val="00F55915"/>
    <w:rsid w:val="00F5783E"/>
    <w:rsid w:val="00F605F0"/>
    <w:rsid w:val="00F60918"/>
    <w:rsid w:val="00F61EB5"/>
    <w:rsid w:val="00F62D95"/>
    <w:rsid w:val="00F632D6"/>
    <w:rsid w:val="00F65268"/>
    <w:rsid w:val="00F65F33"/>
    <w:rsid w:val="00F66307"/>
    <w:rsid w:val="00F664A0"/>
    <w:rsid w:val="00F678ED"/>
    <w:rsid w:val="00F67E66"/>
    <w:rsid w:val="00F7120E"/>
    <w:rsid w:val="00F7170F"/>
    <w:rsid w:val="00F7239B"/>
    <w:rsid w:val="00F73258"/>
    <w:rsid w:val="00F75089"/>
    <w:rsid w:val="00F762D7"/>
    <w:rsid w:val="00F7660E"/>
    <w:rsid w:val="00F77461"/>
    <w:rsid w:val="00F77A02"/>
    <w:rsid w:val="00F77B99"/>
    <w:rsid w:val="00F82278"/>
    <w:rsid w:val="00F8253F"/>
    <w:rsid w:val="00F82EFB"/>
    <w:rsid w:val="00F82F08"/>
    <w:rsid w:val="00F82FA3"/>
    <w:rsid w:val="00F8408C"/>
    <w:rsid w:val="00F843C7"/>
    <w:rsid w:val="00F861DB"/>
    <w:rsid w:val="00F8730A"/>
    <w:rsid w:val="00F87495"/>
    <w:rsid w:val="00F876CA"/>
    <w:rsid w:val="00F90E90"/>
    <w:rsid w:val="00F914D5"/>
    <w:rsid w:val="00F91552"/>
    <w:rsid w:val="00F91624"/>
    <w:rsid w:val="00F92260"/>
    <w:rsid w:val="00F92360"/>
    <w:rsid w:val="00F93A90"/>
    <w:rsid w:val="00F93FC4"/>
    <w:rsid w:val="00FA2106"/>
    <w:rsid w:val="00FA2DFC"/>
    <w:rsid w:val="00FA340D"/>
    <w:rsid w:val="00FA3B90"/>
    <w:rsid w:val="00FA40E8"/>
    <w:rsid w:val="00FA4D42"/>
    <w:rsid w:val="00FA4F7B"/>
    <w:rsid w:val="00FA522A"/>
    <w:rsid w:val="00FA6103"/>
    <w:rsid w:val="00FA6FB1"/>
    <w:rsid w:val="00FA796F"/>
    <w:rsid w:val="00FB3053"/>
    <w:rsid w:val="00FB3D69"/>
    <w:rsid w:val="00FB3EB1"/>
    <w:rsid w:val="00FB65A9"/>
    <w:rsid w:val="00FB75CC"/>
    <w:rsid w:val="00FB77A4"/>
    <w:rsid w:val="00FB790D"/>
    <w:rsid w:val="00FC07E3"/>
    <w:rsid w:val="00FC1AD5"/>
    <w:rsid w:val="00FC2B65"/>
    <w:rsid w:val="00FC5445"/>
    <w:rsid w:val="00FC7253"/>
    <w:rsid w:val="00FD07CD"/>
    <w:rsid w:val="00FD0849"/>
    <w:rsid w:val="00FD0A14"/>
    <w:rsid w:val="00FD1E2B"/>
    <w:rsid w:val="00FD24A6"/>
    <w:rsid w:val="00FD2969"/>
    <w:rsid w:val="00FD29E3"/>
    <w:rsid w:val="00FD3DAE"/>
    <w:rsid w:val="00FD4B0A"/>
    <w:rsid w:val="00FD5A55"/>
    <w:rsid w:val="00FD6073"/>
    <w:rsid w:val="00FD67A6"/>
    <w:rsid w:val="00FD73A7"/>
    <w:rsid w:val="00FD7D3F"/>
    <w:rsid w:val="00FE1079"/>
    <w:rsid w:val="00FE11D9"/>
    <w:rsid w:val="00FE11F8"/>
    <w:rsid w:val="00FE1F26"/>
    <w:rsid w:val="00FE36A4"/>
    <w:rsid w:val="00FE4E6A"/>
    <w:rsid w:val="00FE5A79"/>
    <w:rsid w:val="00FF0B2F"/>
    <w:rsid w:val="00FF0B6A"/>
    <w:rsid w:val="00FF13A1"/>
    <w:rsid w:val="00FF2877"/>
    <w:rsid w:val="00FF3999"/>
    <w:rsid w:val="00FF44B0"/>
    <w:rsid w:val="00FF4AA6"/>
    <w:rsid w:val="00FF4EB5"/>
    <w:rsid w:val="00FF5C04"/>
    <w:rsid w:val="00FF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FCD42A0"/>
  <w15:chartTrackingRefBased/>
  <w15:docId w15:val="{E3732724-BD71-4ECA-976D-2DD90C137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color w:val="58595B"/>
        <w:lang w:val="nl-B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2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2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0" w:unhideWhenUsed="1"/>
    <w:lsdException w:name="List Bullet 3" w:semiHidden="1" w:uiPriority="10" w:unhideWhenUsed="1"/>
    <w:lsdException w:name="List Bullet 4" w:semiHidden="1" w:unhideWhenUsed="1"/>
    <w:lsdException w:name="List Bullet 5" w:semiHidden="1" w:unhideWhenUsed="1"/>
    <w:lsdException w:name="List Number 2" w:semiHidden="1" w:uiPriority="11" w:unhideWhenUsed="1"/>
    <w:lsdException w:name="List Number 3" w:semiHidden="1" w:uiPriority="11" w:unhideWhenUsed="1"/>
    <w:lsdException w:name="List Number 4" w:semiHidden="1" w:unhideWhenUsed="1"/>
    <w:lsdException w:name="List Number 5" w:semiHidden="1" w:unhideWhenUsed="1"/>
    <w:lsdException w:name="Title" w:uiPriority="13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4C473A"/>
  </w:style>
  <w:style w:type="paragraph" w:styleId="Heading1">
    <w:name w:val="heading 1"/>
    <w:aliases w:val="T1 Sciensano,T1"/>
    <w:basedOn w:val="Normal"/>
    <w:next w:val="BodySciensano"/>
    <w:link w:val="Heading1Char"/>
    <w:uiPriority w:val="9"/>
    <w:qFormat/>
    <w:rsid w:val="00816CDA"/>
    <w:pPr>
      <w:keepNext/>
      <w:keepLines/>
      <w:numPr>
        <w:numId w:val="3"/>
      </w:numPr>
      <w:suppressAutoHyphens/>
      <w:contextualSpacing/>
      <w:jc w:val="center"/>
      <w:outlineLvl w:val="0"/>
    </w:pPr>
    <w:rPr>
      <w:rFonts w:eastAsiaTheme="majorEastAsia" w:cstheme="majorBidi"/>
      <w:b/>
      <w:bCs/>
      <w:caps/>
      <w:color w:val="3AAA35"/>
      <w:spacing w:val="20"/>
      <w:sz w:val="40"/>
      <w:szCs w:val="28"/>
    </w:rPr>
  </w:style>
  <w:style w:type="paragraph" w:styleId="Heading2">
    <w:name w:val="heading 2"/>
    <w:aliases w:val="T2 Sciensano,T2"/>
    <w:basedOn w:val="Normal"/>
    <w:next w:val="BodySciensano"/>
    <w:link w:val="Heading2Char"/>
    <w:uiPriority w:val="9"/>
    <w:qFormat/>
    <w:rsid w:val="006A2B32"/>
    <w:pPr>
      <w:keepNext/>
      <w:keepLines/>
      <w:numPr>
        <w:ilvl w:val="1"/>
        <w:numId w:val="3"/>
      </w:numPr>
      <w:suppressAutoHyphens/>
      <w:spacing w:before="200" w:after="300" w:line="240" w:lineRule="auto"/>
      <w:contextualSpacing/>
      <w:jc w:val="center"/>
      <w:outlineLvl w:val="1"/>
    </w:pPr>
    <w:rPr>
      <w:rFonts w:eastAsiaTheme="majorEastAsia" w:cstheme="majorBidi"/>
      <w:b/>
      <w:bCs/>
      <w:color w:val="BCCF00"/>
      <w:spacing w:val="20"/>
      <w:sz w:val="36"/>
      <w:szCs w:val="26"/>
    </w:rPr>
  </w:style>
  <w:style w:type="paragraph" w:styleId="Heading3">
    <w:name w:val="heading 3"/>
    <w:aliases w:val="T3 Sciensano,T3"/>
    <w:basedOn w:val="Normal"/>
    <w:next w:val="BodySciensano"/>
    <w:link w:val="Heading3Char"/>
    <w:uiPriority w:val="9"/>
    <w:qFormat/>
    <w:rsid w:val="00E93BFD"/>
    <w:pPr>
      <w:keepNext/>
      <w:keepLines/>
      <w:numPr>
        <w:ilvl w:val="2"/>
        <w:numId w:val="3"/>
      </w:numPr>
      <w:suppressAutoHyphens/>
      <w:spacing w:before="200" w:after="100"/>
      <w:contextualSpacing/>
      <w:outlineLvl w:val="2"/>
    </w:pPr>
    <w:rPr>
      <w:rFonts w:eastAsiaTheme="majorEastAsia" w:cstheme="majorBidi"/>
      <w:b/>
      <w:bCs/>
      <w:caps/>
      <w:color w:val="3AAA35"/>
      <w:sz w:val="22"/>
    </w:rPr>
  </w:style>
  <w:style w:type="paragraph" w:styleId="Heading4">
    <w:name w:val="heading 4"/>
    <w:aliases w:val="T4 Sciensano,T4"/>
    <w:basedOn w:val="Normal"/>
    <w:next w:val="BodySciensano"/>
    <w:link w:val="Heading4Char"/>
    <w:uiPriority w:val="9"/>
    <w:qFormat/>
    <w:rsid w:val="00E93BFD"/>
    <w:pPr>
      <w:keepNext/>
      <w:keepLines/>
      <w:numPr>
        <w:ilvl w:val="3"/>
        <w:numId w:val="3"/>
      </w:numPr>
      <w:suppressAutoHyphens/>
      <w:spacing w:before="200" w:after="100"/>
      <w:contextualSpacing/>
      <w:outlineLvl w:val="3"/>
    </w:pPr>
    <w:rPr>
      <w:rFonts w:eastAsiaTheme="majorEastAsia" w:cstheme="majorBidi"/>
      <w:b/>
      <w:bCs/>
      <w:iCs/>
      <w:color w:val="BCCF00"/>
      <w:sz w:val="22"/>
    </w:rPr>
  </w:style>
  <w:style w:type="paragraph" w:styleId="Heading5">
    <w:name w:val="heading 5"/>
    <w:aliases w:val="T5 Sciensano,T5"/>
    <w:basedOn w:val="Normal"/>
    <w:next w:val="BodySciensano"/>
    <w:link w:val="Heading5Char"/>
    <w:uiPriority w:val="9"/>
    <w:qFormat/>
    <w:rsid w:val="002C71DA"/>
    <w:pPr>
      <w:keepNext/>
      <w:keepLines/>
      <w:numPr>
        <w:ilvl w:val="4"/>
        <w:numId w:val="3"/>
      </w:numPr>
      <w:suppressAutoHyphens/>
      <w:spacing w:before="200" w:after="100"/>
      <w:contextualSpacing/>
      <w:outlineLvl w:val="4"/>
    </w:pPr>
    <w:rPr>
      <w:rFonts w:eastAsiaTheme="majorEastAsia" w:cstheme="majorBidi"/>
      <w:b/>
      <w:color w:val="006633"/>
    </w:rPr>
  </w:style>
  <w:style w:type="paragraph" w:styleId="Heading6">
    <w:name w:val="heading 6"/>
    <w:aliases w:val="T6 Sciensano,T6"/>
    <w:basedOn w:val="Normal"/>
    <w:next w:val="BodySciensano"/>
    <w:link w:val="Heading6Char"/>
    <w:uiPriority w:val="9"/>
    <w:unhideWhenUsed/>
    <w:qFormat/>
    <w:rsid w:val="00E42D66"/>
    <w:pPr>
      <w:keepNext/>
      <w:keepLines/>
      <w:spacing w:after="200"/>
      <w:jc w:val="left"/>
      <w:outlineLvl w:val="5"/>
    </w:pPr>
    <w:rPr>
      <w:rFonts w:asciiTheme="minorHAnsi" w:eastAsiaTheme="majorEastAsia" w:hAnsiTheme="minorHAnsi" w:cstheme="majorBidi"/>
      <w:b/>
      <w:iCs/>
      <w:color w:val="39B54A"/>
      <w:sz w:val="32"/>
    </w:rPr>
  </w:style>
  <w:style w:type="paragraph" w:styleId="Heading7">
    <w:name w:val="heading 7"/>
    <w:aliases w:val="T7 Sciensano,T7"/>
    <w:basedOn w:val="Normal"/>
    <w:next w:val="BodySciensano"/>
    <w:link w:val="Heading7Char"/>
    <w:uiPriority w:val="9"/>
    <w:unhideWhenUsed/>
    <w:qFormat/>
    <w:rsid w:val="00E42D66"/>
    <w:pPr>
      <w:keepNext/>
      <w:keepLines/>
      <w:spacing w:after="200"/>
      <w:jc w:val="left"/>
      <w:outlineLvl w:val="6"/>
    </w:pPr>
    <w:rPr>
      <w:rFonts w:asciiTheme="minorHAnsi" w:eastAsiaTheme="majorEastAsia" w:hAnsiTheme="minorHAnsi" w:cstheme="majorBidi"/>
      <w:b/>
      <w:iCs/>
      <w:smallCaps/>
      <w:color w:val="39B54A"/>
      <w:sz w:val="28"/>
    </w:rPr>
  </w:style>
  <w:style w:type="paragraph" w:styleId="Heading8">
    <w:name w:val="heading 8"/>
    <w:aliases w:val="T8 Sciensano,T8"/>
    <w:basedOn w:val="Normal"/>
    <w:next w:val="BodySciensano"/>
    <w:link w:val="Heading8Char"/>
    <w:uiPriority w:val="9"/>
    <w:unhideWhenUsed/>
    <w:qFormat/>
    <w:rsid w:val="00E42D66"/>
    <w:pPr>
      <w:keepNext/>
      <w:keepLines/>
      <w:spacing w:after="200"/>
      <w:jc w:val="left"/>
      <w:outlineLvl w:val="7"/>
    </w:pPr>
    <w:rPr>
      <w:rFonts w:asciiTheme="minorHAnsi" w:eastAsiaTheme="majorEastAsia" w:hAnsiTheme="minorHAnsi" w:cstheme="majorBidi"/>
      <w:b/>
      <w:color w:val="B2D235"/>
      <w:sz w:val="22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0120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808285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5068"/>
    <w:pPr>
      <w:spacing w:line="240" w:lineRule="auto"/>
      <w:contextualSpacing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068"/>
    <w:rPr>
      <w:rFonts w:ascii="Tahoma" w:hAnsi="Tahoma" w:cs="Tahoma"/>
      <w:sz w:val="16"/>
      <w:szCs w:val="16"/>
      <w:lang w:val="en-GB"/>
    </w:rPr>
  </w:style>
  <w:style w:type="paragraph" w:customStyle="1" w:styleId="BodySciensano">
    <w:name w:val="Body Sciensano"/>
    <w:basedOn w:val="Normal"/>
    <w:qFormat/>
    <w:rsid w:val="009F3684"/>
    <w:pPr>
      <w:contextualSpacing/>
    </w:pPr>
  </w:style>
  <w:style w:type="paragraph" w:customStyle="1" w:styleId="BodyStrongSciensano">
    <w:name w:val="BodyStrong Sciensano"/>
    <w:basedOn w:val="Normal"/>
    <w:link w:val="BodyStrongSciensanoChar"/>
    <w:uiPriority w:val="17"/>
    <w:qFormat/>
    <w:rsid w:val="00D2082B"/>
    <w:pPr>
      <w:contextualSpacing/>
    </w:pPr>
    <w:rPr>
      <w:b/>
    </w:rPr>
  </w:style>
  <w:style w:type="character" w:customStyle="1" w:styleId="BodyStrongSciensanoChar">
    <w:name w:val="BodyStrong Sciensano Char"/>
    <w:basedOn w:val="DefaultParagraphFont"/>
    <w:link w:val="BodyStrongSciensano"/>
    <w:uiPriority w:val="17"/>
    <w:rsid w:val="004C0852"/>
    <w:rPr>
      <w:rFonts w:ascii="Arial" w:hAnsi="Arial"/>
      <w:b/>
      <w:color w:val="58595B"/>
      <w:sz w:val="20"/>
      <w:lang w:val="en-GB"/>
    </w:rPr>
  </w:style>
  <w:style w:type="character" w:styleId="BookTitle">
    <w:name w:val="Book Title"/>
    <w:basedOn w:val="DefaultParagraphFont"/>
    <w:uiPriority w:val="33"/>
    <w:qFormat/>
    <w:rsid w:val="006510FA"/>
    <w:rPr>
      <w:b/>
      <w:bCs/>
      <w:smallCaps/>
      <w:spacing w:val="5"/>
      <w:lang w:val="en-GB"/>
    </w:rPr>
  </w:style>
  <w:style w:type="paragraph" w:styleId="Caption">
    <w:name w:val="caption"/>
    <w:aliases w:val="Caption Sciensano"/>
    <w:basedOn w:val="Normal"/>
    <w:next w:val="BodySciensano"/>
    <w:uiPriority w:val="19"/>
    <w:qFormat/>
    <w:rsid w:val="00B03613"/>
    <w:pPr>
      <w:suppressAutoHyphens/>
      <w:contextualSpacing/>
    </w:pPr>
    <w:rPr>
      <w:b/>
      <w:bCs/>
      <w:color w:val="3AAA35"/>
      <w:szCs w:val="18"/>
    </w:rPr>
  </w:style>
  <w:style w:type="paragraph" w:styleId="Footer">
    <w:name w:val="footer"/>
    <w:basedOn w:val="Normal"/>
    <w:link w:val="FooterChar"/>
    <w:uiPriority w:val="99"/>
    <w:rsid w:val="00422096"/>
    <w:pPr>
      <w:tabs>
        <w:tab w:val="center" w:pos="4513"/>
        <w:tab w:val="right" w:pos="9026"/>
      </w:tabs>
      <w:spacing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422096"/>
    <w:rPr>
      <w:rFonts w:ascii="Arial" w:hAnsi="Arial"/>
      <w:sz w:val="20"/>
      <w:lang w:val="en-GB"/>
    </w:rPr>
  </w:style>
  <w:style w:type="character" w:styleId="FootnoteReference">
    <w:name w:val="footnote reference"/>
    <w:aliases w:val="Footnote Reference Sciensano"/>
    <w:basedOn w:val="DefaultParagraphFont"/>
    <w:uiPriority w:val="18"/>
    <w:rsid w:val="00DF1C3C"/>
    <w:rPr>
      <w:rFonts w:ascii="Arial" w:hAnsi="Arial"/>
      <w:color w:val="3AAA35"/>
      <w:sz w:val="17"/>
      <w:vertAlign w:val="superscript"/>
      <w:lang w:val="en-GB"/>
    </w:rPr>
  </w:style>
  <w:style w:type="paragraph" w:styleId="FootnoteText">
    <w:name w:val="footnote text"/>
    <w:aliases w:val="Footnote Text Sciensano"/>
    <w:basedOn w:val="Normal"/>
    <w:link w:val="FootnoteTextChar"/>
    <w:uiPriority w:val="18"/>
    <w:rsid w:val="00D2082B"/>
    <w:pPr>
      <w:suppressAutoHyphens/>
      <w:spacing w:line="240" w:lineRule="auto"/>
      <w:contextualSpacing/>
    </w:pPr>
    <w:rPr>
      <w:sz w:val="17"/>
    </w:rPr>
  </w:style>
  <w:style w:type="character" w:customStyle="1" w:styleId="FootnoteTextChar">
    <w:name w:val="Footnote Text Char"/>
    <w:aliases w:val="Footnote Text Sciensano Char"/>
    <w:basedOn w:val="DefaultParagraphFont"/>
    <w:link w:val="FootnoteText"/>
    <w:uiPriority w:val="18"/>
    <w:rsid w:val="004C0852"/>
    <w:rPr>
      <w:rFonts w:ascii="Arial" w:hAnsi="Arial"/>
      <w:color w:val="58595B"/>
      <w:sz w:val="17"/>
      <w:szCs w:val="20"/>
      <w:lang w:val="en-GB"/>
    </w:rPr>
  </w:style>
  <w:style w:type="table" w:customStyle="1" w:styleId="TableGridLight1">
    <w:name w:val="Table Grid Light1"/>
    <w:basedOn w:val="TableNormal"/>
    <w:uiPriority w:val="40"/>
    <w:rsid w:val="0076109F"/>
    <w:pPr>
      <w:spacing w:line="240" w:lineRule="auto"/>
    </w:pPr>
    <w:tblPr>
      <w:tblBorders>
        <w:top w:val="single" w:sz="4" w:space="0" w:color="7B7B7B" w:themeColor="background1" w:themeShade="BF"/>
        <w:left w:val="single" w:sz="4" w:space="0" w:color="7B7B7B" w:themeColor="background1" w:themeShade="BF"/>
        <w:bottom w:val="single" w:sz="4" w:space="0" w:color="7B7B7B" w:themeColor="background1" w:themeShade="BF"/>
        <w:right w:val="single" w:sz="4" w:space="0" w:color="7B7B7B" w:themeColor="background1" w:themeShade="BF"/>
        <w:insideH w:val="single" w:sz="4" w:space="0" w:color="7B7B7B" w:themeColor="background1" w:themeShade="BF"/>
        <w:insideV w:val="single" w:sz="4" w:space="0" w:color="7B7B7B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344B2E"/>
    <w:pPr>
      <w:tabs>
        <w:tab w:val="center" w:pos="4513"/>
        <w:tab w:val="right" w:pos="9026"/>
      </w:tabs>
      <w:spacing w:line="240" w:lineRule="auto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344B2E"/>
    <w:rPr>
      <w:rFonts w:ascii="Arial" w:hAnsi="Arial"/>
      <w:sz w:val="20"/>
      <w:lang w:val="en-GB"/>
    </w:rPr>
  </w:style>
  <w:style w:type="character" w:customStyle="1" w:styleId="Heading1Char">
    <w:name w:val="Heading 1 Char"/>
    <w:aliases w:val="T1 Sciensano Char,T1 Char"/>
    <w:basedOn w:val="DefaultParagraphFont"/>
    <w:link w:val="Heading1"/>
    <w:uiPriority w:val="9"/>
    <w:rsid w:val="00816CDA"/>
    <w:rPr>
      <w:rFonts w:ascii="Arial" w:eastAsiaTheme="majorEastAsia" w:hAnsi="Arial" w:cstheme="majorBidi"/>
      <w:b/>
      <w:bCs/>
      <w:caps/>
      <w:color w:val="3AAA35"/>
      <w:spacing w:val="20"/>
      <w:sz w:val="40"/>
      <w:szCs w:val="28"/>
      <w:lang w:val="en-GB"/>
    </w:rPr>
  </w:style>
  <w:style w:type="character" w:customStyle="1" w:styleId="Heading2Char">
    <w:name w:val="Heading 2 Char"/>
    <w:aliases w:val="T2 Sciensano Char,T2 Char"/>
    <w:basedOn w:val="DefaultParagraphFont"/>
    <w:link w:val="Heading2"/>
    <w:uiPriority w:val="9"/>
    <w:rsid w:val="006A2B32"/>
    <w:rPr>
      <w:rFonts w:ascii="Arial" w:eastAsiaTheme="majorEastAsia" w:hAnsi="Arial" w:cstheme="majorBidi"/>
      <w:b/>
      <w:bCs/>
      <w:color w:val="BCCF00"/>
      <w:spacing w:val="20"/>
      <w:sz w:val="36"/>
      <w:szCs w:val="26"/>
      <w:lang w:val="en-GB"/>
    </w:rPr>
  </w:style>
  <w:style w:type="character" w:customStyle="1" w:styleId="Heading3Char">
    <w:name w:val="Heading 3 Char"/>
    <w:aliases w:val="T3 Sciensano Char,T3 Char"/>
    <w:basedOn w:val="DefaultParagraphFont"/>
    <w:link w:val="Heading3"/>
    <w:uiPriority w:val="9"/>
    <w:rsid w:val="00E93BFD"/>
    <w:rPr>
      <w:rFonts w:eastAsiaTheme="majorEastAsia" w:cstheme="majorBidi"/>
      <w:b/>
      <w:bCs/>
      <w:caps/>
      <w:color w:val="3AAA35"/>
      <w:sz w:val="22"/>
    </w:rPr>
  </w:style>
  <w:style w:type="character" w:customStyle="1" w:styleId="Heading4Char">
    <w:name w:val="Heading 4 Char"/>
    <w:aliases w:val="T4 Sciensano Char,T4 Char"/>
    <w:basedOn w:val="DefaultParagraphFont"/>
    <w:link w:val="Heading4"/>
    <w:uiPriority w:val="9"/>
    <w:rsid w:val="00E93BFD"/>
    <w:rPr>
      <w:rFonts w:eastAsiaTheme="majorEastAsia" w:cstheme="majorBidi"/>
      <w:b/>
      <w:bCs/>
      <w:iCs/>
      <w:color w:val="BCCF00"/>
      <w:sz w:val="22"/>
    </w:rPr>
  </w:style>
  <w:style w:type="character" w:customStyle="1" w:styleId="Heading5Char">
    <w:name w:val="Heading 5 Char"/>
    <w:aliases w:val="T5 Sciensano Char,T5 Char"/>
    <w:basedOn w:val="DefaultParagraphFont"/>
    <w:link w:val="Heading5"/>
    <w:uiPriority w:val="9"/>
    <w:rsid w:val="002C71DA"/>
    <w:rPr>
      <w:rFonts w:ascii="Arial" w:eastAsiaTheme="majorEastAsia" w:hAnsi="Arial" w:cstheme="majorBidi"/>
      <w:b/>
      <w:color w:val="006633"/>
      <w:sz w:val="20"/>
      <w:lang w:val="en-GB"/>
    </w:rPr>
  </w:style>
  <w:style w:type="paragraph" w:customStyle="1" w:styleId="HeadingT2hyphen">
    <w:name w:val="Heading T2 hyphen"/>
    <w:basedOn w:val="Normal"/>
    <w:uiPriority w:val="9"/>
    <w:qFormat/>
    <w:rsid w:val="00A22015"/>
    <w:pPr>
      <w:spacing w:after="360"/>
      <w:contextualSpacing/>
      <w:jc w:val="center"/>
    </w:pPr>
    <w:rPr>
      <w:b/>
      <w:caps/>
      <w:color w:val="BCCF00"/>
      <w:sz w:val="36"/>
    </w:rPr>
  </w:style>
  <w:style w:type="character" w:styleId="Hyperlink">
    <w:name w:val="Hyperlink"/>
    <w:basedOn w:val="DefaultParagraphFont"/>
    <w:uiPriority w:val="99"/>
    <w:unhideWhenUsed/>
    <w:rsid w:val="00811DF0"/>
    <w:rPr>
      <w:color w:val="58595B" w:themeColor="hyperlink"/>
      <w:u w:val="single"/>
      <w:lang w:val="en-GB"/>
    </w:rPr>
  </w:style>
  <w:style w:type="paragraph" w:styleId="ListBullet">
    <w:name w:val="List Bullet"/>
    <w:aliases w:val="Bullet level 1 Sciensano"/>
    <w:basedOn w:val="Normal"/>
    <w:uiPriority w:val="10"/>
    <w:qFormat/>
    <w:rsid w:val="002542CC"/>
    <w:pPr>
      <w:numPr>
        <w:numId w:val="1"/>
      </w:numPr>
      <w:ind w:left="181" w:hanging="181"/>
    </w:pPr>
  </w:style>
  <w:style w:type="paragraph" w:styleId="ListBullet2">
    <w:name w:val="List Bullet 2"/>
    <w:aliases w:val="Bullet level 2 Sciensano"/>
    <w:basedOn w:val="Normal"/>
    <w:uiPriority w:val="10"/>
    <w:rsid w:val="002542CC"/>
    <w:pPr>
      <w:numPr>
        <w:ilvl w:val="1"/>
        <w:numId w:val="1"/>
      </w:numPr>
      <w:ind w:left="323" w:hanging="181"/>
    </w:pPr>
  </w:style>
  <w:style w:type="paragraph" w:styleId="ListBullet3">
    <w:name w:val="List Bullet 3"/>
    <w:aliases w:val="Bullet level 3 Sciensano"/>
    <w:basedOn w:val="Normal"/>
    <w:uiPriority w:val="10"/>
    <w:rsid w:val="002542CC"/>
    <w:pPr>
      <w:numPr>
        <w:ilvl w:val="2"/>
        <w:numId w:val="1"/>
      </w:numPr>
      <w:ind w:left="465" w:hanging="181"/>
      <w:contextualSpacing/>
    </w:pPr>
  </w:style>
  <w:style w:type="paragraph" w:styleId="ListNumber">
    <w:name w:val="List Number"/>
    <w:aliases w:val="Numbering level 1 Sciensano"/>
    <w:basedOn w:val="Normal"/>
    <w:uiPriority w:val="12"/>
    <w:rsid w:val="00571889"/>
    <w:pPr>
      <w:numPr>
        <w:numId w:val="5"/>
      </w:numPr>
    </w:pPr>
  </w:style>
  <w:style w:type="paragraph" w:styleId="ListNumber2">
    <w:name w:val="List Number 2"/>
    <w:aliases w:val="Numbering level 2 Sciensano"/>
    <w:basedOn w:val="Normal"/>
    <w:uiPriority w:val="13"/>
    <w:rsid w:val="00571889"/>
    <w:pPr>
      <w:numPr>
        <w:ilvl w:val="1"/>
        <w:numId w:val="5"/>
      </w:numPr>
    </w:pPr>
  </w:style>
  <w:style w:type="paragraph" w:styleId="ListNumber3">
    <w:name w:val="List Number 3"/>
    <w:aliases w:val="Numbering level 3 Sciensano"/>
    <w:basedOn w:val="Normal"/>
    <w:uiPriority w:val="13"/>
    <w:rsid w:val="00571889"/>
    <w:pPr>
      <w:numPr>
        <w:ilvl w:val="2"/>
        <w:numId w:val="5"/>
      </w:numPr>
    </w:pPr>
  </w:style>
  <w:style w:type="paragraph" w:styleId="ListParagraph">
    <w:name w:val="List Paragraph"/>
    <w:basedOn w:val="Normal"/>
    <w:uiPriority w:val="34"/>
    <w:qFormat/>
    <w:rsid w:val="009B622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B4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PlaceholderText">
    <w:name w:val="Placeholder Text"/>
    <w:basedOn w:val="DefaultParagraphFont"/>
    <w:uiPriority w:val="99"/>
    <w:semiHidden/>
    <w:rsid w:val="0084062F"/>
    <w:rPr>
      <w:color w:val="808080"/>
      <w:lang w:val="en-GB"/>
    </w:rPr>
  </w:style>
  <w:style w:type="paragraph" w:customStyle="1" w:styleId="AddressSciensano">
    <w:name w:val="Address Sciensano"/>
    <w:basedOn w:val="Normal"/>
    <w:uiPriority w:val="14"/>
    <w:qFormat/>
    <w:rsid w:val="00F77B99"/>
    <w:pPr>
      <w:tabs>
        <w:tab w:val="left" w:pos="5103"/>
      </w:tabs>
      <w:spacing w:after="120" w:line="240" w:lineRule="auto"/>
      <w:contextualSpacing/>
    </w:pPr>
  </w:style>
  <w:style w:type="numbering" w:customStyle="1" w:styleId="SciensanoListBullets">
    <w:name w:val="Sciensano List Bullets"/>
    <w:uiPriority w:val="99"/>
    <w:rsid w:val="003023F0"/>
    <w:pPr>
      <w:numPr>
        <w:numId w:val="1"/>
      </w:numPr>
    </w:pPr>
  </w:style>
  <w:style w:type="numbering" w:customStyle="1" w:styleId="SciensanoListNumber">
    <w:name w:val="Sciensano List Number"/>
    <w:uiPriority w:val="99"/>
    <w:rsid w:val="00D43E8D"/>
  </w:style>
  <w:style w:type="table" w:customStyle="1" w:styleId="SciensanoTable">
    <w:name w:val="Sciensano Table"/>
    <w:basedOn w:val="TableNormal"/>
    <w:uiPriority w:val="99"/>
    <w:rsid w:val="007733FA"/>
    <w:pPr>
      <w:spacing w:line="240" w:lineRule="auto"/>
      <w:jc w:val="center"/>
    </w:pPr>
    <w:tblPr>
      <w:tblStyleRowBandSize w:val="1"/>
      <w:tblBorders>
        <w:insideH w:val="single" w:sz="4" w:space="0" w:color="BCCF00"/>
      </w:tblBorders>
    </w:tblPr>
    <w:tblStylePr w:type="firstRow">
      <w:rPr>
        <w:rFonts w:ascii="Arial" w:hAnsi="Arial"/>
        <w:b/>
        <w:color w:val="FFFFFF"/>
        <w:sz w:val="20"/>
      </w:rPr>
      <w:tblPr/>
      <w:tcPr>
        <w:shd w:val="clear" w:color="auto" w:fill="3AAA35"/>
      </w:tcPr>
    </w:tblStylePr>
    <w:tblStylePr w:type="lastRow">
      <w:rPr>
        <w:rFonts w:ascii="Arial" w:hAnsi="Arial"/>
        <w:b w:val="0"/>
        <w:i w:val="0"/>
        <w:caps/>
        <w:smallCaps w:val="0"/>
        <w:color w:val="58595B"/>
        <w:sz w:val="20"/>
      </w:rPr>
      <w:tblPr/>
      <w:tcPr>
        <w:shd w:val="clear" w:color="auto" w:fill="BCCF00"/>
      </w:tcPr>
    </w:tblStylePr>
    <w:tblStylePr w:type="firstCol">
      <w:pPr>
        <w:wordWrap/>
        <w:jc w:val="left"/>
      </w:pPr>
    </w:tblStylePr>
    <w:tblStylePr w:type="band1Horz">
      <w:rPr>
        <w:rFonts w:ascii="Arial" w:hAnsi="Arial"/>
        <w:color w:val="58595B"/>
        <w:sz w:val="20"/>
      </w:rPr>
    </w:tblStylePr>
    <w:tblStylePr w:type="band2Horz">
      <w:rPr>
        <w:rFonts w:ascii="Arial" w:hAnsi="Arial"/>
        <w:color w:val="58595B"/>
      </w:rPr>
    </w:tblStylePr>
  </w:style>
  <w:style w:type="paragraph" w:customStyle="1" w:styleId="TableHeaderStyleSciensano">
    <w:name w:val="Table Header Style Sciensano"/>
    <w:basedOn w:val="Normal"/>
    <w:uiPriority w:val="16"/>
    <w:qFormat/>
    <w:rsid w:val="00421CB1"/>
    <w:pPr>
      <w:suppressAutoHyphens/>
      <w:spacing w:line="240" w:lineRule="auto"/>
      <w:contextualSpacing/>
    </w:pPr>
    <w:rPr>
      <w:b/>
      <w:color w:val="A5A5A5" w:themeColor="background1"/>
    </w:rPr>
  </w:style>
  <w:style w:type="numbering" w:customStyle="1" w:styleId="ScienscanoListNumbers">
    <w:name w:val="Scienscano List Numbers"/>
    <w:uiPriority w:val="99"/>
    <w:rsid w:val="00571889"/>
    <w:pPr>
      <w:numPr>
        <w:numId w:val="2"/>
      </w:numPr>
    </w:pPr>
  </w:style>
  <w:style w:type="table" w:styleId="TableGrid">
    <w:name w:val="Table Grid"/>
    <w:basedOn w:val="TableNormal"/>
    <w:uiPriority w:val="59"/>
    <w:rsid w:val="009600C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BodySciensano"/>
    <w:uiPriority w:val="99"/>
    <w:unhideWhenUsed/>
    <w:rsid w:val="009528F7"/>
    <w:pPr>
      <w:suppressAutoHyphens/>
      <w:ind w:right="567"/>
      <w:contextualSpacing/>
    </w:pPr>
    <w:rPr>
      <w:sz w:val="18"/>
    </w:rPr>
  </w:style>
  <w:style w:type="paragraph" w:styleId="Title">
    <w:name w:val="Title"/>
    <w:basedOn w:val="Normal"/>
    <w:next w:val="Normal"/>
    <w:link w:val="TitleChar"/>
    <w:uiPriority w:val="19"/>
    <w:unhideWhenUsed/>
    <w:qFormat/>
    <w:rsid w:val="00CD10C1"/>
    <w:pPr>
      <w:pBdr>
        <w:bottom w:val="single" w:sz="8" w:space="4" w:color="3AAA3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4C26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9"/>
    <w:rsid w:val="006C03D5"/>
    <w:rPr>
      <w:rFonts w:asciiTheme="majorHAnsi" w:eastAsiaTheme="majorEastAsia" w:hAnsiTheme="majorHAnsi" w:cstheme="majorBidi"/>
      <w:color w:val="004C26" w:themeColor="text2" w:themeShade="BF"/>
      <w:spacing w:val="5"/>
      <w:kern w:val="28"/>
      <w:sz w:val="52"/>
      <w:szCs w:val="52"/>
      <w:lang w:val="en-GB"/>
    </w:rPr>
  </w:style>
  <w:style w:type="paragraph" w:styleId="TOC1">
    <w:name w:val="toc 1"/>
    <w:basedOn w:val="Normal"/>
    <w:next w:val="BodySciensano"/>
    <w:autoRedefine/>
    <w:uiPriority w:val="39"/>
    <w:rsid w:val="00F45F34"/>
    <w:pPr>
      <w:tabs>
        <w:tab w:val="right" w:leader="dot" w:pos="9016"/>
      </w:tabs>
      <w:suppressAutoHyphens/>
      <w:ind w:right="454"/>
      <w:contextualSpacing/>
    </w:pPr>
    <w:rPr>
      <w:b/>
      <w:caps/>
      <w:color w:val="3AAA35"/>
      <w:sz w:val="18"/>
    </w:rPr>
  </w:style>
  <w:style w:type="paragraph" w:styleId="TOC2">
    <w:name w:val="toc 2"/>
    <w:basedOn w:val="Normal"/>
    <w:next w:val="BodySciensano"/>
    <w:autoRedefine/>
    <w:uiPriority w:val="39"/>
    <w:rsid w:val="00FD2969"/>
    <w:pPr>
      <w:tabs>
        <w:tab w:val="right" w:leader="dot" w:pos="9016"/>
      </w:tabs>
      <w:suppressAutoHyphens/>
      <w:spacing w:before="60"/>
      <w:ind w:left="170" w:right="454"/>
      <w:contextualSpacing/>
    </w:pPr>
    <w:rPr>
      <w:b/>
      <w:noProof/>
      <w:sz w:val="18"/>
    </w:rPr>
  </w:style>
  <w:style w:type="paragraph" w:styleId="TOC3">
    <w:name w:val="toc 3"/>
    <w:basedOn w:val="Normal"/>
    <w:next w:val="BodySciensano"/>
    <w:autoRedefine/>
    <w:uiPriority w:val="39"/>
    <w:rsid w:val="00F45F34"/>
    <w:pPr>
      <w:tabs>
        <w:tab w:val="right" w:leader="dot" w:pos="9016"/>
      </w:tabs>
      <w:suppressAutoHyphens/>
      <w:ind w:left="340" w:right="454"/>
      <w:contextualSpacing/>
    </w:pPr>
    <w:rPr>
      <w:noProof/>
      <w:sz w:val="18"/>
    </w:rPr>
  </w:style>
  <w:style w:type="paragraph" w:styleId="TOCHeading">
    <w:name w:val="TOC Heading"/>
    <w:basedOn w:val="Heading1"/>
    <w:next w:val="BodySciensano"/>
    <w:uiPriority w:val="39"/>
    <w:qFormat/>
    <w:rsid w:val="00CF2431"/>
    <w:pPr>
      <w:numPr>
        <w:numId w:val="0"/>
      </w:numPr>
      <w:spacing w:before="480"/>
      <w:contextualSpacing w:val="0"/>
      <w:outlineLvl w:val="9"/>
    </w:pPr>
    <w:rPr>
      <w:lang w:eastAsia="ja-JP"/>
    </w:rPr>
  </w:style>
  <w:style w:type="paragraph" w:styleId="EndnoteText">
    <w:name w:val="endnote text"/>
    <w:aliases w:val="Endnote Text Sciensano"/>
    <w:basedOn w:val="Normal"/>
    <w:link w:val="EndnoteTextChar"/>
    <w:uiPriority w:val="18"/>
    <w:rsid w:val="00370383"/>
    <w:pPr>
      <w:spacing w:line="240" w:lineRule="auto"/>
    </w:pPr>
    <w:rPr>
      <w:sz w:val="17"/>
    </w:rPr>
  </w:style>
  <w:style w:type="character" w:customStyle="1" w:styleId="EndnoteTextChar">
    <w:name w:val="Endnote Text Char"/>
    <w:aliases w:val="Endnote Text Sciensano Char"/>
    <w:basedOn w:val="DefaultParagraphFont"/>
    <w:link w:val="EndnoteText"/>
    <w:uiPriority w:val="18"/>
    <w:rsid w:val="004C0852"/>
    <w:rPr>
      <w:rFonts w:ascii="Arial" w:hAnsi="Arial"/>
      <w:color w:val="58595B"/>
      <w:sz w:val="17"/>
      <w:szCs w:val="20"/>
      <w:lang w:val="en-GB"/>
    </w:rPr>
  </w:style>
  <w:style w:type="character" w:styleId="EndnoteReference">
    <w:name w:val="endnote reference"/>
    <w:basedOn w:val="DefaultParagraphFont"/>
    <w:uiPriority w:val="18"/>
    <w:semiHidden/>
    <w:rsid w:val="00E173E9"/>
    <w:rPr>
      <w:vertAlign w:val="superscript"/>
      <w:lang w:val="en-GB"/>
    </w:rPr>
  </w:style>
  <w:style w:type="paragraph" w:styleId="NoSpacing">
    <w:name w:val="No Spacing"/>
    <w:uiPriority w:val="17"/>
    <w:semiHidden/>
    <w:qFormat/>
    <w:rsid w:val="00034DE5"/>
    <w:pPr>
      <w:spacing w:line="240" w:lineRule="auto"/>
    </w:pPr>
    <w:rPr>
      <w:lang w:val="en-GB"/>
    </w:rPr>
  </w:style>
  <w:style w:type="character" w:styleId="SubtleEmphasis">
    <w:name w:val="Subtle Emphasis"/>
    <w:basedOn w:val="DefaultParagraphFont"/>
    <w:uiPriority w:val="19"/>
    <w:qFormat/>
    <w:rsid w:val="00034DE5"/>
    <w:rPr>
      <w:i/>
      <w:iCs/>
      <w:color w:val="ABACAE" w:themeColor="text1" w:themeTint="7F"/>
      <w:lang w:val="en-GB"/>
    </w:rPr>
  </w:style>
  <w:style w:type="paragraph" w:customStyle="1" w:styleId="HeadingT2HyphenNoSpacing">
    <w:name w:val="Heading T2 Hyphen No Spacing"/>
    <w:basedOn w:val="HeadingT2hyphen"/>
    <w:next w:val="BodySciensano"/>
    <w:qFormat/>
    <w:rsid w:val="00891126"/>
    <w:pPr>
      <w:spacing w:after="0"/>
    </w:pPr>
  </w:style>
  <w:style w:type="paragraph" w:customStyle="1" w:styleId="ChapterHeaderSciensano">
    <w:name w:val="Chapter Header Sciensano"/>
    <w:basedOn w:val="BodySciensano"/>
    <w:uiPriority w:val="14"/>
    <w:qFormat/>
    <w:rsid w:val="009D2953"/>
    <w:pPr>
      <w:jc w:val="center"/>
    </w:pPr>
    <w:rPr>
      <w:caps/>
      <w:color w:val="A5A5A5"/>
    </w:rPr>
  </w:style>
  <w:style w:type="paragraph" w:customStyle="1" w:styleId="AbbreviationsSciensano">
    <w:name w:val="Abbreviations Sciensano"/>
    <w:basedOn w:val="BodySciensano"/>
    <w:next w:val="BodySciensano"/>
    <w:uiPriority w:val="17"/>
    <w:qFormat/>
    <w:rsid w:val="00B36DA1"/>
    <w:rPr>
      <w:b/>
      <w:color w:val="3AAA35"/>
    </w:rPr>
  </w:style>
  <w:style w:type="paragraph" w:customStyle="1" w:styleId="CaptionAnnexesSciensano">
    <w:name w:val="Caption Annexes Sciensano"/>
    <w:basedOn w:val="Caption"/>
    <w:next w:val="BodySciensano"/>
    <w:uiPriority w:val="19"/>
    <w:qFormat/>
    <w:rsid w:val="004E4ECF"/>
    <w:pPr>
      <w:jc w:val="center"/>
    </w:pPr>
  </w:style>
  <w:style w:type="paragraph" w:styleId="Bibliography">
    <w:name w:val="Bibliography"/>
    <w:basedOn w:val="Normal"/>
    <w:next w:val="Normal"/>
    <w:uiPriority w:val="37"/>
    <w:semiHidden/>
    <w:unhideWhenUsed/>
    <w:rsid w:val="00901205"/>
  </w:style>
  <w:style w:type="paragraph" w:styleId="BlockText">
    <w:name w:val="Block Text"/>
    <w:basedOn w:val="Normal"/>
    <w:uiPriority w:val="99"/>
    <w:semiHidden/>
    <w:unhideWhenUsed/>
    <w:rsid w:val="00901205"/>
    <w:pPr>
      <w:pBdr>
        <w:top w:val="single" w:sz="2" w:space="10" w:color="3AAA35" w:themeColor="accent1" w:shadow="1" w:frame="1"/>
        <w:left w:val="single" w:sz="2" w:space="10" w:color="3AAA35" w:themeColor="accent1" w:shadow="1" w:frame="1"/>
        <w:bottom w:val="single" w:sz="2" w:space="10" w:color="3AAA35" w:themeColor="accent1" w:shadow="1" w:frame="1"/>
        <w:right w:val="single" w:sz="2" w:space="10" w:color="3AAA35" w:themeColor="accent1" w:shadow="1" w:frame="1"/>
      </w:pBdr>
      <w:ind w:left="1152" w:right="1152"/>
    </w:pPr>
    <w:rPr>
      <w:rFonts w:eastAsiaTheme="minorEastAsia"/>
      <w:i/>
      <w:iCs/>
      <w:color w:val="3AAA3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0120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01205"/>
    <w:rPr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0120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01205"/>
    <w:rPr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90120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01205"/>
    <w:rPr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0120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01205"/>
    <w:rPr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0120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01205"/>
    <w:rPr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0120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01205"/>
    <w:rPr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0120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01205"/>
    <w:rPr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0120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01205"/>
    <w:rPr>
      <w:sz w:val="16"/>
      <w:szCs w:val="16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901205"/>
    <w:pPr>
      <w:spacing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01205"/>
    <w:rPr>
      <w:lang w:val="en-GB"/>
    </w:rPr>
  </w:style>
  <w:style w:type="table" w:styleId="ColorfulGrid">
    <w:name w:val="Colorful Grid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DDDDDE" w:themeFill="text1" w:themeFillTint="33"/>
    </w:tcPr>
    <w:tblStylePr w:type="firstRow">
      <w:rPr>
        <w:b/>
        <w:bCs/>
      </w:rPr>
      <w:tblPr/>
      <w:tcPr>
        <w:shd w:val="clear" w:color="auto" w:fill="BBBCBD" w:themeFill="text1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BBBCBD" w:themeFill="text1" w:themeFillTint="66"/>
      </w:tcPr>
    </w:tblStylePr>
    <w:tblStylePr w:type="firstCol">
      <w:rPr>
        <w:color w:val="A5A5A5" w:themeColor="background1"/>
      </w:rPr>
      <w:tblPr/>
      <w:tcPr>
        <w:shd w:val="clear" w:color="auto" w:fill="424244" w:themeFill="text1" w:themeFillShade="BF"/>
      </w:tcPr>
    </w:tblStylePr>
    <w:tblStylePr w:type="lastCol">
      <w:rPr>
        <w:color w:val="A5A5A5" w:themeColor="background1"/>
      </w:rPr>
      <w:tblPr/>
      <w:tcPr>
        <w:shd w:val="clear" w:color="auto" w:fill="424244" w:themeFill="text1" w:themeFillShade="BF"/>
      </w:tcPr>
    </w:tblStylePr>
    <w:tblStylePr w:type="band1Vert">
      <w:tblPr/>
      <w:tcPr>
        <w:shd w:val="clear" w:color="auto" w:fill="ABACAE" w:themeFill="text1" w:themeFillTint="7F"/>
      </w:tcPr>
    </w:tblStylePr>
    <w:tblStylePr w:type="band1Horz">
      <w:tblPr/>
      <w:tcPr>
        <w:shd w:val="clear" w:color="auto" w:fill="ABACAE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D4F1D3" w:themeFill="accent1" w:themeFillTint="33"/>
    </w:tcPr>
    <w:tblStylePr w:type="firstRow">
      <w:rPr>
        <w:b/>
        <w:bCs/>
      </w:rPr>
      <w:tblPr/>
      <w:tcPr>
        <w:shd w:val="clear" w:color="auto" w:fill="A9E3A7" w:themeFill="accent1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A9E3A7" w:themeFill="accent1" w:themeFillTint="66"/>
      </w:tcPr>
    </w:tblStylePr>
    <w:tblStylePr w:type="firstCol">
      <w:rPr>
        <w:color w:val="A5A5A5" w:themeColor="background1"/>
      </w:rPr>
      <w:tblPr/>
      <w:tcPr>
        <w:shd w:val="clear" w:color="auto" w:fill="2B7F27" w:themeFill="accent1" w:themeFillShade="BF"/>
      </w:tcPr>
    </w:tblStylePr>
    <w:tblStylePr w:type="lastCol">
      <w:rPr>
        <w:color w:val="A5A5A5" w:themeColor="background1"/>
      </w:rPr>
      <w:tblPr/>
      <w:tcPr>
        <w:shd w:val="clear" w:color="auto" w:fill="2B7F27" w:themeFill="accent1" w:themeFillShade="BF"/>
      </w:tcPr>
    </w:tblStylePr>
    <w:tblStylePr w:type="band1Vert">
      <w:tblPr/>
      <w:tcPr>
        <w:shd w:val="clear" w:color="auto" w:fill="94DD92" w:themeFill="accent1" w:themeFillTint="7F"/>
      </w:tcPr>
    </w:tblStylePr>
    <w:tblStylePr w:type="band1Horz">
      <w:tblPr/>
      <w:tcPr>
        <w:shd w:val="clear" w:color="auto" w:fill="94DD92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ADFFD6" w:themeFill="accent2" w:themeFillTint="33"/>
    </w:tcPr>
    <w:tblStylePr w:type="firstRow">
      <w:rPr>
        <w:b/>
        <w:bCs/>
      </w:rPr>
      <w:tblPr/>
      <w:tcPr>
        <w:shd w:val="clear" w:color="auto" w:fill="5BFFAD" w:themeFill="accent2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5BFFAD" w:themeFill="accent2" w:themeFillTint="66"/>
      </w:tcPr>
    </w:tblStylePr>
    <w:tblStylePr w:type="firstCol">
      <w:rPr>
        <w:color w:val="A5A5A5" w:themeColor="background1"/>
      </w:rPr>
      <w:tblPr/>
      <w:tcPr>
        <w:shd w:val="clear" w:color="auto" w:fill="004C26" w:themeFill="accent2" w:themeFillShade="BF"/>
      </w:tcPr>
    </w:tblStylePr>
    <w:tblStylePr w:type="lastCol">
      <w:rPr>
        <w:color w:val="A5A5A5" w:themeColor="background1"/>
      </w:rPr>
      <w:tblPr/>
      <w:tcPr>
        <w:shd w:val="clear" w:color="auto" w:fill="004C26" w:themeFill="accent2" w:themeFillShade="BF"/>
      </w:tcPr>
    </w:tblStylePr>
    <w:tblStylePr w:type="band1Vert">
      <w:tblPr/>
      <w:tcPr>
        <w:shd w:val="clear" w:color="auto" w:fill="33FF98" w:themeFill="accent2" w:themeFillTint="7F"/>
      </w:tcPr>
    </w:tblStylePr>
    <w:tblStylePr w:type="band1Horz">
      <w:tblPr/>
      <w:tcPr>
        <w:shd w:val="clear" w:color="auto" w:fill="33FF98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F9FFC2" w:themeFill="accent3" w:themeFillTint="33"/>
    </w:tcPr>
    <w:tblStylePr w:type="firstRow">
      <w:rPr>
        <w:b/>
        <w:bCs/>
      </w:rPr>
      <w:tblPr/>
      <w:tcPr>
        <w:shd w:val="clear" w:color="auto" w:fill="F3FF85" w:themeFill="accent3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F3FF85" w:themeFill="accent3" w:themeFillTint="66"/>
      </w:tcPr>
    </w:tblStylePr>
    <w:tblStylePr w:type="firstCol">
      <w:rPr>
        <w:color w:val="A5A5A5" w:themeColor="background1"/>
      </w:rPr>
      <w:tblPr/>
      <w:tcPr>
        <w:shd w:val="clear" w:color="auto" w:fill="8C9B00" w:themeFill="accent3" w:themeFillShade="BF"/>
      </w:tcPr>
    </w:tblStylePr>
    <w:tblStylePr w:type="lastCol">
      <w:rPr>
        <w:color w:val="A5A5A5" w:themeColor="background1"/>
      </w:rPr>
      <w:tblPr/>
      <w:tcPr>
        <w:shd w:val="clear" w:color="auto" w:fill="8C9B00" w:themeFill="accent3" w:themeFillShade="BF"/>
      </w:tcPr>
    </w:tblStylePr>
    <w:tblStylePr w:type="band1Vert">
      <w:tblPr/>
      <w:tcPr>
        <w:shd w:val="clear" w:color="auto" w:fill="F0FF68" w:themeFill="accent3" w:themeFillTint="7F"/>
      </w:tcPr>
    </w:tblStylePr>
    <w:tblStylePr w:type="band1Horz">
      <w:tblPr/>
      <w:tcPr>
        <w:shd w:val="clear" w:color="auto" w:fill="F0FF68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FFF7CB" w:themeFill="accent4" w:themeFillTint="33"/>
    </w:tcPr>
    <w:tblStylePr w:type="firstRow">
      <w:rPr>
        <w:b/>
        <w:bCs/>
      </w:rPr>
      <w:tblPr/>
      <w:tcPr>
        <w:shd w:val="clear" w:color="auto" w:fill="FFEF97" w:themeFill="accent4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FFEF97" w:themeFill="accent4" w:themeFillTint="66"/>
      </w:tcPr>
    </w:tblStylePr>
    <w:tblStylePr w:type="firstCol">
      <w:rPr>
        <w:color w:val="A5A5A5" w:themeColor="background1"/>
      </w:rPr>
      <w:tblPr/>
      <w:tcPr>
        <w:shd w:val="clear" w:color="auto" w:fill="BB9F00" w:themeFill="accent4" w:themeFillShade="BF"/>
      </w:tcPr>
    </w:tblStylePr>
    <w:tblStylePr w:type="lastCol">
      <w:rPr>
        <w:color w:val="A5A5A5" w:themeColor="background1"/>
      </w:rPr>
      <w:tblPr/>
      <w:tcPr>
        <w:shd w:val="clear" w:color="auto" w:fill="BB9F00" w:themeFill="accent4" w:themeFillShade="BF"/>
      </w:tcPr>
    </w:tblStylePr>
    <w:tblStylePr w:type="band1Vert">
      <w:tblPr/>
      <w:tcPr>
        <w:shd w:val="clear" w:color="auto" w:fill="FFEB7D" w:themeFill="accent4" w:themeFillTint="7F"/>
      </w:tcPr>
    </w:tblStylePr>
    <w:tblStylePr w:type="band1Horz">
      <w:tblPr/>
      <w:tcPr>
        <w:shd w:val="clear" w:color="auto" w:fill="FFEB7D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FFECC9" w:themeFill="accent5" w:themeFillTint="33"/>
    </w:tcPr>
    <w:tblStylePr w:type="firstRow">
      <w:rPr>
        <w:b/>
        <w:bCs/>
      </w:rPr>
      <w:tblPr/>
      <w:tcPr>
        <w:shd w:val="clear" w:color="auto" w:fill="FFD993" w:themeFill="accent5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FFD993" w:themeFill="accent5" w:themeFillTint="66"/>
      </w:tcPr>
    </w:tblStylePr>
    <w:tblStylePr w:type="firstCol">
      <w:rPr>
        <w:color w:val="A5A5A5" w:themeColor="background1"/>
      </w:rPr>
      <w:tblPr/>
      <w:tcPr>
        <w:shd w:val="clear" w:color="auto" w:fill="B57500" w:themeFill="accent5" w:themeFillShade="BF"/>
      </w:tcPr>
    </w:tblStylePr>
    <w:tblStylePr w:type="lastCol">
      <w:rPr>
        <w:color w:val="A5A5A5" w:themeColor="background1"/>
      </w:rPr>
      <w:tblPr/>
      <w:tcPr>
        <w:shd w:val="clear" w:color="auto" w:fill="B57500" w:themeFill="accent5" w:themeFillShade="BF"/>
      </w:tcPr>
    </w:tblStylePr>
    <w:tblStylePr w:type="band1Vert">
      <w:tblPr/>
      <w:tcPr>
        <w:shd w:val="clear" w:color="auto" w:fill="FFCF79" w:themeFill="accent5" w:themeFillTint="7F"/>
      </w:tcPr>
    </w:tblStylePr>
    <w:tblStylePr w:type="band1Horz">
      <w:tblPr/>
      <w:tcPr>
        <w:shd w:val="clear" w:color="auto" w:fill="FFCF79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insideH w:val="single" w:sz="4" w:space="0" w:color="A5A5A5" w:themeColor="background1"/>
      </w:tblBorders>
    </w:tblPr>
    <w:tcPr>
      <w:shd w:val="clear" w:color="auto" w:fill="F8DACC" w:themeFill="accent6" w:themeFillTint="33"/>
    </w:tcPr>
    <w:tblStylePr w:type="firstRow">
      <w:rPr>
        <w:b/>
        <w:bCs/>
      </w:rPr>
      <w:tblPr/>
      <w:tcPr>
        <w:shd w:val="clear" w:color="auto" w:fill="F2B599" w:themeFill="accent6" w:themeFillTint="66"/>
      </w:tcPr>
    </w:tblStylePr>
    <w:tblStylePr w:type="lastRow">
      <w:rPr>
        <w:b/>
        <w:bCs/>
        <w:color w:val="58595B" w:themeColor="text1"/>
      </w:rPr>
      <w:tblPr/>
      <w:tcPr>
        <w:shd w:val="clear" w:color="auto" w:fill="F2B599" w:themeFill="accent6" w:themeFillTint="66"/>
      </w:tcPr>
    </w:tblStylePr>
    <w:tblStylePr w:type="firstCol">
      <w:rPr>
        <w:color w:val="A5A5A5" w:themeColor="background1"/>
      </w:rPr>
      <w:tblPr/>
      <w:tcPr>
        <w:shd w:val="clear" w:color="auto" w:fill="953B12" w:themeFill="accent6" w:themeFillShade="BF"/>
      </w:tcPr>
    </w:tblStylePr>
    <w:tblStylePr w:type="lastCol">
      <w:rPr>
        <w:color w:val="A5A5A5" w:themeColor="background1"/>
      </w:rPr>
      <w:tblPr/>
      <w:tcPr>
        <w:shd w:val="clear" w:color="auto" w:fill="953B12" w:themeFill="accent6" w:themeFillShade="BF"/>
      </w:tcPr>
    </w:tblStylePr>
    <w:tblStylePr w:type="band1Vert">
      <w:tblPr/>
      <w:tcPr>
        <w:shd w:val="clear" w:color="auto" w:fill="EFA380" w:themeFill="accent6" w:themeFillTint="7F"/>
      </w:tcPr>
    </w:tblStylePr>
    <w:tblStylePr w:type="band1Horz">
      <w:tblPr/>
      <w:tcPr>
        <w:shd w:val="clear" w:color="auto" w:fill="EFA380" w:themeFill="accent6" w:themeFillTint="7F"/>
      </w:tcPr>
    </w:tblStylePr>
  </w:style>
  <w:style w:type="table" w:styleId="ColorfulList">
    <w:name w:val="Colorful List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EEEEEF" w:themeFill="text1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005128" w:themeFill="accent2" w:themeFillShade="CC"/>
      </w:tcPr>
    </w:tblStylePr>
    <w:tblStylePr w:type="lastRow">
      <w:rPr>
        <w:b/>
        <w:bCs/>
        <w:color w:val="005128" w:themeColor="accent2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D5D6" w:themeFill="text1" w:themeFillTint="3F"/>
      </w:tcPr>
    </w:tblStylePr>
    <w:tblStylePr w:type="band1Horz">
      <w:tblPr/>
      <w:tcPr>
        <w:shd w:val="clear" w:color="auto" w:fill="DDDDDE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E9F8E9" w:themeFill="accent1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005128" w:themeFill="accent2" w:themeFillShade="CC"/>
      </w:tcPr>
    </w:tblStylePr>
    <w:tblStylePr w:type="lastRow">
      <w:rPr>
        <w:b/>
        <w:bCs/>
        <w:color w:val="005128" w:themeColor="accent2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EC8" w:themeFill="accent1" w:themeFillTint="3F"/>
      </w:tcPr>
    </w:tblStylePr>
    <w:tblStylePr w:type="band1Horz">
      <w:tblPr/>
      <w:tcPr>
        <w:shd w:val="clear" w:color="auto" w:fill="D4F1D3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D7FFEA" w:themeFill="accent2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005128" w:themeFill="accent2" w:themeFillShade="CC"/>
      </w:tcPr>
    </w:tblStylePr>
    <w:tblStylePr w:type="lastRow">
      <w:rPr>
        <w:b/>
        <w:bCs/>
        <w:color w:val="005128" w:themeColor="accent2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CC" w:themeFill="accent2" w:themeFillTint="3F"/>
      </w:tcPr>
    </w:tblStylePr>
    <w:tblStylePr w:type="band1Horz">
      <w:tblPr/>
      <w:tcPr>
        <w:shd w:val="clear" w:color="auto" w:fill="ADFFD6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FCFFE1" w:themeFill="accent3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C8AA00" w:themeFill="accent4" w:themeFillShade="CC"/>
      </w:tcPr>
    </w:tblStylePr>
    <w:tblStylePr w:type="lastRow">
      <w:rPr>
        <w:b/>
        <w:bCs/>
        <w:color w:val="C8AA00" w:themeColor="accent4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FB4" w:themeFill="accent3" w:themeFillTint="3F"/>
      </w:tcPr>
    </w:tblStylePr>
    <w:tblStylePr w:type="band1Horz">
      <w:tblPr/>
      <w:tcPr>
        <w:shd w:val="clear" w:color="auto" w:fill="F9FFC2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FFFBE5" w:themeFill="accent4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95A500" w:themeFill="accent3" w:themeFillShade="CC"/>
      </w:tcPr>
    </w:tblStylePr>
    <w:tblStylePr w:type="lastRow">
      <w:rPr>
        <w:b/>
        <w:bCs/>
        <w:color w:val="95A500" w:themeColor="accent3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BE" w:themeFill="accent4" w:themeFillTint="3F"/>
      </w:tcPr>
    </w:tblStylePr>
    <w:tblStylePr w:type="band1Horz">
      <w:tblPr/>
      <w:tcPr>
        <w:shd w:val="clear" w:color="auto" w:fill="FFF7CB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FFF5E4" w:themeFill="accent5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A03F14" w:themeFill="accent6" w:themeFillShade="CC"/>
      </w:tcPr>
    </w:tblStylePr>
    <w:tblStylePr w:type="lastRow">
      <w:rPr>
        <w:b/>
        <w:bCs/>
        <w:color w:val="A03F14" w:themeColor="accent6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7BC" w:themeFill="accent5" w:themeFillTint="3F"/>
      </w:tcPr>
    </w:tblStylePr>
    <w:tblStylePr w:type="band1Horz">
      <w:tblPr/>
      <w:tcPr>
        <w:shd w:val="clear" w:color="auto" w:fill="FFECC9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</w:tblPr>
    <w:tcPr>
      <w:shd w:val="clear" w:color="auto" w:fill="FCECE6" w:themeFill="accent6" w:themeFillTint="19"/>
    </w:tcPr>
    <w:tblStylePr w:type="firstRow">
      <w:rPr>
        <w:b/>
        <w:bCs/>
        <w:color w:val="A5A5A5" w:themeColor="background1"/>
      </w:rPr>
      <w:tblPr/>
      <w:tcPr>
        <w:tcBorders>
          <w:bottom w:val="single" w:sz="12" w:space="0" w:color="A5A5A5" w:themeColor="background1"/>
        </w:tcBorders>
        <w:shd w:val="clear" w:color="auto" w:fill="C17D00" w:themeFill="accent5" w:themeFillShade="CC"/>
      </w:tcPr>
    </w:tblStylePr>
    <w:tblStylePr w:type="lastRow">
      <w:rPr>
        <w:b/>
        <w:bCs/>
        <w:color w:val="C17D00" w:themeColor="accent5" w:themeShade="CC"/>
      </w:rPr>
      <w:tblPr/>
      <w:tcPr>
        <w:tcBorders>
          <w:top w:val="single" w:sz="12" w:space="0" w:color="58595B" w:themeColor="text1"/>
        </w:tcBorders>
        <w:shd w:val="clear" w:color="auto" w:fill="A5A5A5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1C0" w:themeFill="accent6" w:themeFillTint="3F"/>
      </w:tcPr>
    </w:tblStylePr>
    <w:tblStylePr w:type="band1Horz">
      <w:tblPr/>
      <w:tcPr>
        <w:shd w:val="clear" w:color="auto" w:fill="F8DACC" w:themeFill="accent6" w:themeFillTint="33"/>
      </w:tcPr>
    </w:tblStylePr>
  </w:style>
  <w:style w:type="table" w:styleId="ColorfulShading">
    <w:name w:val="Colorful Shading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006633" w:themeColor="accent2"/>
        <w:left w:val="single" w:sz="4" w:space="0" w:color="58595B" w:themeColor="text1"/>
        <w:bottom w:val="single" w:sz="4" w:space="0" w:color="58595B" w:themeColor="text1"/>
        <w:right w:val="single" w:sz="4" w:space="0" w:color="58595B" w:themeColor="text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EEEEEF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3" w:themeColor="accent2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343536" w:themeFill="text1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43536" w:themeColor="text1" w:themeShade="99"/>
          <w:insideV w:val="nil"/>
        </w:tcBorders>
        <w:shd w:val="clear" w:color="auto" w:fill="343536" w:themeFill="text1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244" w:themeFill="text1" w:themeFillShade="BF"/>
      </w:tcPr>
    </w:tblStylePr>
    <w:tblStylePr w:type="band1Vert">
      <w:tblPr/>
      <w:tcPr>
        <w:shd w:val="clear" w:color="auto" w:fill="BBBCBD" w:themeFill="text1" w:themeFillTint="66"/>
      </w:tcPr>
    </w:tblStylePr>
    <w:tblStylePr w:type="band1Horz">
      <w:tblPr/>
      <w:tcPr>
        <w:shd w:val="clear" w:color="auto" w:fill="ABACAE" w:themeFill="text1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1">
    <w:name w:val="Colorful Shading Accent 1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006633" w:themeColor="accent2"/>
        <w:left w:val="single" w:sz="4" w:space="0" w:color="3AAA35" w:themeColor="accent1"/>
        <w:bottom w:val="single" w:sz="4" w:space="0" w:color="3AAA35" w:themeColor="accent1"/>
        <w:right w:val="single" w:sz="4" w:space="0" w:color="3AAA35" w:themeColor="accent1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E9F8E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3" w:themeColor="accent2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22651F" w:themeFill="accent1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651F" w:themeColor="accent1" w:themeShade="99"/>
          <w:insideV w:val="nil"/>
        </w:tcBorders>
        <w:shd w:val="clear" w:color="auto" w:fill="22651F" w:themeFill="accent1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651F" w:themeFill="accent1" w:themeFillShade="99"/>
      </w:tcPr>
    </w:tblStylePr>
    <w:tblStylePr w:type="band1Vert">
      <w:tblPr/>
      <w:tcPr>
        <w:shd w:val="clear" w:color="auto" w:fill="A9E3A7" w:themeFill="accent1" w:themeFillTint="66"/>
      </w:tcPr>
    </w:tblStylePr>
    <w:tblStylePr w:type="band1Horz">
      <w:tblPr/>
      <w:tcPr>
        <w:shd w:val="clear" w:color="auto" w:fill="94DD92" w:themeFill="accent1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2">
    <w:name w:val="Colorful Shading Accent 2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006633" w:themeColor="accent2"/>
        <w:left w:val="single" w:sz="4" w:space="0" w:color="006633" w:themeColor="accent2"/>
        <w:bottom w:val="single" w:sz="4" w:space="0" w:color="006633" w:themeColor="accent2"/>
        <w:right w:val="single" w:sz="4" w:space="0" w:color="006633" w:themeColor="accent2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D7FF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3" w:themeColor="accent2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003D1E" w:themeFill="accent2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1E" w:themeColor="accent2" w:themeShade="99"/>
          <w:insideV w:val="nil"/>
        </w:tcBorders>
        <w:shd w:val="clear" w:color="auto" w:fill="003D1E" w:themeFill="accent2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1E" w:themeFill="accent2" w:themeFillShade="99"/>
      </w:tcPr>
    </w:tblStylePr>
    <w:tblStylePr w:type="band1Vert">
      <w:tblPr/>
      <w:tcPr>
        <w:shd w:val="clear" w:color="auto" w:fill="5BFFAD" w:themeFill="accent2" w:themeFillTint="66"/>
      </w:tcPr>
    </w:tblStylePr>
    <w:tblStylePr w:type="band1Horz">
      <w:tblPr/>
      <w:tcPr>
        <w:shd w:val="clear" w:color="auto" w:fill="33FF98" w:themeFill="accent2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3">
    <w:name w:val="Colorful Shading Accent 3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FAD500" w:themeColor="accent4"/>
        <w:left w:val="single" w:sz="4" w:space="0" w:color="BCCF00" w:themeColor="accent3"/>
        <w:bottom w:val="single" w:sz="4" w:space="0" w:color="BCCF00" w:themeColor="accent3"/>
        <w:right w:val="single" w:sz="4" w:space="0" w:color="BCCF00" w:themeColor="accent3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CFFE1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AD500" w:themeColor="accent4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707C00" w:themeFill="accent3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07C00" w:themeColor="accent3" w:themeShade="99"/>
          <w:insideV w:val="nil"/>
        </w:tcBorders>
        <w:shd w:val="clear" w:color="auto" w:fill="707C00" w:themeFill="accent3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C00" w:themeFill="accent3" w:themeFillShade="99"/>
      </w:tcPr>
    </w:tblStylePr>
    <w:tblStylePr w:type="band1Vert">
      <w:tblPr/>
      <w:tcPr>
        <w:shd w:val="clear" w:color="auto" w:fill="F3FF85" w:themeFill="accent3" w:themeFillTint="66"/>
      </w:tcPr>
    </w:tblStylePr>
    <w:tblStylePr w:type="band1Horz">
      <w:tblPr/>
      <w:tcPr>
        <w:shd w:val="clear" w:color="auto" w:fill="F0FF68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BCCF00" w:themeColor="accent3"/>
        <w:left w:val="single" w:sz="4" w:space="0" w:color="FAD500" w:themeColor="accent4"/>
        <w:bottom w:val="single" w:sz="4" w:space="0" w:color="FAD500" w:themeColor="accent4"/>
        <w:right w:val="single" w:sz="4" w:space="0" w:color="FAD500" w:themeColor="accent4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FFB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CCF00" w:themeColor="accent3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967F00" w:themeFill="accent4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67F00" w:themeColor="accent4" w:themeShade="99"/>
          <w:insideV w:val="nil"/>
        </w:tcBorders>
        <w:shd w:val="clear" w:color="auto" w:fill="967F00" w:themeFill="accent4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7F00" w:themeFill="accent4" w:themeFillShade="99"/>
      </w:tcPr>
    </w:tblStylePr>
    <w:tblStylePr w:type="band1Vert">
      <w:tblPr/>
      <w:tcPr>
        <w:shd w:val="clear" w:color="auto" w:fill="FFEF97" w:themeFill="accent4" w:themeFillTint="66"/>
      </w:tcPr>
    </w:tblStylePr>
    <w:tblStylePr w:type="band1Horz">
      <w:tblPr/>
      <w:tcPr>
        <w:shd w:val="clear" w:color="auto" w:fill="FFEB7D" w:themeFill="accent4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5">
    <w:name w:val="Colorful Shading Accent 5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C85019" w:themeColor="accent6"/>
        <w:left w:val="single" w:sz="4" w:space="0" w:color="F29D00" w:themeColor="accent5"/>
        <w:bottom w:val="single" w:sz="4" w:space="0" w:color="F29D00" w:themeColor="accent5"/>
        <w:right w:val="single" w:sz="4" w:space="0" w:color="F29D00" w:themeColor="accent5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FF5E4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5019" w:themeColor="accent6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915D00" w:themeFill="accent5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5D00" w:themeColor="accent5" w:themeShade="99"/>
          <w:insideV w:val="nil"/>
        </w:tcBorders>
        <w:shd w:val="clear" w:color="auto" w:fill="915D00" w:themeFill="accent5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5D00" w:themeFill="accent5" w:themeFillShade="99"/>
      </w:tcPr>
    </w:tblStylePr>
    <w:tblStylePr w:type="band1Vert">
      <w:tblPr/>
      <w:tcPr>
        <w:shd w:val="clear" w:color="auto" w:fill="FFD993" w:themeFill="accent5" w:themeFillTint="66"/>
      </w:tcPr>
    </w:tblStylePr>
    <w:tblStylePr w:type="band1Horz">
      <w:tblPr/>
      <w:tcPr>
        <w:shd w:val="clear" w:color="auto" w:fill="FFCF79" w:themeFill="accent5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table" w:styleId="ColorfulShading-Accent6">
    <w:name w:val="Colorful Shading Accent 6"/>
    <w:basedOn w:val="TableNormal"/>
    <w:uiPriority w:val="71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24" w:space="0" w:color="F29D00" w:themeColor="accent5"/>
        <w:left w:val="single" w:sz="4" w:space="0" w:color="C85019" w:themeColor="accent6"/>
        <w:bottom w:val="single" w:sz="4" w:space="0" w:color="C85019" w:themeColor="accent6"/>
        <w:right w:val="single" w:sz="4" w:space="0" w:color="C85019" w:themeColor="accent6"/>
        <w:insideH w:val="single" w:sz="4" w:space="0" w:color="A5A5A5" w:themeColor="background1"/>
        <w:insideV w:val="single" w:sz="4" w:space="0" w:color="A5A5A5" w:themeColor="background1"/>
      </w:tblBorders>
    </w:tblPr>
    <w:tcPr>
      <w:shd w:val="clear" w:color="auto" w:fill="FCECE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9D00" w:themeColor="accent5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rPr>
        <w:b/>
        <w:bCs/>
        <w:color w:val="A5A5A5" w:themeColor="background1"/>
      </w:rPr>
      <w:tblPr/>
      <w:tcPr>
        <w:tcBorders>
          <w:top w:val="single" w:sz="6" w:space="0" w:color="A5A5A5" w:themeColor="background1"/>
        </w:tcBorders>
        <w:shd w:val="clear" w:color="auto" w:fill="782F0F" w:themeFill="accent6" w:themeFillShade="99"/>
      </w:tcPr>
    </w:tblStylePr>
    <w:tblStylePr w:type="fir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82F0F" w:themeColor="accent6" w:themeShade="99"/>
          <w:insideV w:val="nil"/>
        </w:tcBorders>
        <w:shd w:val="clear" w:color="auto" w:fill="782F0F" w:themeFill="accent6" w:themeFillShade="99"/>
      </w:tcPr>
    </w:tblStylePr>
    <w:tblStylePr w:type="lastCol">
      <w:rPr>
        <w:color w:val="A5A5A5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2F0F" w:themeFill="accent6" w:themeFillShade="99"/>
      </w:tcPr>
    </w:tblStylePr>
    <w:tblStylePr w:type="band1Vert">
      <w:tblPr/>
      <w:tcPr>
        <w:shd w:val="clear" w:color="auto" w:fill="F2B599" w:themeFill="accent6" w:themeFillTint="66"/>
      </w:tcPr>
    </w:tblStylePr>
    <w:tblStylePr w:type="band1Horz">
      <w:tblPr/>
      <w:tcPr>
        <w:shd w:val="clear" w:color="auto" w:fill="EFA380" w:themeFill="accent6" w:themeFillTint="7F"/>
      </w:tcPr>
    </w:tblStylePr>
    <w:tblStylePr w:type="neCell">
      <w:rPr>
        <w:color w:val="58595B" w:themeColor="text1"/>
      </w:rPr>
    </w:tblStylePr>
    <w:tblStylePr w:type="nwCell">
      <w:rPr>
        <w:color w:val="58595B" w:themeColor="text1"/>
      </w:r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901205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1205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12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1205"/>
    <w:rPr>
      <w:b/>
      <w:bCs/>
      <w:sz w:val="20"/>
      <w:szCs w:val="20"/>
      <w:lang w:val="en-GB"/>
    </w:rPr>
  </w:style>
  <w:style w:type="table" w:styleId="DarkList">
    <w:name w:val="Dark List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58595B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2B2C2D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424244" w:themeFill="text1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424244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244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244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3AAA3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1C541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2B7F27" w:themeFill="accent1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2B7F2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7F2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7F27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006633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004C26" w:themeFill="accent2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004C2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6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BCCF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5D67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8C9B00" w:themeFill="accent3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8C9B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9B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9B00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FAD5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7C69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BB9F00" w:themeFill="accent4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BB9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9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9F00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F29D0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784D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B57500" w:themeFill="accent5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B575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75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7500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901205"/>
    <w:pPr>
      <w:spacing w:line="240" w:lineRule="auto"/>
    </w:pPr>
    <w:rPr>
      <w:color w:val="A5A5A5" w:themeColor="background1"/>
    </w:rPr>
    <w:tblPr>
      <w:tblStyleRowBandSize w:val="1"/>
      <w:tblStyleColBandSize w:val="1"/>
    </w:tblPr>
    <w:tcPr>
      <w:shd w:val="clear" w:color="auto" w:fill="C8501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A5A5A5" w:themeColor="background1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tblPr/>
      <w:tcPr>
        <w:tcBorders>
          <w:top w:val="single" w:sz="18" w:space="0" w:color="A5A5A5" w:themeColor="background1"/>
          <w:left w:val="nil"/>
          <w:bottom w:val="nil"/>
          <w:right w:val="nil"/>
          <w:insideH w:val="nil"/>
          <w:insideV w:val="nil"/>
        </w:tcBorders>
        <w:shd w:val="clear" w:color="auto" w:fill="63270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A5A5A5" w:themeColor="background1"/>
          <w:insideH w:val="nil"/>
          <w:insideV w:val="nil"/>
        </w:tcBorders>
        <w:shd w:val="clear" w:color="auto" w:fill="953B12" w:themeFill="accent6" w:themeFillShade="BF"/>
      </w:tcPr>
    </w:tblStylePr>
    <w:tblStylePr w:type="lastCol">
      <w:tblPr/>
      <w:tcPr>
        <w:tcBorders>
          <w:top w:val="nil"/>
          <w:left w:val="single" w:sz="18" w:space="0" w:color="A5A5A5" w:themeColor="background1"/>
          <w:bottom w:val="nil"/>
          <w:right w:val="nil"/>
          <w:insideH w:val="nil"/>
          <w:insideV w:val="nil"/>
        </w:tcBorders>
        <w:shd w:val="clear" w:color="auto" w:fill="953B1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B1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B1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01205"/>
  </w:style>
  <w:style w:type="character" w:customStyle="1" w:styleId="DateChar">
    <w:name w:val="Date Char"/>
    <w:basedOn w:val="DefaultParagraphFont"/>
    <w:link w:val="Date"/>
    <w:uiPriority w:val="99"/>
    <w:semiHidden/>
    <w:rsid w:val="00901205"/>
    <w:rPr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0120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01205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01205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01205"/>
    <w:rPr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901205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01205"/>
    <w:p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aliases w:val="T6 Sciensano Char,T6 Char"/>
    <w:basedOn w:val="DefaultParagraphFont"/>
    <w:link w:val="Heading6"/>
    <w:uiPriority w:val="9"/>
    <w:rsid w:val="00533651"/>
    <w:rPr>
      <w:rFonts w:asciiTheme="minorHAnsi" w:eastAsiaTheme="majorEastAsia" w:hAnsiTheme="minorHAnsi" w:cstheme="majorBidi"/>
      <w:b/>
      <w:iCs/>
      <w:color w:val="39B54A"/>
      <w:sz w:val="32"/>
    </w:rPr>
  </w:style>
  <w:style w:type="character" w:customStyle="1" w:styleId="Heading7Char">
    <w:name w:val="Heading 7 Char"/>
    <w:aliases w:val="T7 Sciensano Char,T7 Char"/>
    <w:basedOn w:val="DefaultParagraphFont"/>
    <w:link w:val="Heading7"/>
    <w:uiPriority w:val="9"/>
    <w:rsid w:val="00533651"/>
    <w:rPr>
      <w:rFonts w:asciiTheme="minorHAnsi" w:eastAsiaTheme="majorEastAsia" w:hAnsiTheme="minorHAnsi" w:cstheme="majorBidi"/>
      <w:b/>
      <w:iCs/>
      <w:smallCaps/>
      <w:color w:val="39B54A"/>
      <w:sz w:val="28"/>
    </w:rPr>
  </w:style>
  <w:style w:type="character" w:customStyle="1" w:styleId="Heading8Char">
    <w:name w:val="Heading 8 Char"/>
    <w:aliases w:val="T8 Sciensano Char,T8 Char"/>
    <w:basedOn w:val="DefaultParagraphFont"/>
    <w:link w:val="Heading8"/>
    <w:uiPriority w:val="9"/>
    <w:rsid w:val="00533651"/>
    <w:rPr>
      <w:rFonts w:asciiTheme="minorHAnsi" w:eastAsiaTheme="majorEastAsia" w:hAnsiTheme="minorHAnsi" w:cstheme="majorBidi"/>
      <w:b/>
      <w:color w:val="B2D235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3A9"/>
    <w:rPr>
      <w:rFonts w:asciiTheme="majorHAnsi" w:eastAsiaTheme="majorEastAsia" w:hAnsiTheme="majorHAnsi" w:cstheme="majorBidi"/>
      <w:i/>
      <w:iCs/>
      <w:color w:val="808285" w:themeColor="text1" w:themeTint="BF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01205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01205"/>
    <w:rPr>
      <w:i/>
      <w:iCs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01205"/>
    <w:pPr>
      <w:spacing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01205"/>
    <w:rPr>
      <w:rFonts w:ascii="Consolas" w:hAnsi="Consolas"/>
      <w:sz w:val="20"/>
      <w:szCs w:val="20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01205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01205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01205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01205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01205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01205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01205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01205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01205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01205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205"/>
    <w:pPr>
      <w:pBdr>
        <w:bottom w:val="single" w:sz="4" w:space="4" w:color="3AAA35" w:themeColor="accent1"/>
      </w:pBdr>
      <w:spacing w:before="200" w:after="280"/>
      <w:ind w:left="936" w:right="936"/>
    </w:pPr>
    <w:rPr>
      <w:b/>
      <w:bCs/>
      <w:i/>
      <w:iCs/>
      <w:color w:val="3AAA3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205"/>
    <w:rPr>
      <w:b/>
      <w:bCs/>
      <w:i/>
      <w:iCs/>
      <w:color w:val="3AAA35" w:themeColor="accent1"/>
      <w:lang w:val="en-GB"/>
    </w:rPr>
  </w:style>
  <w:style w:type="table" w:styleId="LightGrid">
    <w:name w:val="Light Grid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58595B" w:themeColor="text1"/>
        <w:left w:val="single" w:sz="8" w:space="0" w:color="58595B" w:themeColor="text1"/>
        <w:bottom w:val="single" w:sz="8" w:space="0" w:color="58595B" w:themeColor="text1"/>
        <w:right w:val="single" w:sz="8" w:space="0" w:color="58595B" w:themeColor="text1"/>
        <w:insideH w:val="single" w:sz="8" w:space="0" w:color="58595B" w:themeColor="text1"/>
        <w:insideV w:val="single" w:sz="8" w:space="0" w:color="58595B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18" w:space="0" w:color="58595B" w:themeColor="text1"/>
          <w:right w:val="single" w:sz="8" w:space="0" w:color="58595B" w:themeColor="text1"/>
          <w:insideH w:val="nil"/>
          <w:insideV w:val="single" w:sz="8" w:space="0" w:color="58595B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  <w:insideH w:val="nil"/>
          <w:insideV w:val="single" w:sz="8" w:space="0" w:color="58595B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</w:tcPr>
    </w:tblStylePr>
    <w:tblStylePr w:type="band1Vert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  <w:shd w:val="clear" w:color="auto" w:fill="D5D5D6" w:themeFill="text1" w:themeFillTint="3F"/>
      </w:tcPr>
    </w:tblStylePr>
    <w:tblStylePr w:type="band1Horz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  <w:insideV w:val="single" w:sz="8" w:space="0" w:color="58595B" w:themeColor="text1"/>
        </w:tcBorders>
        <w:shd w:val="clear" w:color="auto" w:fill="D5D5D6" w:themeFill="text1" w:themeFillTint="3F"/>
      </w:tcPr>
    </w:tblStylePr>
    <w:tblStylePr w:type="band2Horz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  <w:insideV w:val="single" w:sz="8" w:space="0" w:color="58595B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3AAA35" w:themeColor="accent1"/>
        <w:left w:val="single" w:sz="8" w:space="0" w:color="3AAA35" w:themeColor="accent1"/>
        <w:bottom w:val="single" w:sz="8" w:space="0" w:color="3AAA35" w:themeColor="accent1"/>
        <w:right w:val="single" w:sz="8" w:space="0" w:color="3AAA35" w:themeColor="accent1"/>
        <w:insideH w:val="single" w:sz="8" w:space="0" w:color="3AAA35" w:themeColor="accent1"/>
        <w:insideV w:val="single" w:sz="8" w:space="0" w:color="3AAA3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18" w:space="0" w:color="3AAA35" w:themeColor="accent1"/>
          <w:right w:val="single" w:sz="8" w:space="0" w:color="3AAA35" w:themeColor="accent1"/>
          <w:insideH w:val="nil"/>
          <w:insideV w:val="single" w:sz="8" w:space="0" w:color="3AAA3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  <w:insideH w:val="nil"/>
          <w:insideV w:val="single" w:sz="8" w:space="0" w:color="3AAA3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</w:tcPr>
    </w:tblStylePr>
    <w:tblStylePr w:type="band1Vert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  <w:shd w:val="clear" w:color="auto" w:fill="CAEEC8" w:themeFill="accent1" w:themeFillTint="3F"/>
      </w:tcPr>
    </w:tblStylePr>
    <w:tblStylePr w:type="band1Horz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  <w:insideV w:val="single" w:sz="8" w:space="0" w:color="3AAA35" w:themeColor="accent1"/>
        </w:tcBorders>
        <w:shd w:val="clear" w:color="auto" w:fill="CAEEC8" w:themeFill="accent1" w:themeFillTint="3F"/>
      </w:tcPr>
    </w:tblStylePr>
    <w:tblStylePr w:type="band2Horz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  <w:insideV w:val="single" w:sz="8" w:space="0" w:color="3AAA35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6633" w:themeColor="accent2"/>
        <w:left w:val="single" w:sz="8" w:space="0" w:color="006633" w:themeColor="accent2"/>
        <w:bottom w:val="single" w:sz="8" w:space="0" w:color="006633" w:themeColor="accent2"/>
        <w:right w:val="single" w:sz="8" w:space="0" w:color="006633" w:themeColor="accent2"/>
        <w:insideH w:val="single" w:sz="8" w:space="0" w:color="006633" w:themeColor="accent2"/>
        <w:insideV w:val="single" w:sz="8" w:space="0" w:color="006633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18" w:space="0" w:color="006633" w:themeColor="accent2"/>
          <w:right w:val="single" w:sz="8" w:space="0" w:color="006633" w:themeColor="accent2"/>
          <w:insideH w:val="nil"/>
          <w:insideV w:val="single" w:sz="8" w:space="0" w:color="006633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  <w:insideH w:val="nil"/>
          <w:insideV w:val="single" w:sz="8" w:space="0" w:color="006633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</w:tcPr>
    </w:tblStylePr>
    <w:tblStylePr w:type="band1Vert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  <w:shd w:val="clear" w:color="auto" w:fill="9AFFCC" w:themeFill="accent2" w:themeFillTint="3F"/>
      </w:tcPr>
    </w:tblStylePr>
    <w:tblStylePr w:type="band1Horz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  <w:insideV w:val="single" w:sz="8" w:space="0" w:color="006633" w:themeColor="accent2"/>
        </w:tcBorders>
        <w:shd w:val="clear" w:color="auto" w:fill="9AFFCC" w:themeFill="accent2" w:themeFillTint="3F"/>
      </w:tcPr>
    </w:tblStylePr>
    <w:tblStylePr w:type="band2Horz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  <w:insideV w:val="single" w:sz="8" w:space="0" w:color="006633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BCCF00" w:themeColor="accent3"/>
        <w:left w:val="single" w:sz="8" w:space="0" w:color="BCCF00" w:themeColor="accent3"/>
        <w:bottom w:val="single" w:sz="8" w:space="0" w:color="BCCF00" w:themeColor="accent3"/>
        <w:right w:val="single" w:sz="8" w:space="0" w:color="BCCF00" w:themeColor="accent3"/>
        <w:insideH w:val="single" w:sz="8" w:space="0" w:color="BCCF00" w:themeColor="accent3"/>
        <w:insideV w:val="single" w:sz="8" w:space="0" w:color="BCCF0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18" w:space="0" w:color="BCCF00" w:themeColor="accent3"/>
          <w:right w:val="single" w:sz="8" w:space="0" w:color="BCCF00" w:themeColor="accent3"/>
          <w:insideH w:val="nil"/>
          <w:insideV w:val="single" w:sz="8" w:space="0" w:color="BCCF0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  <w:insideH w:val="nil"/>
          <w:insideV w:val="single" w:sz="8" w:space="0" w:color="BCCF0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</w:tcPr>
    </w:tblStylePr>
    <w:tblStylePr w:type="band1Vert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  <w:shd w:val="clear" w:color="auto" w:fill="F7FFB4" w:themeFill="accent3" w:themeFillTint="3F"/>
      </w:tcPr>
    </w:tblStylePr>
    <w:tblStylePr w:type="band1Horz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  <w:insideV w:val="single" w:sz="8" w:space="0" w:color="BCCF00" w:themeColor="accent3"/>
        </w:tcBorders>
        <w:shd w:val="clear" w:color="auto" w:fill="F7FFB4" w:themeFill="accent3" w:themeFillTint="3F"/>
      </w:tcPr>
    </w:tblStylePr>
    <w:tblStylePr w:type="band2Horz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  <w:insideV w:val="single" w:sz="8" w:space="0" w:color="BCCF00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AD500" w:themeColor="accent4"/>
        <w:left w:val="single" w:sz="8" w:space="0" w:color="FAD500" w:themeColor="accent4"/>
        <w:bottom w:val="single" w:sz="8" w:space="0" w:color="FAD500" w:themeColor="accent4"/>
        <w:right w:val="single" w:sz="8" w:space="0" w:color="FAD500" w:themeColor="accent4"/>
        <w:insideH w:val="single" w:sz="8" w:space="0" w:color="FAD500" w:themeColor="accent4"/>
        <w:insideV w:val="single" w:sz="8" w:space="0" w:color="FAD5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18" w:space="0" w:color="FAD500" w:themeColor="accent4"/>
          <w:right w:val="single" w:sz="8" w:space="0" w:color="FAD500" w:themeColor="accent4"/>
          <w:insideH w:val="nil"/>
          <w:insideV w:val="single" w:sz="8" w:space="0" w:color="FAD5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  <w:insideH w:val="nil"/>
          <w:insideV w:val="single" w:sz="8" w:space="0" w:color="FAD5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</w:tcPr>
    </w:tblStylePr>
    <w:tblStylePr w:type="band1Vert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  <w:shd w:val="clear" w:color="auto" w:fill="FFF5BE" w:themeFill="accent4" w:themeFillTint="3F"/>
      </w:tcPr>
    </w:tblStylePr>
    <w:tblStylePr w:type="band1Horz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  <w:insideV w:val="single" w:sz="8" w:space="0" w:color="FAD500" w:themeColor="accent4"/>
        </w:tcBorders>
        <w:shd w:val="clear" w:color="auto" w:fill="FFF5BE" w:themeFill="accent4" w:themeFillTint="3F"/>
      </w:tcPr>
    </w:tblStylePr>
    <w:tblStylePr w:type="band2Horz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  <w:insideV w:val="single" w:sz="8" w:space="0" w:color="FAD500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29D00" w:themeColor="accent5"/>
        <w:left w:val="single" w:sz="8" w:space="0" w:color="F29D00" w:themeColor="accent5"/>
        <w:bottom w:val="single" w:sz="8" w:space="0" w:color="F29D00" w:themeColor="accent5"/>
        <w:right w:val="single" w:sz="8" w:space="0" w:color="F29D00" w:themeColor="accent5"/>
        <w:insideH w:val="single" w:sz="8" w:space="0" w:color="F29D00" w:themeColor="accent5"/>
        <w:insideV w:val="single" w:sz="8" w:space="0" w:color="F29D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18" w:space="0" w:color="F29D00" w:themeColor="accent5"/>
          <w:right w:val="single" w:sz="8" w:space="0" w:color="F29D00" w:themeColor="accent5"/>
          <w:insideH w:val="nil"/>
          <w:insideV w:val="single" w:sz="8" w:space="0" w:color="F29D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  <w:insideH w:val="nil"/>
          <w:insideV w:val="single" w:sz="8" w:space="0" w:color="F29D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</w:tcPr>
    </w:tblStylePr>
    <w:tblStylePr w:type="band1Vert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  <w:shd w:val="clear" w:color="auto" w:fill="FFE7BC" w:themeFill="accent5" w:themeFillTint="3F"/>
      </w:tcPr>
    </w:tblStylePr>
    <w:tblStylePr w:type="band1Horz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  <w:insideV w:val="single" w:sz="8" w:space="0" w:color="F29D00" w:themeColor="accent5"/>
        </w:tcBorders>
        <w:shd w:val="clear" w:color="auto" w:fill="FFE7BC" w:themeFill="accent5" w:themeFillTint="3F"/>
      </w:tcPr>
    </w:tblStylePr>
    <w:tblStylePr w:type="band2Horz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  <w:insideV w:val="single" w:sz="8" w:space="0" w:color="F29D00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C85019" w:themeColor="accent6"/>
        <w:left w:val="single" w:sz="8" w:space="0" w:color="C85019" w:themeColor="accent6"/>
        <w:bottom w:val="single" w:sz="8" w:space="0" w:color="C85019" w:themeColor="accent6"/>
        <w:right w:val="single" w:sz="8" w:space="0" w:color="C85019" w:themeColor="accent6"/>
        <w:insideH w:val="single" w:sz="8" w:space="0" w:color="C85019" w:themeColor="accent6"/>
        <w:insideV w:val="single" w:sz="8" w:space="0" w:color="C8501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18" w:space="0" w:color="C85019" w:themeColor="accent6"/>
          <w:right w:val="single" w:sz="8" w:space="0" w:color="C85019" w:themeColor="accent6"/>
          <w:insideH w:val="nil"/>
          <w:insideV w:val="single" w:sz="8" w:space="0" w:color="C8501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  <w:insideH w:val="nil"/>
          <w:insideV w:val="single" w:sz="8" w:space="0" w:color="C8501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</w:tcPr>
    </w:tblStylePr>
    <w:tblStylePr w:type="band1Vert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  <w:shd w:val="clear" w:color="auto" w:fill="F7D1C0" w:themeFill="accent6" w:themeFillTint="3F"/>
      </w:tcPr>
    </w:tblStylePr>
    <w:tblStylePr w:type="band1Horz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  <w:insideV w:val="single" w:sz="8" w:space="0" w:color="C85019" w:themeColor="accent6"/>
        </w:tcBorders>
        <w:shd w:val="clear" w:color="auto" w:fill="F7D1C0" w:themeFill="accent6" w:themeFillTint="3F"/>
      </w:tcPr>
    </w:tblStylePr>
    <w:tblStylePr w:type="band2Horz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  <w:insideV w:val="single" w:sz="8" w:space="0" w:color="C85019" w:themeColor="accent6"/>
        </w:tcBorders>
      </w:tcPr>
    </w:tblStylePr>
  </w:style>
  <w:style w:type="table" w:styleId="LightList">
    <w:name w:val="Light List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58595B" w:themeColor="text1"/>
        <w:left w:val="single" w:sz="8" w:space="0" w:color="58595B" w:themeColor="text1"/>
        <w:bottom w:val="single" w:sz="8" w:space="0" w:color="58595B" w:themeColor="text1"/>
        <w:right w:val="single" w:sz="8" w:space="0" w:color="58595B" w:themeColor="text1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58595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</w:tcPr>
    </w:tblStylePr>
    <w:tblStylePr w:type="band1Horz">
      <w:tblPr/>
      <w:tcPr>
        <w:tcBorders>
          <w:top w:val="single" w:sz="8" w:space="0" w:color="58595B" w:themeColor="text1"/>
          <w:left w:val="single" w:sz="8" w:space="0" w:color="58595B" w:themeColor="text1"/>
          <w:bottom w:val="single" w:sz="8" w:space="0" w:color="58595B" w:themeColor="text1"/>
          <w:right w:val="single" w:sz="8" w:space="0" w:color="58595B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3AAA35" w:themeColor="accent1"/>
        <w:left w:val="single" w:sz="8" w:space="0" w:color="3AAA35" w:themeColor="accent1"/>
        <w:bottom w:val="single" w:sz="8" w:space="0" w:color="3AAA35" w:themeColor="accent1"/>
        <w:right w:val="single" w:sz="8" w:space="0" w:color="3AAA35" w:themeColor="accent1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3AAA3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</w:tcPr>
    </w:tblStylePr>
    <w:tblStylePr w:type="band1Horz">
      <w:tblPr/>
      <w:tcPr>
        <w:tcBorders>
          <w:top w:val="single" w:sz="8" w:space="0" w:color="3AAA35" w:themeColor="accent1"/>
          <w:left w:val="single" w:sz="8" w:space="0" w:color="3AAA35" w:themeColor="accent1"/>
          <w:bottom w:val="single" w:sz="8" w:space="0" w:color="3AAA35" w:themeColor="accent1"/>
          <w:right w:val="single" w:sz="8" w:space="0" w:color="3AAA35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6633" w:themeColor="accent2"/>
        <w:left w:val="single" w:sz="8" w:space="0" w:color="006633" w:themeColor="accent2"/>
        <w:bottom w:val="single" w:sz="8" w:space="0" w:color="006633" w:themeColor="accent2"/>
        <w:right w:val="single" w:sz="8" w:space="0" w:color="006633" w:themeColor="accent2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00663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</w:tcPr>
    </w:tblStylePr>
    <w:tblStylePr w:type="band1Horz">
      <w:tblPr/>
      <w:tcPr>
        <w:tcBorders>
          <w:top w:val="single" w:sz="8" w:space="0" w:color="006633" w:themeColor="accent2"/>
          <w:left w:val="single" w:sz="8" w:space="0" w:color="006633" w:themeColor="accent2"/>
          <w:bottom w:val="single" w:sz="8" w:space="0" w:color="006633" w:themeColor="accent2"/>
          <w:right w:val="single" w:sz="8" w:space="0" w:color="006633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BCCF00" w:themeColor="accent3"/>
        <w:left w:val="single" w:sz="8" w:space="0" w:color="BCCF00" w:themeColor="accent3"/>
        <w:bottom w:val="single" w:sz="8" w:space="0" w:color="BCCF00" w:themeColor="accent3"/>
        <w:right w:val="single" w:sz="8" w:space="0" w:color="BCCF00" w:themeColor="accent3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BCCF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</w:tcPr>
    </w:tblStylePr>
    <w:tblStylePr w:type="band1Horz">
      <w:tblPr/>
      <w:tcPr>
        <w:tcBorders>
          <w:top w:val="single" w:sz="8" w:space="0" w:color="BCCF00" w:themeColor="accent3"/>
          <w:left w:val="single" w:sz="8" w:space="0" w:color="BCCF00" w:themeColor="accent3"/>
          <w:bottom w:val="single" w:sz="8" w:space="0" w:color="BCCF00" w:themeColor="accent3"/>
          <w:right w:val="single" w:sz="8" w:space="0" w:color="BCCF00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AD500" w:themeColor="accent4"/>
        <w:left w:val="single" w:sz="8" w:space="0" w:color="FAD500" w:themeColor="accent4"/>
        <w:bottom w:val="single" w:sz="8" w:space="0" w:color="FAD500" w:themeColor="accent4"/>
        <w:right w:val="single" w:sz="8" w:space="0" w:color="FAD500" w:themeColor="accent4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FAD5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</w:tcPr>
    </w:tblStylePr>
    <w:tblStylePr w:type="band1Horz">
      <w:tblPr/>
      <w:tcPr>
        <w:tcBorders>
          <w:top w:val="single" w:sz="8" w:space="0" w:color="FAD500" w:themeColor="accent4"/>
          <w:left w:val="single" w:sz="8" w:space="0" w:color="FAD500" w:themeColor="accent4"/>
          <w:bottom w:val="single" w:sz="8" w:space="0" w:color="FAD500" w:themeColor="accent4"/>
          <w:right w:val="single" w:sz="8" w:space="0" w:color="FAD500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29D00" w:themeColor="accent5"/>
        <w:left w:val="single" w:sz="8" w:space="0" w:color="F29D00" w:themeColor="accent5"/>
        <w:bottom w:val="single" w:sz="8" w:space="0" w:color="F29D00" w:themeColor="accent5"/>
        <w:right w:val="single" w:sz="8" w:space="0" w:color="F29D00" w:themeColor="accent5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F29D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</w:tcPr>
    </w:tblStylePr>
    <w:tblStylePr w:type="band1Horz">
      <w:tblPr/>
      <w:tcPr>
        <w:tcBorders>
          <w:top w:val="single" w:sz="8" w:space="0" w:color="F29D00" w:themeColor="accent5"/>
          <w:left w:val="single" w:sz="8" w:space="0" w:color="F29D00" w:themeColor="accent5"/>
          <w:bottom w:val="single" w:sz="8" w:space="0" w:color="F29D00" w:themeColor="accent5"/>
          <w:right w:val="single" w:sz="8" w:space="0" w:color="F29D00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C85019" w:themeColor="accent6"/>
        <w:left w:val="single" w:sz="8" w:space="0" w:color="C85019" w:themeColor="accent6"/>
        <w:bottom w:val="single" w:sz="8" w:space="0" w:color="C85019" w:themeColor="accent6"/>
        <w:right w:val="single" w:sz="8" w:space="0" w:color="C85019" w:themeColor="accent6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shd w:val="clear" w:color="auto" w:fill="C850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</w:tcPr>
    </w:tblStylePr>
    <w:tblStylePr w:type="band1Horz">
      <w:tblPr/>
      <w:tcPr>
        <w:tcBorders>
          <w:top w:val="single" w:sz="8" w:space="0" w:color="C85019" w:themeColor="accent6"/>
          <w:left w:val="single" w:sz="8" w:space="0" w:color="C85019" w:themeColor="accent6"/>
          <w:bottom w:val="single" w:sz="8" w:space="0" w:color="C85019" w:themeColor="accent6"/>
          <w:right w:val="single" w:sz="8" w:space="0" w:color="C85019" w:themeColor="accent6"/>
        </w:tcBorders>
      </w:tcPr>
    </w:tblStylePr>
  </w:style>
  <w:style w:type="table" w:styleId="LightShading">
    <w:name w:val="Light Shading"/>
    <w:basedOn w:val="TableNormal"/>
    <w:uiPriority w:val="60"/>
    <w:rsid w:val="00901205"/>
    <w:pPr>
      <w:spacing w:line="240" w:lineRule="auto"/>
    </w:pPr>
    <w:rPr>
      <w:color w:val="424244" w:themeColor="text1" w:themeShade="BF"/>
    </w:rPr>
    <w:tblPr>
      <w:tblStyleRowBandSize w:val="1"/>
      <w:tblStyleColBandSize w:val="1"/>
      <w:tblBorders>
        <w:top w:val="single" w:sz="8" w:space="0" w:color="58595B" w:themeColor="text1"/>
        <w:bottom w:val="single" w:sz="8" w:space="0" w:color="58595B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595B" w:themeColor="text1"/>
          <w:left w:val="nil"/>
          <w:bottom w:val="single" w:sz="8" w:space="0" w:color="58595B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595B" w:themeColor="text1"/>
          <w:left w:val="nil"/>
          <w:bottom w:val="single" w:sz="8" w:space="0" w:color="58595B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6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6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901205"/>
    <w:pPr>
      <w:spacing w:line="240" w:lineRule="auto"/>
    </w:pPr>
    <w:rPr>
      <w:color w:val="2B7F27" w:themeColor="accent1" w:themeShade="BF"/>
    </w:rPr>
    <w:tblPr>
      <w:tblStyleRowBandSize w:val="1"/>
      <w:tblStyleColBandSize w:val="1"/>
      <w:tblBorders>
        <w:top w:val="single" w:sz="8" w:space="0" w:color="3AAA35" w:themeColor="accent1"/>
        <w:bottom w:val="single" w:sz="8" w:space="0" w:color="3AAA3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AAA35" w:themeColor="accent1"/>
          <w:left w:val="nil"/>
          <w:bottom w:val="single" w:sz="8" w:space="0" w:color="3AAA3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AAA35" w:themeColor="accent1"/>
          <w:left w:val="nil"/>
          <w:bottom w:val="single" w:sz="8" w:space="0" w:color="3AAA3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EC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AEEC8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901205"/>
    <w:pPr>
      <w:spacing w:line="240" w:lineRule="auto"/>
    </w:pPr>
    <w:rPr>
      <w:color w:val="004C26" w:themeColor="accent2" w:themeShade="BF"/>
    </w:rPr>
    <w:tblPr>
      <w:tblStyleRowBandSize w:val="1"/>
      <w:tblStyleColBandSize w:val="1"/>
      <w:tblBorders>
        <w:top w:val="single" w:sz="8" w:space="0" w:color="006633" w:themeColor="accent2"/>
        <w:bottom w:val="single" w:sz="8" w:space="0" w:color="006633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3" w:themeColor="accent2"/>
          <w:left w:val="nil"/>
          <w:bottom w:val="single" w:sz="8" w:space="0" w:color="006633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3" w:themeColor="accent2"/>
          <w:left w:val="nil"/>
          <w:bottom w:val="single" w:sz="8" w:space="0" w:color="006633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CC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901205"/>
    <w:pPr>
      <w:spacing w:line="240" w:lineRule="auto"/>
    </w:pPr>
    <w:rPr>
      <w:color w:val="8C9B00" w:themeColor="accent3" w:themeShade="BF"/>
    </w:rPr>
    <w:tblPr>
      <w:tblStyleRowBandSize w:val="1"/>
      <w:tblStyleColBandSize w:val="1"/>
      <w:tblBorders>
        <w:top w:val="single" w:sz="8" w:space="0" w:color="BCCF00" w:themeColor="accent3"/>
        <w:bottom w:val="single" w:sz="8" w:space="0" w:color="BCCF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CCF00" w:themeColor="accent3"/>
          <w:left w:val="nil"/>
          <w:bottom w:val="single" w:sz="8" w:space="0" w:color="BCCF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CCF00" w:themeColor="accent3"/>
          <w:left w:val="nil"/>
          <w:bottom w:val="single" w:sz="8" w:space="0" w:color="BCCF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FB4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FFB4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901205"/>
    <w:pPr>
      <w:spacing w:line="240" w:lineRule="auto"/>
    </w:pPr>
    <w:rPr>
      <w:color w:val="BB9F00" w:themeColor="accent4" w:themeShade="BF"/>
    </w:rPr>
    <w:tblPr>
      <w:tblStyleRowBandSize w:val="1"/>
      <w:tblStyleColBandSize w:val="1"/>
      <w:tblBorders>
        <w:top w:val="single" w:sz="8" w:space="0" w:color="FAD500" w:themeColor="accent4"/>
        <w:bottom w:val="single" w:sz="8" w:space="0" w:color="FAD5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D500" w:themeColor="accent4"/>
          <w:left w:val="nil"/>
          <w:bottom w:val="single" w:sz="8" w:space="0" w:color="FAD5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D500" w:themeColor="accent4"/>
          <w:left w:val="nil"/>
          <w:bottom w:val="single" w:sz="8" w:space="0" w:color="FAD5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BE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901205"/>
    <w:pPr>
      <w:spacing w:line="240" w:lineRule="auto"/>
    </w:pPr>
    <w:rPr>
      <w:color w:val="B57500" w:themeColor="accent5" w:themeShade="BF"/>
    </w:rPr>
    <w:tblPr>
      <w:tblStyleRowBandSize w:val="1"/>
      <w:tblStyleColBandSize w:val="1"/>
      <w:tblBorders>
        <w:top w:val="single" w:sz="8" w:space="0" w:color="F29D00" w:themeColor="accent5"/>
        <w:bottom w:val="single" w:sz="8" w:space="0" w:color="F29D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9D00" w:themeColor="accent5"/>
          <w:left w:val="nil"/>
          <w:bottom w:val="single" w:sz="8" w:space="0" w:color="F29D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9D00" w:themeColor="accent5"/>
          <w:left w:val="nil"/>
          <w:bottom w:val="single" w:sz="8" w:space="0" w:color="F29D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7B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7BC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901205"/>
    <w:pPr>
      <w:spacing w:line="240" w:lineRule="auto"/>
    </w:pPr>
    <w:rPr>
      <w:color w:val="953B12" w:themeColor="accent6" w:themeShade="BF"/>
    </w:rPr>
    <w:tblPr>
      <w:tblStyleRowBandSize w:val="1"/>
      <w:tblStyleColBandSize w:val="1"/>
      <w:tblBorders>
        <w:top w:val="single" w:sz="8" w:space="0" w:color="C85019" w:themeColor="accent6"/>
        <w:bottom w:val="single" w:sz="8" w:space="0" w:color="C8501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5019" w:themeColor="accent6"/>
          <w:left w:val="nil"/>
          <w:bottom w:val="single" w:sz="8" w:space="0" w:color="C8501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5019" w:themeColor="accent6"/>
          <w:left w:val="nil"/>
          <w:bottom w:val="single" w:sz="8" w:space="0" w:color="C8501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1C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D1C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90120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90120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90120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90120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901205"/>
    <w:pPr>
      <w:ind w:left="1415" w:hanging="283"/>
      <w:contextualSpacing/>
    </w:pPr>
  </w:style>
  <w:style w:type="paragraph" w:styleId="ListBullet4">
    <w:name w:val="List Bullet 4"/>
    <w:basedOn w:val="Normal"/>
    <w:uiPriority w:val="99"/>
    <w:semiHidden/>
    <w:unhideWhenUsed/>
    <w:rsid w:val="00901205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01205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0120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0120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0120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0120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01205"/>
    <w:pPr>
      <w:spacing w:after="120"/>
      <w:ind w:left="1415"/>
      <w:contextualSpacing/>
    </w:pPr>
  </w:style>
  <w:style w:type="paragraph" w:styleId="ListNumber4">
    <w:name w:val="List Number 4"/>
    <w:basedOn w:val="Normal"/>
    <w:uiPriority w:val="99"/>
    <w:semiHidden/>
    <w:unhideWhenUsed/>
    <w:rsid w:val="00901205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01205"/>
    <w:pPr>
      <w:numPr>
        <w:numId w:val="13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90120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01205"/>
    <w:rPr>
      <w:rFonts w:ascii="Consolas" w:hAnsi="Consolas"/>
      <w:sz w:val="20"/>
      <w:szCs w:val="20"/>
      <w:lang w:val="en-GB"/>
    </w:rPr>
  </w:style>
  <w:style w:type="table" w:styleId="MediumGrid1">
    <w:name w:val="Medium Grid 1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808285" w:themeColor="text1" w:themeTint="BF"/>
        <w:left w:val="single" w:sz="8" w:space="0" w:color="808285" w:themeColor="text1" w:themeTint="BF"/>
        <w:bottom w:val="single" w:sz="8" w:space="0" w:color="808285" w:themeColor="text1" w:themeTint="BF"/>
        <w:right w:val="single" w:sz="8" w:space="0" w:color="808285" w:themeColor="text1" w:themeTint="BF"/>
        <w:insideH w:val="single" w:sz="8" w:space="0" w:color="808285" w:themeColor="text1" w:themeTint="BF"/>
        <w:insideV w:val="single" w:sz="8" w:space="0" w:color="808285" w:themeColor="text1" w:themeTint="BF"/>
      </w:tblBorders>
    </w:tblPr>
    <w:tcPr>
      <w:shd w:val="clear" w:color="auto" w:fill="D5D5D6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08285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ACAE" w:themeFill="text1" w:themeFillTint="7F"/>
      </w:tcPr>
    </w:tblStylePr>
    <w:tblStylePr w:type="band1Horz">
      <w:tblPr/>
      <w:tcPr>
        <w:shd w:val="clear" w:color="auto" w:fill="ABACAE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5FCC5B" w:themeColor="accent1" w:themeTint="BF"/>
        <w:left w:val="single" w:sz="8" w:space="0" w:color="5FCC5B" w:themeColor="accent1" w:themeTint="BF"/>
        <w:bottom w:val="single" w:sz="8" w:space="0" w:color="5FCC5B" w:themeColor="accent1" w:themeTint="BF"/>
        <w:right w:val="single" w:sz="8" w:space="0" w:color="5FCC5B" w:themeColor="accent1" w:themeTint="BF"/>
        <w:insideH w:val="single" w:sz="8" w:space="0" w:color="5FCC5B" w:themeColor="accent1" w:themeTint="BF"/>
        <w:insideV w:val="single" w:sz="8" w:space="0" w:color="5FCC5B" w:themeColor="accent1" w:themeTint="BF"/>
      </w:tblBorders>
    </w:tblPr>
    <w:tcPr>
      <w:shd w:val="clear" w:color="auto" w:fill="CAEEC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FCC5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DD92" w:themeFill="accent1" w:themeFillTint="7F"/>
      </w:tcPr>
    </w:tblStylePr>
    <w:tblStylePr w:type="band1Horz">
      <w:tblPr/>
      <w:tcPr>
        <w:shd w:val="clear" w:color="auto" w:fill="94DD92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CC65" w:themeColor="accent2" w:themeTint="BF"/>
        <w:left w:val="single" w:sz="8" w:space="0" w:color="00CC65" w:themeColor="accent2" w:themeTint="BF"/>
        <w:bottom w:val="single" w:sz="8" w:space="0" w:color="00CC65" w:themeColor="accent2" w:themeTint="BF"/>
        <w:right w:val="single" w:sz="8" w:space="0" w:color="00CC65" w:themeColor="accent2" w:themeTint="BF"/>
        <w:insideH w:val="single" w:sz="8" w:space="0" w:color="00CC65" w:themeColor="accent2" w:themeTint="BF"/>
        <w:insideV w:val="single" w:sz="8" w:space="0" w:color="00CC65" w:themeColor="accent2" w:themeTint="BF"/>
      </w:tblBorders>
    </w:tblPr>
    <w:tcPr>
      <w:shd w:val="clear" w:color="auto" w:fill="9AFF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98" w:themeFill="accent2" w:themeFillTint="7F"/>
      </w:tcPr>
    </w:tblStylePr>
    <w:tblStylePr w:type="band1Horz">
      <w:tblPr/>
      <w:tcPr>
        <w:shd w:val="clear" w:color="auto" w:fill="33FF98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E9FF1C" w:themeColor="accent3" w:themeTint="BF"/>
        <w:left w:val="single" w:sz="8" w:space="0" w:color="E9FF1C" w:themeColor="accent3" w:themeTint="BF"/>
        <w:bottom w:val="single" w:sz="8" w:space="0" w:color="E9FF1C" w:themeColor="accent3" w:themeTint="BF"/>
        <w:right w:val="single" w:sz="8" w:space="0" w:color="E9FF1C" w:themeColor="accent3" w:themeTint="BF"/>
        <w:insideH w:val="single" w:sz="8" w:space="0" w:color="E9FF1C" w:themeColor="accent3" w:themeTint="BF"/>
        <w:insideV w:val="single" w:sz="8" w:space="0" w:color="E9FF1C" w:themeColor="accent3" w:themeTint="BF"/>
      </w:tblBorders>
    </w:tblPr>
    <w:tcPr>
      <w:shd w:val="clear" w:color="auto" w:fill="F7FFB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9FF1C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F68" w:themeFill="accent3" w:themeFillTint="7F"/>
      </w:tcPr>
    </w:tblStylePr>
    <w:tblStylePr w:type="band1Horz">
      <w:tblPr/>
      <w:tcPr>
        <w:shd w:val="clear" w:color="auto" w:fill="F0FF68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E13C" w:themeColor="accent4" w:themeTint="BF"/>
        <w:left w:val="single" w:sz="8" w:space="0" w:color="FFE13C" w:themeColor="accent4" w:themeTint="BF"/>
        <w:bottom w:val="single" w:sz="8" w:space="0" w:color="FFE13C" w:themeColor="accent4" w:themeTint="BF"/>
        <w:right w:val="single" w:sz="8" w:space="0" w:color="FFE13C" w:themeColor="accent4" w:themeTint="BF"/>
        <w:insideH w:val="single" w:sz="8" w:space="0" w:color="FFE13C" w:themeColor="accent4" w:themeTint="BF"/>
        <w:insideV w:val="single" w:sz="8" w:space="0" w:color="FFE13C" w:themeColor="accent4" w:themeTint="BF"/>
      </w:tblBorders>
    </w:tblPr>
    <w:tcPr>
      <w:shd w:val="clear" w:color="auto" w:fill="FFF5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1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7D" w:themeFill="accent4" w:themeFillTint="7F"/>
      </w:tcPr>
    </w:tblStylePr>
    <w:tblStylePr w:type="band1Horz">
      <w:tblPr/>
      <w:tcPr>
        <w:shd w:val="clear" w:color="auto" w:fill="FFEB7D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B836" w:themeColor="accent5" w:themeTint="BF"/>
        <w:left w:val="single" w:sz="8" w:space="0" w:color="FFB836" w:themeColor="accent5" w:themeTint="BF"/>
        <w:bottom w:val="single" w:sz="8" w:space="0" w:color="FFB836" w:themeColor="accent5" w:themeTint="BF"/>
        <w:right w:val="single" w:sz="8" w:space="0" w:color="FFB836" w:themeColor="accent5" w:themeTint="BF"/>
        <w:insideH w:val="single" w:sz="8" w:space="0" w:color="FFB836" w:themeColor="accent5" w:themeTint="BF"/>
        <w:insideV w:val="single" w:sz="8" w:space="0" w:color="FFB836" w:themeColor="accent5" w:themeTint="BF"/>
      </w:tblBorders>
    </w:tblPr>
    <w:tcPr>
      <w:shd w:val="clear" w:color="auto" w:fill="FFE7B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B83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F79" w:themeFill="accent5" w:themeFillTint="7F"/>
      </w:tcPr>
    </w:tblStylePr>
    <w:tblStylePr w:type="band1Horz">
      <w:tblPr/>
      <w:tcPr>
        <w:shd w:val="clear" w:color="auto" w:fill="FFCF79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E77541" w:themeColor="accent6" w:themeTint="BF"/>
        <w:left w:val="single" w:sz="8" w:space="0" w:color="E77541" w:themeColor="accent6" w:themeTint="BF"/>
        <w:bottom w:val="single" w:sz="8" w:space="0" w:color="E77541" w:themeColor="accent6" w:themeTint="BF"/>
        <w:right w:val="single" w:sz="8" w:space="0" w:color="E77541" w:themeColor="accent6" w:themeTint="BF"/>
        <w:insideH w:val="single" w:sz="8" w:space="0" w:color="E77541" w:themeColor="accent6" w:themeTint="BF"/>
        <w:insideV w:val="single" w:sz="8" w:space="0" w:color="E77541" w:themeColor="accent6" w:themeTint="BF"/>
      </w:tblBorders>
    </w:tblPr>
    <w:tcPr>
      <w:shd w:val="clear" w:color="auto" w:fill="F7D1C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754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A380" w:themeFill="accent6" w:themeFillTint="7F"/>
      </w:tcPr>
    </w:tblStylePr>
    <w:tblStylePr w:type="band1Horz">
      <w:tblPr/>
      <w:tcPr>
        <w:shd w:val="clear" w:color="auto" w:fill="EFA380" w:themeFill="accent6" w:themeFillTint="7F"/>
      </w:tcPr>
    </w:tblStylePr>
  </w:style>
  <w:style w:type="table" w:styleId="MediumGrid2">
    <w:name w:val="Medium Grid 2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58595B" w:themeColor="text1"/>
        <w:left w:val="single" w:sz="8" w:space="0" w:color="58595B" w:themeColor="text1"/>
        <w:bottom w:val="single" w:sz="8" w:space="0" w:color="58595B" w:themeColor="text1"/>
        <w:right w:val="single" w:sz="8" w:space="0" w:color="58595B" w:themeColor="text1"/>
        <w:insideH w:val="single" w:sz="8" w:space="0" w:color="58595B" w:themeColor="text1"/>
        <w:insideV w:val="single" w:sz="8" w:space="0" w:color="58595B" w:themeColor="text1"/>
      </w:tblBorders>
    </w:tblPr>
    <w:tcPr>
      <w:shd w:val="clear" w:color="auto" w:fill="D5D5D6" w:themeFill="text1" w:themeFillTint="3F"/>
    </w:tcPr>
    <w:tblStylePr w:type="firstRow">
      <w:rPr>
        <w:b/>
        <w:bCs/>
        <w:color w:val="58595B" w:themeColor="text1"/>
      </w:rPr>
      <w:tblPr/>
      <w:tcPr>
        <w:shd w:val="clear" w:color="auto" w:fill="EEEEEF" w:themeFill="text1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DDDE" w:themeFill="text1" w:themeFillTint="33"/>
      </w:tcPr>
    </w:tblStylePr>
    <w:tblStylePr w:type="band1Vert">
      <w:tblPr/>
      <w:tcPr>
        <w:shd w:val="clear" w:color="auto" w:fill="ABACAE" w:themeFill="text1" w:themeFillTint="7F"/>
      </w:tcPr>
    </w:tblStylePr>
    <w:tblStylePr w:type="band1Horz">
      <w:tblPr/>
      <w:tcPr>
        <w:tcBorders>
          <w:insideH w:val="single" w:sz="6" w:space="0" w:color="58595B" w:themeColor="text1"/>
          <w:insideV w:val="single" w:sz="6" w:space="0" w:color="58595B" w:themeColor="text1"/>
        </w:tcBorders>
        <w:shd w:val="clear" w:color="auto" w:fill="ABACAE" w:themeFill="text1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1">
    <w:name w:val="Medium Grid 2 Accent 1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3AAA35" w:themeColor="accent1"/>
        <w:left w:val="single" w:sz="8" w:space="0" w:color="3AAA35" w:themeColor="accent1"/>
        <w:bottom w:val="single" w:sz="8" w:space="0" w:color="3AAA35" w:themeColor="accent1"/>
        <w:right w:val="single" w:sz="8" w:space="0" w:color="3AAA35" w:themeColor="accent1"/>
        <w:insideH w:val="single" w:sz="8" w:space="0" w:color="3AAA35" w:themeColor="accent1"/>
        <w:insideV w:val="single" w:sz="8" w:space="0" w:color="3AAA35" w:themeColor="accent1"/>
      </w:tblBorders>
    </w:tblPr>
    <w:tcPr>
      <w:shd w:val="clear" w:color="auto" w:fill="CAEEC8" w:themeFill="accent1" w:themeFillTint="3F"/>
    </w:tcPr>
    <w:tblStylePr w:type="firstRow">
      <w:rPr>
        <w:b/>
        <w:bCs/>
        <w:color w:val="58595B" w:themeColor="text1"/>
      </w:rPr>
      <w:tblPr/>
      <w:tcPr>
        <w:shd w:val="clear" w:color="auto" w:fill="E9F8E9" w:themeFill="accent1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F1D3" w:themeFill="accent1" w:themeFillTint="33"/>
      </w:tcPr>
    </w:tblStylePr>
    <w:tblStylePr w:type="band1Vert">
      <w:tblPr/>
      <w:tcPr>
        <w:shd w:val="clear" w:color="auto" w:fill="94DD92" w:themeFill="accent1" w:themeFillTint="7F"/>
      </w:tcPr>
    </w:tblStylePr>
    <w:tblStylePr w:type="band1Horz">
      <w:tblPr/>
      <w:tcPr>
        <w:tcBorders>
          <w:insideH w:val="single" w:sz="6" w:space="0" w:color="3AAA35" w:themeColor="accent1"/>
          <w:insideV w:val="single" w:sz="6" w:space="0" w:color="3AAA35" w:themeColor="accent1"/>
        </w:tcBorders>
        <w:shd w:val="clear" w:color="auto" w:fill="94DD92" w:themeFill="accent1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2">
    <w:name w:val="Medium Grid 2 Accent 2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006633" w:themeColor="accent2"/>
        <w:left w:val="single" w:sz="8" w:space="0" w:color="006633" w:themeColor="accent2"/>
        <w:bottom w:val="single" w:sz="8" w:space="0" w:color="006633" w:themeColor="accent2"/>
        <w:right w:val="single" w:sz="8" w:space="0" w:color="006633" w:themeColor="accent2"/>
        <w:insideH w:val="single" w:sz="8" w:space="0" w:color="006633" w:themeColor="accent2"/>
        <w:insideV w:val="single" w:sz="8" w:space="0" w:color="006633" w:themeColor="accent2"/>
      </w:tblBorders>
    </w:tblPr>
    <w:tcPr>
      <w:shd w:val="clear" w:color="auto" w:fill="9AFFCC" w:themeFill="accent2" w:themeFillTint="3F"/>
    </w:tcPr>
    <w:tblStylePr w:type="firstRow">
      <w:rPr>
        <w:b/>
        <w:bCs/>
        <w:color w:val="58595B" w:themeColor="text1"/>
      </w:rPr>
      <w:tblPr/>
      <w:tcPr>
        <w:shd w:val="clear" w:color="auto" w:fill="D7FFEA" w:themeFill="accent2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6" w:themeFill="accent2" w:themeFillTint="33"/>
      </w:tcPr>
    </w:tblStylePr>
    <w:tblStylePr w:type="band1Vert">
      <w:tblPr/>
      <w:tcPr>
        <w:shd w:val="clear" w:color="auto" w:fill="33FF98" w:themeFill="accent2" w:themeFillTint="7F"/>
      </w:tcPr>
    </w:tblStylePr>
    <w:tblStylePr w:type="band1Horz">
      <w:tblPr/>
      <w:tcPr>
        <w:tcBorders>
          <w:insideH w:val="single" w:sz="6" w:space="0" w:color="006633" w:themeColor="accent2"/>
          <w:insideV w:val="single" w:sz="6" w:space="0" w:color="006633" w:themeColor="accent2"/>
        </w:tcBorders>
        <w:shd w:val="clear" w:color="auto" w:fill="33FF98" w:themeFill="accent2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3">
    <w:name w:val="Medium Grid 2 Accent 3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BCCF00" w:themeColor="accent3"/>
        <w:left w:val="single" w:sz="8" w:space="0" w:color="BCCF00" w:themeColor="accent3"/>
        <w:bottom w:val="single" w:sz="8" w:space="0" w:color="BCCF00" w:themeColor="accent3"/>
        <w:right w:val="single" w:sz="8" w:space="0" w:color="BCCF00" w:themeColor="accent3"/>
        <w:insideH w:val="single" w:sz="8" w:space="0" w:color="BCCF00" w:themeColor="accent3"/>
        <w:insideV w:val="single" w:sz="8" w:space="0" w:color="BCCF00" w:themeColor="accent3"/>
      </w:tblBorders>
    </w:tblPr>
    <w:tcPr>
      <w:shd w:val="clear" w:color="auto" w:fill="F7FFB4" w:themeFill="accent3" w:themeFillTint="3F"/>
    </w:tcPr>
    <w:tblStylePr w:type="firstRow">
      <w:rPr>
        <w:b/>
        <w:bCs/>
        <w:color w:val="58595B" w:themeColor="text1"/>
      </w:rPr>
      <w:tblPr/>
      <w:tcPr>
        <w:shd w:val="clear" w:color="auto" w:fill="FCFFE1" w:themeFill="accent3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FC2" w:themeFill="accent3" w:themeFillTint="33"/>
      </w:tcPr>
    </w:tblStylePr>
    <w:tblStylePr w:type="band1Vert">
      <w:tblPr/>
      <w:tcPr>
        <w:shd w:val="clear" w:color="auto" w:fill="F0FF68" w:themeFill="accent3" w:themeFillTint="7F"/>
      </w:tcPr>
    </w:tblStylePr>
    <w:tblStylePr w:type="band1Horz">
      <w:tblPr/>
      <w:tcPr>
        <w:tcBorders>
          <w:insideH w:val="single" w:sz="6" w:space="0" w:color="BCCF00" w:themeColor="accent3"/>
          <w:insideV w:val="single" w:sz="6" w:space="0" w:color="BCCF00" w:themeColor="accent3"/>
        </w:tcBorders>
        <w:shd w:val="clear" w:color="auto" w:fill="F0FF68" w:themeFill="accent3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4">
    <w:name w:val="Medium Grid 2 Accent 4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FAD500" w:themeColor="accent4"/>
        <w:left w:val="single" w:sz="8" w:space="0" w:color="FAD500" w:themeColor="accent4"/>
        <w:bottom w:val="single" w:sz="8" w:space="0" w:color="FAD500" w:themeColor="accent4"/>
        <w:right w:val="single" w:sz="8" w:space="0" w:color="FAD500" w:themeColor="accent4"/>
        <w:insideH w:val="single" w:sz="8" w:space="0" w:color="FAD500" w:themeColor="accent4"/>
        <w:insideV w:val="single" w:sz="8" w:space="0" w:color="FAD500" w:themeColor="accent4"/>
      </w:tblBorders>
    </w:tblPr>
    <w:tcPr>
      <w:shd w:val="clear" w:color="auto" w:fill="FFF5BE" w:themeFill="accent4" w:themeFillTint="3F"/>
    </w:tcPr>
    <w:tblStylePr w:type="firstRow">
      <w:rPr>
        <w:b/>
        <w:bCs/>
        <w:color w:val="58595B" w:themeColor="text1"/>
      </w:rPr>
      <w:tblPr/>
      <w:tcPr>
        <w:shd w:val="clear" w:color="auto" w:fill="FFFBE5" w:themeFill="accent4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CB" w:themeFill="accent4" w:themeFillTint="33"/>
      </w:tcPr>
    </w:tblStylePr>
    <w:tblStylePr w:type="band1Vert">
      <w:tblPr/>
      <w:tcPr>
        <w:shd w:val="clear" w:color="auto" w:fill="FFEB7D" w:themeFill="accent4" w:themeFillTint="7F"/>
      </w:tcPr>
    </w:tblStylePr>
    <w:tblStylePr w:type="band1Horz">
      <w:tblPr/>
      <w:tcPr>
        <w:tcBorders>
          <w:insideH w:val="single" w:sz="6" w:space="0" w:color="FAD500" w:themeColor="accent4"/>
          <w:insideV w:val="single" w:sz="6" w:space="0" w:color="FAD500" w:themeColor="accent4"/>
        </w:tcBorders>
        <w:shd w:val="clear" w:color="auto" w:fill="FFEB7D" w:themeFill="accent4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5">
    <w:name w:val="Medium Grid 2 Accent 5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F29D00" w:themeColor="accent5"/>
        <w:left w:val="single" w:sz="8" w:space="0" w:color="F29D00" w:themeColor="accent5"/>
        <w:bottom w:val="single" w:sz="8" w:space="0" w:color="F29D00" w:themeColor="accent5"/>
        <w:right w:val="single" w:sz="8" w:space="0" w:color="F29D00" w:themeColor="accent5"/>
        <w:insideH w:val="single" w:sz="8" w:space="0" w:color="F29D00" w:themeColor="accent5"/>
        <w:insideV w:val="single" w:sz="8" w:space="0" w:color="F29D00" w:themeColor="accent5"/>
      </w:tblBorders>
    </w:tblPr>
    <w:tcPr>
      <w:shd w:val="clear" w:color="auto" w:fill="FFE7BC" w:themeFill="accent5" w:themeFillTint="3F"/>
    </w:tcPr>
    <w:tblStylePr w:type="firstRow">
      <w:rPr>
        <w:b/>
        <w:bCs/>
        <w:color w:val="58595B" w:themeColor="text1"/>
      </w:rPr>
      <w:tblPr/>
      <w:tcPr>
        <w:shd w:val="clear" w:color="auto" w:fill="FFF5E4" w:themeFill="accent5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CC9" w:themeFill="accent5" w:themeFillTint="33"/>
      </w:tcPr>
    </w:tblStylePr>
    <w:tblStylePr w:type="band1Vert">
      <w:tblPr/>
      <w:tcPr>
        <w:shd w:val="clear" w:color="auto" w:fill="FFCF79" w:themeFill="accent5" w:themeFillTint="7F"/>
      </w:tcPr>
    </w:tblStylePr>
    <w:tblStylePr w:type="band1Horz">
      <w:tblPr/>
      <w:tcPr>
        <w:tcBorders>
          <w:insideH w:val="single" w:sz="6" w:space="0" w:color="F29D00" w:themeColor="accent5"/>
          <w:insideV w:val="single" w:sz="6" w:space="0" w:color="F29D00" w:themeColor="accent5"/>
        </w:tcBorders>
        <w:shd w:val="clear" w:color="auto" w:fill="FFCF79" w:themeFill="accent5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2-Accent6">
    <w:name w:val="Medium Grid 2 Accent 6"/>
    <w:basedOn w:val="Table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C85019" w:themeColor="accent6"/>
        <w:left w:val="single" w:sz="8" w:space="0" w:color="C85019" w:themeColor="accent6"/>
        <w:bottom w:val="single" w:sz="8" w:space="0" w:color="C85019" w:themeColor="accent6"/>
        <w:right w:val="single" w:sz="8" w:space="0" w:color="C85019" w:themeColor="accent6"/>
        <w:insideH w:val="single" w:sz="8" w:space="0" w:color="C85019" w:themeColor="accent6"/>
        <w:insideV w:val="single" w:sz="8" w:space="0" w:color="C85019" w:themeColor="accent6"/>
      </w:tblBorders>
    </w:tblPr>
    <w:tcPr>
      <w:shd w:val="clear" w:color="auto" w:fill="F7D1C0" w:themeFill="accent6" w:themeFillTint="3F"/>
    </w:tcPr>
    <w:tblStylePr w:type="firstRow">
      <w:rPr>
        <w:b/>
        <w:bCs/>
        <w:color w:val="58595B" w:themeColor="text1"/>
      </w:rPr>
      <w:tblPr/>
      <w:tcPr>
        <w:shd w:val="clear" w:color="auto" w:fill="FCECE6" w:themeFill="accent6" w:themeFillTint="19"/>
      </w:tcPr>
    </w:tblStylePr>
    <w:tblStylePr w:type="lastRow">
      <w:rPr>
        <w:b/>
        <w:bCs/>
        <w:color w:val="58595B" w:themeColor="text1"/>
      </w:rPr>
      <w:tblPr/>
      <w:tcPr>
        <w:tcBorders>
          <w:top w:val="single" w:sz="12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Col">
      <w:rPr>
        <w:b w:val="0"/>
        <w:bCs w:val="0"/>
        <w:color w:val="58595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ACC" w:themeFill="accent6" w:themeFillTint="33"/>
      </w:tcPr>
    </w:tblStylePr>
    <w:tblStylePr w:type="band1Vert">
      <w:tblPr/>
      <w:tcPr>
        <w:shd w:val="clear" w:color="auto" w:fill="EFA380" w:themeFill="accent6" w:themeFillTint="7F"/>
      </w:tcPr>
    </w:tblStylePr>
    <w:tblStylePr w:type="band1Horz">
      <w:tblPr/>
      <w:tcPr>
        <w:tcBorders>
          <w:insideH w:val="single" w:sz="6" w:space="0" w:color="C85019" w:themeColor="accent6"/>
          <w:insideV w:val="single" w:sz="6" w:space="0" w:color="C85019" w:themeColor="accent6"/>
        </w:tcBorders>
        <w:shd w:val="clear" w:color="auto" w:fill="EFA380" w:themeFill="accent6" w:themeFillTint="7F"/>
      </w:tcPr>
    </w:tblStylePr>
    <w:tblStylePr w:type="nwCell">
      <w:tblPr/>
      <w:tcPr>
        <w:shd w:val="clear" w:color="auto" w:fill="A5A5A5" w:themeFill="background1"/>
      </w:tcPr>
    </w:tblStylePr>
  </w:style>
  <w:style w:type="table" w:styleId="MediumGrid3">
    <w:name w:val="Medium Grid 3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D5D5D6" w:themeFill="text1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58595B" w:themeFill="text1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58595B" w:themeFill="text1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58595B" w:themeFill="text1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58595B" w:themeFill="text1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ABACAE" w:themeFill="text1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ABACAE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CAEEC8" w:themeFill="accent1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3AAA35" w:themeFill="accent1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3AAA35" w:themeFill="accent1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3AAA35" w:themeFill="accent1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3AAA35" w:themeFill="accent1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94DD92" w:themeFill="accent1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94DD92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9AFFCC" w:themeFill="accent2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006633" w:themeFill="accent2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006633" w:themeFill="accent2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006633" w:themeFill="accent2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006633" w:themeFill="accent2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33FF98" w:themeFill="accent2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33FF98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F7FFB4" w:themeFill="accent3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BCCF00" w:themeFill="accent3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BCCF00" w:themeFill="accent3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BCCF00" w:themeFill="accent3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BCCF00" w:themeFill="accent3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F0FF68" w:themeFill="accent3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F0FF68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FFF5BE" w:themeFill="accent4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FAD500" w:themeFill="accent4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FAD500" w:themeFill="accent4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FAD500" w:themeFill="accent4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FAD500" w:themeFill="accent4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FFEB7D" w:themeFill="accent4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FFEB7D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FFE7BC" w:themeFill="accent5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F29D00" w:themeFill="accent5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F29D00" w:themeFill="accent5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F29D00" w:themeFill="accent5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F29D00" w:themeFill="accent5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FFCF79" w:themeFill="accent5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FFCF79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5A5A5" w:themeColor="background1"/>
        <w:left w:val="single" w:sz="8" w:space="0" w:color="A5A5A5" w:themeColor="background1"/>
        <w:bottom w:val="single" w:sz="8" w:space="0" w:color="A5A5A5" w:themeColor="background1"/>
        <w:right w:val="single" w:sz="8" w:space="0" w:color="A5A5A5" w:themeColor="background1"/>
        <w:insideH w:val="single" w:sz="6" w:space="0" w:color="A5A5A5" w:themeColor="background1"/>
        <w:insideV w:val="single" w:sz="6" w:space="0" w:color="A5A5A5" w:themeColor="background1"/>
      </w:tblBorders>
    </w:tblPr>
    <w:tcPr>
      <w:shd w:val="clear" w:color="auto" w:fill="F7D1C0" w:themeFill="accent6" w:themeFillTint="3F"/>
    </w:tcPr>
    <w:tblStylePr w:type="firstRow">
      <w:rPr>
        <w:b/>
        <w:bCs/>
        <w:i w:val="0"/>
        <w:iCs w:val="0"/>
        <w:color w:val="A5A5A5" w:themeColor="background1"/>
      </w:rPr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24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C85019" w:themeFill="accent6"/>
      </w:tcPr>
    </w:tblStylePr>
    <w:tblStylePr w:type="lastRow">
      <w:rPr>
        <w:b/>
        <w:bCs/>
        <w:i w:val="0"/>
        <w:iCs w:val="0"/>
        <w:color w:val="A5A5A5" w:themeColor="background1"/>
      </w:rPr>
      <w:tblPr/>
      <w:tcPr>
        <w:tcBorders>
          <w:top w:val="single" w:sz="24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single" w:sz="8" w:space="0" w:color="A5A5A5" w:themeColor="background1"/>
        </w:tcBorders>
        <w:shd w:val="clear" w:color="auto" w:fill="C85019" w:themeFill="accent6"/>
      </w:tcPr>
    </w:tblStylePr>
    <w:tblStylePr w:type="firstCol">
      <w:rPr>
        <w:b/>
        <w:bCs/>
        <w:i w:val="0"/>
        <w:iCs w:val="0"/>
        <w:color w:val="A5A5A5" w:themeColor="background1"/>
      </w:rPr>
      <w:tblPr/>
      <w:tcPr>
        <w:tcBorders>
          <w:left w:val="single" w:sz="8" w:space="0" w:color="A5A5A5" w:themeColor="background1"/>
          <w:right w:val="single" w:sz="24" w:space="0" w:color="A5A5A5" w:themeColor="background1"/>
          <w:insideH w:val="nil"/>
          <w:insideV w:val="nil"/>
        </w:tcBorders>
        <w:shd w:val="clear" w:color="auto" w:fill="C85019" w:themeFill="accent6"/>
      </w:tcPr>
    </w:tblStylePr>
    <w:tblStylePr w:type="lastCol">
      <w:rPr>
        <w:b/>
        <w:bCs/>
        <w:i w:val="0"/>
        <w:iCs w:val="0"/>
        <w:color w:val="A5A5A5" w:themeColor="background1"/>
      </w:rPr>
      <w:tblPr/>
      <w:tcPr>
        <w:tcBorders>
          <w:top w:val="nil"/>
          <w:left w:val="single" w:sz="24" w:space="0" w:color="A5A5A5" w:themeColor="background1"/>
          <w:bottom w:val="nil"/>
          <w:right w:val="nil"/>
          <w:insideH w:val="nil"/>
          <w:insideV w:val="nil"/>
        </w:tcBorders>
        <w:shd w:val="clear" w:color="auto" w:fill="C85019" w:themeFill="accent6"/>
      </w:tcPr>
    </w:tblStylePr>
    <w:tblStylePr w:type="band1Vert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nil"/>
          <w:insideV w:val="nil"/>
        </w:tcBorders>
        <w:shd w:val="clear" w:color="auto" w:fill="EFA380" w:themeFill="accent6" w:themeFillTint="7F"/>
      </w:tcPr>
    </w:tblStylePr>
    <w:tblStylePr w:type="band1Horz">
      <w:tblPr/>
      <w:tcPr>
        <w:tcBorders>
          <w:top w:val="single" w:sz="8" w:space="0" w:color="A5A5A5" w:themeColor="background1"/>
          <w:left w:val="single" w:sz="8" w:space="0" w:color="A5A5A5" w:themeColor="background1"/>
          <w:bottom w:val="single" w:sz="8" w:space="0" w:color="A5A5A5" w:themeColor="background1"/>
          <w:right w:val="single" w:sz="8" w:space="0" w:color="A5A5A5" w:themeColor="background1"/>
          <w:insideH w:val="single" w:sz="8" w:space="0" w:color="A5A5A5" w:themeColor="background1"/>
          <w:insideV w:val="single" w:sz="8" w:space="0" w:color="A5A5A5" w:themeColor="background1"/>
        </w:tcBorders>
        <w:shd w:val="clear" w:color="auto" w:fill="EFA380" w:themeFill="accent6" w:themeFillTint="7F"/>
      </w:tcPr>
    </w:tblStylePr>
  </w:style>
  <w:style w:type="table" w:styleId="MediumList1">
    <w:name w:val="Medium List 1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58595B" w:themeColor="text1"/>
        <w:bottom w:val="single" w:sz="8" w:space="0" w:color="58595B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8595B" w:themeColor="text1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58595B" w:themeColor="text1"/>
          <w:bottom w:val="single" w:sz="8" w:space="0" w:color="58595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8595B" w:themeColor="text1"/>
          <w:bottom w:val="single" w:sz="8" w:space="0" w:color="58595B" w:themeColor="text1"/>
        </w:tcBorders>
      </w:tcPr>
    </w:tblStylePr>
    <w:tblStylePr w:type="band1Vert">
      <w:tblPr/>
      <w:tcPr>
        <w:shd w:val="clear" w:color="auto" w:fill="D5D5D6" w:themeFill="text1" w:themeFillTint="3F"/>
      </w:tcPr>
    </w:tblStylePr>
    <w:tblStylePr w:type="band1Horz">
      <w:tblPr/>
      <w:tcPr>
        <w:shd w:val="clear" w:color="auto" w:fill="D5D5D6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3AAA35" w:themeColor="accent1"/>
        <w:bottom w:val="single" w:sz="8" w:space="0" w:color="3AAA3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AAA35" w:themeColor="accent1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3AAA35" w:themeColor="accent1"/>
          <w:bottom w:val="single" w:sz="8" w:space="0" w:color="3AAA3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AAA35" w:themeColor="accent1"/>
          <w:bottom w:val="single" w:sz="8" w:space="0" w:color="3AAA35" w:themeColor="accent1"/>
        </w:tcBorders>
      </w:tcPr>
    </w:tblStylePr>
    <w:tblStylePr w:type="band1Vert">
      <w:tblPr/>
      <w:tcPr>
        <w:shd w:val="clear" w:color="auto" w:fill="CAEEC8" w:themeFill="accent1" w:themeFillTint="3F"/>
      </w:tcPr>
    </w:tblStylePr>
    <w:tblStylePr w:type="band1Horz">
      <w:tblPr/>
      <w:tcPr>
        <w:shd w:val="clear" w:color="auto" w:fill="CAEEC8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006633" w:themeColor="accent2"/>
        <w:bottom w:val="single" w:sz="8" w:space="0" w:color="006633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3" w:themeColor="accent2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006633" w:themeColor="accent2"/>
          <w:bottom w:val="single" w:sz="8" w:space="0" w:color="0066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3" w:themeColor="accent2"/>
          <w:bottom w:val="single" w:sz="8" w:space="0" w:color="006633" w:themeColor="accent2"/>
        </w:tcBorders>
      </w:tcPr>
    </w:tblStylePr>
    <w:tblStylePr w:type="band1Vert">
      <w:tblPr/>
      <w:tcPr>
        <w:shd w:val="clear" w:color="auto" w:fill="9AFFCC" w:themeFill="accent2" w:themeFillTint="3F"/>
      </w:tcPr>
    </w:tblStylePr>
    <w:tblStylePr w:type="band1Horz">
      <w:tblPr/>
      <w:tcPr>
        <w:shd w:val="clear" w:color="auto" w:fill="9AFFCC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BCCF00" w:themeColor="accent3"/>
        <w:bottom w:val="single" w:sz="8" w:space="0" w:color="BCCF0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CCF00" w:themeColor="accent3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BCCF00" w:themeColor="accent3"/>
          <w:bottom w:val="single" w:sz="8" w:space="0" w:color="BCCF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CCF00" w:themeColor="accent3"/>
          <w:bottom w:val="single" w:sz="8" w:space="0" w:color="BCCF00" w:themeColor="accent3"/>
        </w:tcBorders>
      </w:tcPr>
    </w:tblStylePr>
    <w:tblStylePr w:type="band1Vert">
      <w:tblPr/>
      <w:tcPr>
        <w:shd w:val="clear" w:color="auto" w:fill="F7FFB4" w:themeFill="accent3" w:themeFillTint="3F"/>
      </w:tcPr>
    </w:tblStylePr>
    <w:tblStylePr w:type="band1Horz">
      <w:tblPr/>
      <w:tcPr>
        <w:shd w:val="clear" w:color="auto" w:fill="F7FFB4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FAD500" w:themeColor="accent4"/>
        <w:bottom w:val="single" w:sz="8" w:space="0" w:color="FAD5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AD500" w:themeColor="accent4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FAD500" w:themeColor="accent4"/>
          <w:bottom w:val="single" w:sz="8" w:space="0" w:color="FAD5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AD500" w:themeColor="accent4"/>
          <w:bottom w:val="single" w:sz="8" w:space="0" w:color="FAD500" w:themeColor="accent4"/>
        </w:tcBorders>
      </w:tcPr>
    </w:tblStylePr>
    <w:tblStylePr w:type="band1Vert">
      <w:tblPr/>
      <w:tcPr>
        <w:shd w:val="clear" w:color="auto" w:fill="FFF5BE" w:themeFill="accent4" w:themeFillTint="3F"/>
      </w:tcPr>
    </w:tblStylePr>
    <w:tblStylePr w:type="band1Horz">
      <w:tblPr/>
      <w:tcPr>
        <w:shd w:val="clear" w:color="auto" w:fill="FFF5BE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F29D00" w:themeColor="accent5"/>
        <w:bottom w:val="single" w:sz="8" w:space="0" w:color="F29D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9D00" w:themeColor="accent5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F29D00" w:themeColor="accent5"/>
          <w:bottom w:val="single" w:sz="8" w:space="0" w:color="F29D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9D00" w:themeColor="accent5"/>
          <w:bottom w:val="single" w:sz="8" w:space="0" w:color="F29D00" w:themeColor="accent5"/>
        </w:tcBorders>
      </w:tcPr>
    </w:tblStylePr>
    <w:tblStylePr w:type="band1Vert">
      <w:tblPr/>
      <w:tcPr>
        <w:shd w:val="clear" w:color="auto" w:fill="FFE7BC" w:themeFill="accent5" w:themeFillTint="3F"/>
      </w:tcPr>
    </w:tblStylePr>
    <w:tblStylePr w:type="band1Horz">
      <w:tblPr/>
      <w:tcPr>
        <w:shd w:val="clear" w:color="auto" w:fill="FFE7BC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901205"/>
    <w:pPr>
      <w:spacing w:line="240" w:lineRule="auto"/>
    </w:pPr>
    <w:rPr>
      <w:color w:val="58595B" w:themeColor="text1"/>
    </w:rPr>
    <w:tblPr>
      <w:tblStyleRowBandSize w:val="1"/>
      <w:tblStyleColBandSize w:val="1"/>
      <w:tblBorders>
        <w:top w:val="single" w:sz="8" w:space="0" w:color="C85019" w:themeColor="accent6"/>
        <w:bottom w:val="single" w:sz="8" w:space="0" w:color="C8501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5019" w:themeColor="accent6"/>
        </w:tcBorders>
      </w:tcPr>
    </w:tblStylePr>
    <w:tblStylePr w:type="lastRow">
      <w:rPr>
        <w:b/>
        <w:bCs/>
        <w:color w:val="006633" w:themeColor="text2"/>
      </w:rPr>
      <w:tblPr/>
      <w:tcPr>
        <w:tcBorders>
          <w:top w:val="single" w:sz="8" w:space="0" w:color="C85019" w:themeColor="accent6"/>
          <w:bottom w:val="single" w:sz="8" w:space="0" w:color="C850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5019" w:themeColor="accent6"/>
          <w:bottom w:val="single" w:sz="8" w:space="0" w:color="C85019" w:themeColor="accent6"/>
        </w:tcBorders>
      </w:tcPr>
    </w:tblStylePr>
    <w:tblStylePr w:type="band1Vert">
      <w:tblPr/>
      <w:tcPr>
        <w:shd w:val="clear" w:color="auto" w:fill="F7D1C0" w:themeFill="accent6" w:themeFillTint="3F"/>
      </w:tcPr>
    </w:tblStylePr>
    <w:tblStylePr w:type="band1Horz">
      <w:tblPr/>
      <w:tcPr>
        <w:shd w:val="clear" w:color="auto" w:fill="F7D1C0" w:themeFill="accent6" w:themeFillTint="3F"/>
      </w:tcPr>
    </w:tblStylePr>
  </w:style>
  <w:style w:type="table" w:styleId="MediumList2">
    <w:name w:val="Medium List 2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58595B" w:themeColor="text1"/>
        <w:left w:val="single" w:sz="8" w:space="0" w:color="58595B" w:themeColor="text1"/>
        <w:bottom w:val="single" w:sz="8" w:space="0" w:color="58595B" w:themeColor="text1"/>
        <w:right w:val="single" w:sz="8" w:space="0" w:color="58595B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8595B" w:themeColor="text1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58595B" w:themeColor="tex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8595B" w:themeColor="text1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58595B" w:themeColor="text1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6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D5D6" w:themeFill="text1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3AAA35" w:themeColor="accent1"/>
        <w:left w:val="single" w:sz="8" w:space="0" w:color="3AAA35" w:themeColor="accent1"/>
        <w:bottom w:val="single" w:sz="8" w:space="0" w:color="3AAA35" w:themeColor="accent1"/>
        <w:right w:val="single" w:sz="8" w:space="0" w:color="3AAA3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AAA35" w:themeColor="accent1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3AAA35" w:themeColor="accent1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AAA35" w:themeColor="accent1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3AAA35" w:themeColor="accent1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EC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AEEC8" w:themeFill="accent1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006633" w:themeColor="accent2"/>
        <w:left w:val="single" w:sz="8" w:space="0" w:color="006633" w:themeColor="accent2"/>
        <w:bottom w:val="single" w:sz="8" w:space="0" w:color="006633" w:themeColor="accent2"/>
        <w:right w:val="single" w:sz="8" w:space="0" w:color="006633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3" w:themeColor="accent2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006633" w:themeColor="accent2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3" w:themeColor="accent2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006633" w:themeColor="accent2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CC" w:themeFill="accent2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BCCF00" w:themeColor="accent3"/>
        <w:left w:val="single" w:sz="8" w:space="0" w:color="BCCF00" w:themeColor="accent3"/>
        <w:bottom w:val="single" w:sz="8" w:space="0" w:color="BCCF00" w:themeColor="accent3"/>
        <w:right w:val="single" w:sz="8" w:space="0" w:color="BCCF0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CCF00" w:themeColor="accent3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BCCF00" w:themeColor="accent3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CCF00" w:themeColor="accent3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BCCF00" w:themeColor="accent3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FFB4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FFB4" w:themeFill="accent3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FAD500" w:themeColor="accent4"/>
        <w:left w:val="single" w:sz="8" w:space="0" w:color="FAD500" w:themeColor="accent4"/>
        <w:bottom w:val="single" w:sz="8" w:space="0" w:color="FAD500" w:themeColor="accent4"/>
        <w:right w:val="single" w:sz="8" w:space="0" w:color="FAD5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AD500" w:themeColor="accent4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FAD500" w:themeColor="accent4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AD500" w:themeColor="accent4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FAD500" w:themeColor="accent4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BE" w:themeFill="accent4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F29D00" w:themeColor="accent5"/>
        <w:left w:val="single" w:sz="8" w:space="0" w:color="F29D00" w:themeColor="accent5"/>
        <w:bottom w:val="single" w:sz="8" w:space="0" w:color="F29D00" w:themeColor="accent5"/>
        <w:right w:val="single" w:sz="8" w:space="0" w:color="F29D0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9D00" w:themeColor="accent5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F29D00" w:themeColor="accent5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9D00" w:themeColor="accent5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F29D00" w:themeColor="accent5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7B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7BC" w:themeFill="accent5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58595B" w:themeColor="text1"/>
    </w:rPr>
    <w:tblPr>
      <w:tblStyleRowBandSize w:val="1"/>
      <w:tblStyleColBandSize w:val="1"/>
      <w:tblBorders>
        <w:top w:val="single" w:sz="8" w:space="0" w:color="C85019" w:themeColor="accent6"/>
        <w:left w:val="single" w:sz="8" w:space="0" w:color="C85019" w:themeColor="accent6"/>
        <w:bottom w:val="single" w:sz="8" w:space="0" w:color="C85019" w:themeColor="accent6"/>
        <w:right w:val="single" w:sz="8" w:space="0" w:color="C8501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5019" w:themeColor="accent6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lastRow">
      <w:tblPr/>
      <w:tcPr>
        <w:tcBorders>
          <w:top w:val="single" w:sz="8" w:space="0" w:color="C85019" w:themeColor="accent6"/>
          <w:left w:val="nil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5019" w:themeColor="accent6"/>
          <w:insideH w:val="nil"/>
          <w:insideV w:val="nil"/>
        </w:tcBorders>
        <w:shd w:val="clear" w:color="auto" w:fill="A5A5A5" w:themeFill="background1"/>
      </w:tcPr>
    </w:tblStylePr>
    <w:tblStylePr w:type="lastCol">
      <w:tblPr/>
      <w:tcPr>
        <w:tcBorders>
          <w:top w:val="nil"/>
          <w:left w:val="single" w:sz="8" w:space="0" w:color="C85019" w:themeColor="accent6"/>
          <w:bottom w:val="nil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1C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D1C0" w:themeFill="accent6" w:themeFillTint="3F"/>
      </w:tcPr>
    </w:tblStylePr>
    <w:tblStylePr w:type="nwCell">
      <w:tblPr/>
      <w:tcPr>
        <w:shd w:val="clear" w:color="auto" w:fill="A5A5A5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808285" w:themeColor="text1" w:themeTint="BF"/>
        <w:left w:val="single" w:sz="8" w:space="0" w:color="808285" w:themeColor="text1" w:themeTint="BF"/>
        <w:bottom w:val="single" w:sz="8" w:space="0" w:color="808285" w:themeColor="text1" w:themeTint="BF"/>
        <w:right w:val="single" w:sz="8" w:space="0" w:color="808285" w:themeColor="text1" w:themeTint="BF"/>
        <w:insideH w:val="single" w:sz="8" w:space="0" w:color="808285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808285" w:themeColor="text1" w:themeTint="BF"/>
          <w:left w:val="single" w:sz="8" w:space="0" w:color="808285" w:themeColor="text1" w:themeTint="BF"/>
          <w:bottom w:val="single" w:sz="8" w:space="0" w:color="808285" w:themeColor="text1" w:themeTint="BF"/>
          <w:right w:val="single" w:sz="8" w:space="0" w:color="808285" w:themeColor="text1" w:themeTint="BF"/>
          <w:insideH w:val="nil"/>
          <w:insideV w:val="nil"/>
        </w:tcBorders>
        <w:shd w:val="clear" w:color="auto" w:fill="58595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285" w:themeColor="text1" w:themeTint="BF"/>
          <w:left w:val="single" w:sz="8" w:space="0" w:color="808285" w:themeColor="text1" w:themeTint="BF"/>
          <w:bottom w:val="single" w:sz="8" w:space="0" w:color="808285" w:themeColor="text1" w:themeTint="BF"/>
          <w:right w:val="single" w:sz="8" w:space="0" w:color="808285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D5D6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D5D6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5FCC5B" w:themeColor="accent1" w:themeTint="BF"/>
        <w:left w:val="single" w:sz="8" w:space="0" w:color="5FCC5B" w:themeColor="accent1" w:themeTint="BF"/>
        <w:bottom w:val="single" w:sz="8" w:space="0" w:color="5FCC5B" w:themeColor="accent1" w:themeTint="BF"/>
        <w:right w:val="single" w:sz="8" w:space="0" w:color="5FCC5B" w:themeColor="accent1" w:themeTint="BF"/>
        <w:insideH w:val="single" w:sz="8" w:space="0" w:color="5FCC5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5FCC5B" w:themeColor="accent1" w:themeTint="BF"/>
          <w:left w:val="single" w:sz="8" w:space="0" w:color="5FCC5B" w:themeColor="accent1" w:themeTint="BF"/>
          <w:bottom w:val="single" w:sz="8" w:space="0" w:color="5FCC5B" w:themeColor="accent1" w:themeTint="BF"/>
          <w:right w:val="single" w:sz="8" w:space="0" w:color="5FCC5B" w:themeColor="accent1" w:themeTint="BF"/>
          <w:insideH w:val="nil"/>
          <w:insideV w:val="nil"/>
        </w:tcBorders>
        <w:shd w:val="clear" w:color="auto" w:fill="3AAA3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CC5B" w:themeColor="accent1" w:themeTint="BF"/>
          <w:left w:val="single" w:sz="8" w:space="0" w:color="5FCC5B" w:themeColor="accent1" w:themeTint="BF"/>
          <w:bottom w:val="single" w:sz="8" w:space="0" w:color="5FCC5B" w:themeColor="accent1" w:themeTint="BF"/>
          <w:right w:val="single" w:sz="8" w:space="0" w:color="5FCC5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EC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AEEC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CC65" w:themeColor="accent2" w:themeTint="BF"/>
        <w:left w:val="single" w:sz="8" w:space="0" w:color="00CC65" w:themeColor="accent2" w:themeTint="BF"/>
        <w:bottom w:val="single" w:sz="8" w:space="0" w:color="00CC65" w:themeColor="accent2" w:themeTint="BF"/>
        <w:right w:val="single" w:sz="8" w:space="0" w:color="00CC65" w:themeColor="accent2" w:themeTint="BF"/>
        <w:insideH w:val="single" w:sz="8" w:space="0" w:color="00CC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00CC65" w:themeColor="accent2" w:themeTint="BF"/>
          <w:left w:val="single" w:sz="8" w:space="0" w:color="00CC65" w:themeColor="accent2" w:themeTint="BF"/>
          <w:bottom w:val="single" w:sz="8" w:space="0" w:color="00CC65" w:themeColor="accent2" w:themeTint="BF"/>
          <w:right w:val="single" w:sz="8" w:space="0" w:color="00CC65" w:themeColor="accent2" w:themeTint="BF"/>
          <w:insideH w:val="nil"/>
          <w:insideV w:val="nil"/>
        </w:tcBorders>
        <w:shd w:val="clear" w:color="auto" w:fill="00663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65" w:themeColor="accent2" w:themeTint="BF"/>
          <w:left w:val="single" w:sz="8" w:space="0" w:color="00CC65" w:themeColor="accent2" w:themeTint="BF"/>
          <w:bottom w:val="single" w:sz="8" w:space="0" w:color="00CC65" w:themeColor="accent2" w:themeTint="BF"/>
          <w:right w:val="single" w:sz="8" w:space="0" w:color="00CC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E9FF1C" w:themeColor="accent3" w:themeTint="BF"/>
        <w:left w:val="single" w:sz="8" w:space="0" w:color="E9FF1C" w:themeColor="accent3" w:themeTint="BF"/>
        <w:bottom w:val="single" w:sz="8" w:space="0" w:color="E9FF1C" w:themeColor="accent3" w:themeTint="BF"/>
        <w:right w:val="single" w:sz="8" w:space="0" w:color="E9FF1C" w:themeColor="accent3" w:themeTint="BF"/>
        <w:insideH w:val="single" w:sz="8" w:space="0" w:color="E9FF1C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E9FF1C" w:themeColor="accent3" w:themeTint="BF"/>
          <w:left w:val="single" w:sz="8" w:space="0" w:color="E9FF1C" w:themeColor="accent3" w:themeTint="BF"/>
          <w:bottom w:val="single" w:sz="8" w:space="0" w:color="E9FF1C" w:themeColor="accent3" w:themeTint="BF"/>
          <w:right w:val="single" w:sz="8" w:space="0" w:color="E9FF1C" w:themeColor="accent3" w:themeTint="BF"/>
          <w:insideH w:val="nil"/>
          <w:insideV w:val="nil"/>
        </w:tcBorders>
        <w:shd w:val="clear" w:color="auto" w:fill="BCCF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FF1C" w:themeColor="accent3" w:themeTint="BF"/>
          <w:left w:val="single" w:sz="8" w:space="0" w:color="E9FF1C" w:themeColor="accent3" w:themeTint="BF"/>
          <w:bottom w:val="single" w:sz="8" w:space="0" w:color="E9FF1C" w:themeColor="accent3" w:themeTint="BF"/>
          <w:right w:val="single" w:sz="8" w:space="0" w:color="E9FF1C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FB4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FFB4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E13C" w:themeColor="accent4" w:themeTint="BF"/>
        <w:left w:val="single" w:sz="8" w:space="0" w:color="FFE13C" w:themeColor="accent4" w:themeTint="BF"/>
        <w:bottom w:val="single" w:sz="8" w:space="0" w:color="FFE13C" w:themeColor="accent4" w:themeTint="BF"/>
        <w:right w:val="single" w:sz="8" w:space="0" w:color="FFE13C" w:themeColor="accent4" w:themeTint="BF"/>
        <w:insideH w:val="single" w:sz="8" w:space="0" w:color="FFE1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FFE13C" w:themeColor="accent4" w:themeTint="BF"/>
          <w:left w:val="single" w:sz="8" w:space="0" w:color="FFE13C" w:themeColor="accent4" w:themeTint="BF"/>
          <w:bottom w:val="single" w:sz="8" w:space="0" w:color="FFE13C" w:themeColor="accent4" w:themeTint="BF"/>
          <w:right w:val="single" w:sz="8" w:space="0" w:color="FFE13C" w:themeColor="accent4" w:themeTint="BF"/>
          <w:insideH w:val="nil"/>
          <w:insideV w:val="nil"/>
        </w:tcBorders>
        <w:shd w:val="clear" w:color="auto" w:fill="FAD5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13C" w:themeColor="accent4" w:themeTint="BF"/>
          <w:left w:val="single" w:sz="8" w:space="0" w:color="FFE13C" w:themeColor="accent4" w:themeTint="BF"/>
          <w:bottom w:val="single" w:sz="8" w:space="0" w:color="FFE13C" w:themeColor="accent4" w:themeTint="BF"/>
          <w:right w:val="single" w:sz="8" w:space="0" w:color="FFE1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B836" w:themeColor="accent5" w:themeTint="BF"/>
        <w:left w:val="single" w:sz="8" w:space="0" w:color="FFB836" w:themeColor="accent5" w:themeTint="BF"/>
        <w:bottom w:val="single" w:sz="8" w:space="0" w:color="FFB836" w:themeColor="accent5" w:themeTint="BF"/>
        <w:right w:val="single" w:sz="8" w:space="0" w:color="FFB836" w:themeColor="accent5" w:themeTint="BF"/>
        <w:insideH w:val="single" w:sz="8" w:space="0" w:color="FFB83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FFB836" w:themeColor="accent5" w:themeTint="BF"/>
          <w:left w:val="single" w:sz="8" w:space="0" w:color="FFB836" w:themeColor="accent5" w:themeTint="BF"/>
          <w:bottom w:val="single" w:sz="8" w:space="0" w:color="FFB836" w:themeColor="accent5" w:themeTint="BF"/>
          <w:right w:val="single" w:sz="8" w:space="0" w:color="FFB836" w:themeColor="accent5" w:themeTint="BF"/>
          <w:insideH w:val="nil"/>
          <w:insideV w:val="nil"/>
        </w:tcBorders>
        <w:shd w:val="clear" w:color="auto" w:fill="F29D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836" w:themeColor="accent5" w:themeTint="BF"/>
          <w:left w:val="single" w:sz="8" w:space="0" w:color="FFB836" w:themeColor="accent5" w:themeTint="BF"/>
          <w:bottom w:val="single" w:sz="8" w:space="0" w:color="FFB836" w:themeColor="accent5" w:themeTint="BF"/>
          <w:right w:val="single" w:sz="8" w:space="0" w:color="FFB83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7B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7B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E77541" w:themeColor="accent6" w:themeTint="BF"/>
        <w:left w:val="single" w:sz="8" w:space="0" w:color="E77541" w:themeColor="accent6" w:themeTint="BF"/>
        <w:bottom w:val="single" w:sz="8" w:space="0" w:color="E77541" w:themeColor="accent6" w:themeTint="BF"/>
        <w:right w:val="single" w:sz="8" w:space="0" w:color="E77541" w:themeColor="accent6" w:themeTint="BF"/>
        <w:insideH w:val="single" w:sz="8" w:space="0" w:color="E7754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8" w:space="0" w:color="E77541" w:themeColor="accent6" w:themeTint="BF"/>
          <w:left w:val="single" w:sz="8" w:space="0" w:color="E77541" w:themeColor="accent6" w:themeTint="BF"/>
          <w:bottom w:val="single" w:sz="8" w:space="0" w:color="E77541" w:themeColor="accent6" w:themeTint="BF"/>
          <w:right w:val="single" w:sz="8" w:space="0" w:color="E77541" w:themeColor="accent6" w:themeTint="BF"/>
          <w:insideH w:val="nil"/>
          <w:insideV w:val="nil"/>
        </w:tcBorders>
        <w:shd w:val="clear" w:color="auto" w:fill="C850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7541" w:themeColor="accent6" w:themeTint="BF"/>
          <w:left w:val="single" w:sz="8" w:space="0" w:color="E77541" w:themeColor="accent6" w:themeTint="BF"/>
          <w:bottom w:val="single" w:sz="8" w:space="0" w:color="E77541" w:themeColor="accent6" w:themeTint="BF"/>
          <w:right w:val="single" w:sz="8" w:space="0" w:color="E7754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1C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D1C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595B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595B" w:themeFill="text1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8595B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AAA3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AAA35" w:themeFill="accent1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AAA3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3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3" w:themeFill="accent2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3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CCF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CCF00" w:themeFill="accent3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CCF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D5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D500" w:themeFill="accent4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AD5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9D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9D00" w:themeFill="accent5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9D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501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background1"/>
      </w:tcPr>
    </w:tblStylePr>
    <w:tblStylePr w:type="firstCol">
      <w:rPr>
        <w:b/>
        <w:bCs/>
        <w:color w:val="A5A5A5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5019" w:themeFill="accent6"/>
      </w:tcPr>
    </w:tblStylePr>
    <w:tblStylePr w:type="lastCol">
      <w:rPr>
        <w:b/>
        <w:bCs/>
        <w:color w:val="A5A5A5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501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8B8B8B" w:themeFill="background1" w:themeFillShade="D8"/>
      </w:tcPr>
    </w:tblStylePr>
    <w:tblStylePr w:type="band1Horz">
      <w:tblPr/>
      <w:tcPr>
        <w:shd w:val="clear" w:color="auto" w:fill="8B8B8B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A5A5A5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012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01205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NormalIndent">
    <w:name w:val="Normal Indent"/>
    <w:basedOn w:val="Normal"/>
    <w:uiPriority w:val="99"/>
    <w:semiHidden/>
    <w:unhideWhenUsed/>
    <w:rsid w:val="00901205"/>
    <w:pPr>
      <w:ind w:left="708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01205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01205"/>
    <w:rPr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01205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01205"/>
    <w:rPr>
      <w:rFonts w:ascii="Consolas" w:hAnsi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901205"/>
    <w:rPr>
      <w:i/>
      <w:iCs/>
      <w:color w:val="58595B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01205"/>
    <w:rPr>
      <w:i/>
      <w:iCs/>
      <w:color w:val="58595B" w:themeColor="text1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0120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01205"/>
    <w:rPr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901205"/>
    <w:pPr>
      <w:spacing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01205"/>
    <w:rPr>
      <w:lang w:val="en-GB"/>
    </w:rPr>
  </w:style>
  <w:style w:type="paragraph" w:styleId="Subtitle">
    <w:name w:val="Subtitle"/>
    <w:basedOn w:val="Normal"/>
    <w:next w:val="Normal"/>
    <w:link w:val="SubtitleChar"/>
    <w:uiPriority w:val="17"/>
    <w:semiHidden/>
    <w:qFormat/>
    <w:rsid w:val="00901205"/>
    <w:pPr>
      <w:numPr>
        <w:ilvl w:val="1"/>
      </w:numPr>
    </w:pPr>
    <w:rPr>
      <w:rFonts w:asciiTheme="majorHAnsi" w:eastAsiaTheme="majorEastAsia" w:hAnsiTheme="majorHAnsi" w:cstheme="majorBidi"/>
      <w:i/>
      <w:iCs/>
      <w:color w:val="3AAA3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7"/>
    <w:semiHidden/>
    <w:rsid w:val="00901205"/>
    <w:rPr>
      <w:rFonts w:asciiTheme="majorHAnsi" w:eastAsiaTheme="majorEastAsia" w:hAnsiTheme="majorHAnsi" w:cstheme="majorBidi"/>
      <w:i/>
      <w:iCs/>
      <w:color w:val="3AAA35" w:themeColor="accent1"/>
      <w:spacing w:val="15"/>
      <w:sz w:val="24"/>
      <w:szCs w:val="24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90120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0120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0120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0120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0120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0120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0120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0120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0120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0120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0120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0120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0120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0120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0120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0120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0120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0120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0120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90120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0120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0120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0120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0120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01205"/>
    <w:pPr>
      <w:ind w:left="220" w:hanging="220"/>
    </w:pPr>
  </w:style>
  <w:style w:type="table" w:styleId="TableProfessional">
    <w:name w:val="Table Professional"/>
    <w:basedOn w:val="Table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0120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0120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0120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0120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012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0120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0120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0120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90120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01205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01205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01205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01205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01205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01205"/>
    <w:pPr>
      <w:spacing w:after="100"/>
      <w:ind w:left="1760"/>
    </w:pPr>
  </w:style>
  <w:style w:type="paragraph" w:customStyle="1" w:styleId="T1SciensanoInternalNote">
    <w:name w:val="T1 Sciensano Internal Note"/>
    <w:basedOn w:val="Heading1"/>
    <w:semiHidden/>
    <w:qFormat/>
    <w:rsid w:val="00DA4C54"/>
    <w:pPr>
      <w:ind w:left="0" w:firstLine="0"/>
      <w:jc w:val="left"/>
    </w:pPr>
    <w:rPr>
      <w:spacing w:val="0"/>
      <w:sz w:val="20"/>
    </w:rPr>
  </w:style>
  <w:style w:type="paragraph" w:customStyle="1" w:styleId="T2SciensanoInternalNote">
    <w:name w:val="T2 Sciensano Internal Note"/>
    <w:basedOn w:val="Heading2"/>
    <w:next w:val="BodySciensano"/>
    <w:semiHidden/>
    <w:qFormat/>
    <w:rsid w:val="009034A6"/>
    <w:pPr>
      <w:spacing w:before="0" w:after="0"/>
      <w:jc w:val="left"/>
    </w:pPr>
    <w:rPr>
      <w:spacing w:val="0"/>
      <w:sz w:val="20"/>
    </w:rPr>
  </w:style>
  <w:style w:type="paragraph" w:customStyle="1" w:styleId="BodyStrongGreenSciensano">
    <w:name w:val="BodyStrong Green Sciensano"/>
    <w:basedOn w:val="BodyStrongSciensano"/>
    <w:next w:val="BodySciensano"/>
    <w:uiPriority w:val="17"/>
    <w:qFormat/>
    <w:rsid w:val="0030240A"/>
    <w:rPr>
      <w:color w:val="3AAA35"/>
    </w:rPr>
  </w:style>
  <w:style w:type="paragraph" w:customStyle="1" w:styleId="T1SciensanoScientificReport">
    <w:name w:val="T1 Sciensano Scientific Report"/>
    <w:next w:val="BodySciensano"/>
    <w:semiHidden/>
    <w:qFormat/>
    <w:rsid w:val="0044271D"/>
    <w:pPr>
      <w:jc w:val="center"/>
    </w:pPr>
    <w:rPr>
      <w:rFonts w:eastAsiaTheme="majorEastAsia" w:cstheme="majorBidi"/>
      <w:b/>
      <w:bCs/>
      <w:caps/>
      <w:color w:val="FFFFFF"/>
      <w:spacing w:val="20"/>
      <w:sz w:val="70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F7518"/>
    <w:rPr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6F7518"/>
    <w:rPr>
      <w:i/>
      <w:iCs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4C473A"/>
    <w:rPr>
      <w:color w:val="58595B"/>
      <w:u w:val="single"/>
      <w:lang w:val="en-GB"/>
    </w:rPr>
  </w:style>
  <w:style w:type="character" w:styleId="HTMLAcronym">
    <w:name w:val="HTML Acronym"/>
    <w:basedOn w:val="DefaultParagraphFont"/>
    <w:uiPriority w:val="99"/>
    <w:semiHidden/>
    <w:unhideWhenUsed/>
    <w:rsid w:val="006F7518"/>
    <w:rPr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6F7518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6F7518"/>
    <w:rPr>
      <w:rFonts w:ascii="Consolas" w:hAnsi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6F7518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6F7518"/>
    <w:rPr>
      <w:rFonts w:ascii="Consolas" w:hAnsi="Consolas"/>
      <w:sz w:val="20"/>
      <w:szCs w:val="20"/>
      <w:lang w:val="en-GB"/>
    </w:rPr>
  </w:style>
  <w:style w:type="character" w:styleId="HTMLSample">
    <w:name w:val="HTML Sample"/>
    <w:basedOn w:val="DefaultParagraphFont"/>
    <w:uiPriority w:val="99"/>
    <w:semiHidden/>
    <w:unhideWhenUsed/>
    <w:rsid w:val="006F7518"/>
    <w:rPr>
      <w:rFonts w:ascii="Consolas" w:hAnsi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6F7518"/>
    <w:rPr>
      <w:rFonts w:ascii="Consolas" w:hAnsi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6F7518"/>
    <w:rPr>
      <w:i/>
      <w:iCs/>
      <w:lang w:val="en-GB"/>
    </w:rPr>
  </w:style>
  <w:style w:type="character" w:styleId="IntenseEmphasis">
    <w:name w:val="Intense Emphasis"/>
    <w:basedOn w:val="DefaultParagraphFont"/>
    <w:uiPriority w:val="21"/>
    <w:qFormat/>
    <w:rsid w:val="006F7518"/>
    <w:rPr>
      <w:b/>
      <w:bCs/>
      <w:i/>
      <w:iCs/>
      <w:color w:val="3AAA35" w:themeColor="accent1"/>
      <w:lang w:val="en-GB"/>
    </w:rPr>
  </w:style>
  <w:style w:type="character" w:styleId="IntenseReference">
    <w:name w:val="Intense Reference"/>
    <w:basedOn w:val="DefaultParagraphFont"/>
    <w:uiPriority w:val="32"/>
    <w:qFormat/>
    <w:rsid w:val="006F7518"/>
    <w:rPr>
      <w:b/>
      <w:bCs/>
      <w:smallCaps/>
      <w:color w:val="006633" w:themeColor="accent2"/>
      <w:spacing w:val="5"/>
      <w:u w:val="single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F7518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6F7518"/>
    <w:rPr>
      <w:lang w:val="en-GB"/>
    </w:rPr>
  </w:style>
  <w:style w:type="character" w:styleId="Strong">
    <w:name w:val="Strong"/>
    <w:basedOn w:val="DefaultParagraphFont"/>
    <w:uiPriority w:val="22"/>
    <w:qFormat/>
    <w:rsid w:val="006F7518"/>
    <w:rPr>
      <w:b/>
      <w:bCs/>
      <w:lang w:val="en-GB"/>
    </w:rPr>
  </w:style>
  <w:style w:type="character" w:styleId="SubtleReference">
    <w:name w:val="Subtle Reference"/>
    <w:basedOn w:val="DefaultParagraphFont"/>
    <w:uiPriority w:val="31"/>
    <w:qFormat/>
    <w:rsid w:val="006F7518"/>
    <w:rPr>
      <w:smallCaps/>
      <w:color w:val="006633" w:themeColor="accent2"/>
      <w:u w:val="single"/>
      <w:lang w:val="en-GB"/>
    </w:rPr>
  </w:style>
  <w:style w:type="paragraph" w:customStyle="1" w:styleId="T2SciensanoScientificReport">
    <w:name w:val="T2 Sciensano Scientific Report"/>
    <w:next w:val="BodySciensano"/>
    <w:semiHidden/>
    <w:qFormat/>
    <w:rsid w:val="00390C8B"/>
    <w:pPr>
      <w:jc w:val="center"/>
    </w:pPr>
    <w:rPr>
      <w:rFonts w:eastAsiaTheme="majorEastAsia" w:cstheme="majorBidi"/>
      <w:b/>
      <w:bCs/>
      <w:color w:val="BCCF00"/>
      <w:spacing w:val="20"/>
      <w:sz w:val="3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5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ciensano">
      <a:dk1>
        <a:srgbClr val="58595B"/>
      </a:dk1>
      <a:lt1>
        <a:srgbClr val="A5A5A5"/>
      </a:lt1>
      <a:dk2>
        <a:srgbClr val="006633"/>
      </a:dk2>
      <a:lt2>
        <a:srgbClr val="3AAA35"/>
      </a:lt2>
      <a:accent1>
        <a:srgbClr val="3AAA35"/>
      </a:accent1>
      <a:accent2>
        <a:srgbClr val="006633"/>
      </a:accent2>
      <a:accent3>
        <a:srgbClr val="BCCF00"/>
      </a:accent3>
      <a:accent4>
        <a:srgbClr val="FAD500"/>
      </a:accent4>
      <a:accent5>
        <a:srgbClr val="F29D00"/>
      </a:accent5>
      <a:accent6>
        <a:srgbClr val="C85019"/>
      </a:accent6>
      <a:hlink>
        <a:srgbClr val="58595B"/>
      </a:hlink>
      <a:folHlink>
        <a:srgbClr val="3AAA35"/>
      </a:folHlink>
    </a:clrScheme>
    <a:fontScheme name="Sciensano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B35BA-7550-4F0A-B5AA-A80994B61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2100</Words>
  <Characters>11550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gaelle.mogin</dc:creator>
  <cp:keywords/>
  <dc:description/>
  <cp:lastModifiedBy>gaelle.mogin@sciensano.be</cp:lastModifiedBy>
  <cp:revision>7</cp:revision>
  <dcterms:created xsi:type="dcterms:W3CDTF">2024-10-29T10:25:00Z</dcterms:created>
  <dcterms:modified xsi:type="dcterms:W3CDTF">2024-12-19T14:43:00Z</dcterms:modified>
</cp:coreProperties>
</file>