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56207B" w14:textId="77777777" w:rsidR="0075029D" w:rsidRPr="00FA61B2" w:rsidRDefault="0075029D" w:rsidP="0075029D">
      <w:pPr>
        <w:spacing w:line="360" w:lineRule="auto"/>
        <w:jc w:val="both"/>
        <w:rPr>
          <w:rFonts w:asciiTheme="majorBidi" w:hAnsiTheme="majorBidi" w:cstheme="majorBidi"/>
          <w:sz w:val="24"/>
          <w:szCs w:val="24"/>
        </w:rPr>
      </w:pPr>
      <w:r w:rsidRPr="00FA61B2">
        <w:rPr>
          <w:rFonts w:asciiTheme="majorBidi" w:hAnsiTheme="majorBidi" w:cstheme="majorBidi"/>
          <w:noProof/>
          <w:sz w:val="24"/>
          <w:szCs w:val="24"/>
        </w:rPr>
        <w:drawing>
          <wp:inline distT="0" distB="0" distL="0" distR="0" wp14:anchorId="3B7CF9D2" wp14:editId="4488B824">
            <wp:extent cx="5943600" cy="4160520"/>
            <wp:effectExtent l="0" t="0" r="0" b="0"/>
            <wp:docPr id="531690224"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3600" cy="4160520"/>
                    </a:xfrm>
                    <a:prstGeom prst="rect">
                      <a:avLst/>
                    </a:prstGeom>
                    <a:noFill/>
                    <a:ln>
                      <a:noFill/>
                    </a:ln>
                  </pic:spPr>
                </pic:pic>
              </a:graphicData>
            </a:graphic>
          </wp:inline>
        </w:drawing>
      </w:r>
    </w:p>
    <w:p w14:paraId="5128D20B" w14:textId="320E805F" w:rsidR="0075029D" w:rsidRPr="00FA61B2" w:rsidRDefault="0075029D" w:rsidP="0075029D">
      <w:pPr>
        <w:spacing w:line="360" w:lineRule="auto"/>
        <w:jc w:val="both"/>
        <w:rPr>
          <w:rFonts w:asciiTheme="majorBidi" w:hAnsiTheme="majorBidi" w:cstheme="majorBidi"/>
          <w:sz w:val="24"/>
          <w:szCs w:val="24"/>
        </w:rPr>
      </w:pPr>
      <w:r w:rsidRPr="00FA61B2">
        <w:rPr>
          <w:rFonts w:asciiTheme="majorBidi" w:hAnsiTheme="majorBidi" w:cstheme="majorBidi"/>
          <w:b/>
          <w:bCs/>
          <w:sz w:val="24"/>
          <w:szCs w:val="24"/>
        </w:rPr>
        <w:t xml:space="preserve">Figure </w:t>
      </w:r>
      <w:r w:rsidR="00C65D34">
        <w:rPr>
          <w:rFonts w:asciiTheme="majorBidi" w:hAnsiTheme="majorBidi" w:cstheme="majorBidi"/>
          <w:b/>
          <w:bCs/>
          <w:sz w:val="24"/>
          <w:szCs w:val="24"/>
        </w:rPr>
        <w:t>1</w:t>
      </w:r>
      <w:r w:rsidRPr="00FA61B2">
        <w:rPr>
          <w:rFonts w:asciiTheme="majorBidi" w:hAnsiTheme="majorBidi" w:cstheme="majorBidi"/>
          <w:b/>
          <w:bCs/>
          <w:sz w:val="24"/>
          <w:szCs w:val="24"/>
        </w:rPr>
        <w:t>: Cross-Correlation Between Precipitation and Dengue Incidence</w:t>
      </w:r>
      <w:r w:rsidRPr="00FA61B2">
        <w:rPr>
          <w:rFonts w:asciiTheme="majorBidi" w:hAnsiTheme="majorBidi" w:cstheme="majorBidi"/>
          <w:sz w:val="24"/>
          <w:szCs w:val="24"/>
        </w:rPr>
        <w:br/>
        <w:t>Cross-correlation function plot showing the relationship between precipitation and dengue incidence across different time lags. Positive lags indicate that changes in precipitation precede changes in dengue incidence, while negative lags suggest that dengue incidence precedes precipitation changes. The blue dashed lines represent the 95% confidence interval, with significant correlations occurring outside these bounds.</w:t>
      </w:r>
    </w:p>
    <w:p w14:paraId="260ED527" w14:textId="77777777" w:rsidR="0075029D" w:rsidRPr="00FA61B2" w:rsidRDefault="0075029D" w:rsidP="0075029D">
      <w:pPr>
        <w:spacing w:line="360" w:lineRule="auto"/>
        <w:jc w:val="both"/>
        <w:rPr>
          <w:rFonts w:asciiTheme="majorBidi" w:hAnsiTheme="majorBidi" w:cstheme="majorBidi"/>
          <w:sz w:val="24"/>
          <w:szCs w:val="24"/>
        </w:rPr>
      </w:pPr>
    </w:p>
    <w:p w14:paraId="2213F4E3" w14:textId="77777777" w:rsidR="0075029D" w:rsidRPr="00FA61B2" w:rsidRDefault="0075029D" w:rsidP="0075029D">
      <w:pPr>
        <w:spacing w:line="360" w:lineRule="auto"/>
        <w:jc w:val="both"/>
        <w:rPr>
          <w:rFonts w:asciiTheme="majorBidi" w:hAnsiTheme="majorBidi" w:cstheme="majorBidi"/>
          <w:sz w:val="24"/>
          <w:szCs w:val="24"/>
        </w:rPr>
      </w:pPr>
      <w:r w:rsidRPr="00FA61B2">
        <w:rPr>
          <w:rFonts w:asciiTheme="majorBidi" w:hAnsiTheme="majorBidi" w:cstheme="majorBidi"/>
          <w:noProof/>
          <w:sz w:val="24"/>
          <w:szCs w:val="24"/>
        </w:rPr>
        <w:lastRenderedPageBreak/>
        <w:drawing>
          <wp:inline distT="0" distB="0" distL="0" distR="0" wp14:anchorId="4C0D2886" wp14:editId="2FD888A7">
            <wp:extent cx="5943600" cy="4160520"/>
            <wp:effectExtent l="0" t="0" r="0" b="0"/>
            <wp:docPr id="1674908365"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3600" cy="4160520"/>
                    </a:xfrm>
                    <a:prstGeom prst="rect">
                      <a:avLst/>
                    </a:prstGeom>
                    <a:noFill/>
                    <a:ln>
                      <a:noFill/>
                    </a:ln>
                  </pic:spPr>
                </pic:pic>
              </a:graphicData>
            </a:graphic>
          </wp:inline>
        </w:drawing>
      </w:r>
    </w:p>
    <w:p w14:paraId="72A67962" w14:textId="7782D59E" w:rsidR="0075029D" w:rsidRPr="00FA61B2" w:rsidRDefault="0075029D" w:rsidP="0075029D">
      <w:pPr>
        <w:spacing w:line="360" w:lineRule="auto"/>
        <w:jc w:val="both"/>
        <w:rPr>
          <w:rFonts w:asciiTheme="majorBidi" w:hAnsiTheme="majorBidi" w:cstheme="majorBidi"/>
          <w:sz w:val="24"/>
          <w:szCs w:val="24"/>
        </w:rPr>
      </w:pPr>
      <w:r w:rsidRPr="00FA61B2">
        <w:rPr>
          <w:rFonts w:asciiTheme="majorBidi" w:hAnsiTheme="majorBidi" w:cstheme="majorBidi"/>
          <w:b/>
          <w:bCs/>
          <w:sz w:val="24"/>
          <w:szCs w:val="24"/>
        </w:rPr>
        <w:t xml:space="preserve">Figure </w:t>
      </w:r>
      <w:r w:rsidR="00C65D34">
        <w:rPr>
          <w:rFonts w:asciiTheme="majorBidi" w:hAnsiTheme="majorBidi" w:cstheme="majorBidi"/>
          <w:b/>
          <w:bCs/>
          <w:sz w:val="24"/>
          <w:szCs w:val="24"/>
        </w:rPr>
        <w:t>2</w:t>
      </w:r>
      <w:r w:rsidRPr="00FA61B2">
        <w:rPr>
          <w:rFonts w:asciiTheme="majorBidi" w:hAnsiTheme="majorBidi" w:cstheme="majorBidi"/>
          <w:b/>
          <w:bCs/>
          <w:sz w:val="24"/>
          <w:szCs w:val="24"/>
        </w:rPr>
        <w:t>. Cross-Correlation Between Temperature and Dengue Incidence</w:t>
      </w:r>
      <w:r w:rsidRPr="00FA61B2">
        <w:rPr>
          <w:rFonts w:asciiTheme="majorBidi" w:hAnsiTheme="majorBidi" w:cstheme="majorBidi"/>
          <w:sz w:val="24"/>
          <w:szCs w:val="24"/>
        </w:rPr>
        <w:t>. Cross-correlation function plot illustrating the relationship between temperature and dengue incidence across different time lags. Positive lags indicate that temperature changes precede changes in dengue incidence, while negative lags suggest that dengue incidence precedes temperature variations. The blue dashed lines represent the 95% confidence interval, with significant correlations occurring outside these bounds.</w:t>
      </w:r>
    </w:p>
    <w:p w14:paraId="778BAB65" w14:textId="77777777" w:rsidR="0075029D" w:rsidRPr="00FA61B2" w:rsidRDefault="0075029D" w:rsidP="0075029D">
      <w:pPr>
        <w:spacing w:line="360" w:lineRule="auto"/>
        <w:jc w:val="both"/>
        <w:rPr>
          <w:rFonts w:asciiTheme="majorBidi" w:hAnsiTheme="majorBidi" w:cstheme="majorBidi"/>
          <w:sz w:val="24"/>
          <w:szCs w:val="24"/>
        </w:rPr>
      </w:pPr>
      <w:r w:rsidRPr="00FA61B2">
        <w:rPr>
          <w:rFonts w:asciiTheme="majorBidi" w:hAnsiTheme="majorBidi" w:cstheme="majorBidi"/>
          <w:noProof/>
          <w:sz w:val="24"/>
          <w:szCs w:val="24"/>
        </w:rPr>
        <w:lastRenderedPageBreak/>
        <w:drawing>
          <wp:inline distT="0" distB="0" distL="0" distR="0" wp14:anchorId="20FF3EB2" wp14:editId="7B14E5D6">
            <wp:extent cx="5943600" cy="4160520"/>
            <wp:effectExtent l="0" t="0" r="0" b="0"/>
            <wp:docPr id="193185092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3600" cy="4160520"/>
                    </a:xfrm>
                    <a:prstGeom prst="rect">
                      <a:avLst/>
                    </a:prstGeom>
                    <a:noFill/>
                    <a:ln>
                      <a:noFill/>
                    </a:ln>
                  </pic:spPr>
                </pic:pic>
              </a:graphicData>
            </a:graphic>
          </wp:inline>
        </w:drawing>
      </w:r>
    </w:p>
    <w:p w14:paraId="443B3934" w14:textId="429A6A9F" w:rsidR="0075029D" w:rsidRPr="00FA61B2" w:rsidRDefault="0075029D" w:rsidP="0075029D">
      <w:pPr>
        <w:spacing w:line="360" w:lineRule="auto"/>
        <w:jc w:val="both"/>
        <w:rPr>
          <w:rFonts w:asciiTheme="majorBidi" w:hAnsiTheme="majorBidi" w:cstheme="majorBidi"/>
          <w:sz w:val="24"/>
          <w:szCs w:val="24"/>
        </w:rPr>
      </w:pPr>
      <w:r w:rsidRPr="00FA61B2">
        <w:rPr>
          <w:rFonts w:asciiTheme="majorBidi" w:hAnsiTheme="majorBidi" w:cstheme="majorBidi"/>
          <w:b/>
          <w:bCs/>
          <w:sz w:val="24"/>
          <w:szCs w:val="24"/>
        </w:rPr>
        <w:t xml:space="preserve">Figure </w:t>
      </w:r>
      <w:r w:rsidR="00C65D34">
        <w:rPr>
          <w:rFonts w:asciiTheme="majorBidi" w:hAnsiTheme="majorBidi" w:cstheme="majorBidi"/>
          <w:b/>
          <w:bCs/>
          <w:sz w:val="24"/>
          <w:szCs w:val="24"/>
        </w:rPr>
        <w:t>3</w:t>
      </w:r>
      <w:r w:rsidRPr="00FA61B2">
        <w:rPr>
          <w:rFonts w:asciiTheme="majorBidi" w:hAnsiTheme="majorBidi" w:cstheme="majorBidi"/>
          <w:b/>
          <w:bCs/>
          <w:sz w:val="24"/>
          <w:szCs w:val="24"/>
        </w:rPr>
        <w:t>. Cross-Correlation Between Precipitation and West Nile Virus Incidence</w:t>
      </w:r>
      <w:r w:rsidRPr="00FA61B2">
        <w:rPr>
          <w:rFonts w:asciiTheme="majorBidi" w:hAnsiTheme="majorBidi" w:cstheme="majorBidi"/>
          <w:sz w:val="24"/>
          <w:szCs w:val="24"/>
        </w:rPr>
        <w:br/>
        <w:t xml:space="preserve">Cross-correlation function plot illustrating the relationship between precipitation and </w:t>
      </w:r>
      <w:r>
        <w:rPr>
          <w:rFonts w:asciiTheme="majorBidi" w:hAnsiTheme="majorBidi" w:cstheme="majorBidi"/>
          <w:sz w:val="24"/>
          <w:szCs w:val="24"/>
        </w:rPr>
        <w:t>W</w:t>
      </w:r>
      <w:r w:rsidRPr="00FA61B2">
        <w:rPr>
          <w:rFonts w:asciiTheme="majorBidi" w:hAnsiTheme="majorBidi" w:cstheme="majorBidi"/>
          <w:sz w:val="24"/>
          <w:szCs w:val="24"/>
        </w:rPr>
        <w:t xml:space="preserve">est </w:t>
      </w:r>
      <w:r>
        <w:rPr>
          <w:rFonts w:asciiTheme="majorBidi" w:hAnsiTheme="majorBidi" w:cstheme="majorBidi"/>
          <w:sz w:val="24"/>
          <w:szCs w:val="24"/>
        </w:rPr>
        <w:t>N</w:t>
      </w:r>
      <w:r w:rsidRPr="00FA61B2">
        <w:rPr>
          <w:rFonts w:asciiTheme="majorBidi" w:hAnsiTheme="majorBidi" w:cstheme="majorBidi"/>
          <w:sz w:val="24"/>
          <w:szCs w:val="24"/>
        </w:rPr>
        <w:t>ile virus incidence across different time lags. Positive lags indicate that temperature changes precede changes in dengue incidence, while negative lags suggest that dengue incidence precedes temperature variations. The blue dashed lines represent the 95% confidence interval, with significant correlations occurring outside these bounds.</w:t>
      </w:r>
    </w:p>
    <w:p w14:paraId="2F0E4EF1" w14:textId="77777777" w:rsidR="0075029D" w:rsidRPr="00FA61B2" w:rsidRDefault="0075029D" w:rsidP="0075029D">
      <w:pPr>
        <w:spacing w:line="360" w:lineRule="auto"/>
        <w:jc w:val="both"/>
        <w:rPr>
          <w:rFonts w:asciiTheme="majorBidi" w:hAnsiTheme="majorBidi" w:cstheme="majorBidi"/>
          <w:sz w:val="24"/>
          <w:szCs w:val="24"/>
        </w:rPr>
      </w:pPr>
      <w:r w:rsidRPr="00FA61B2">
        <w:rPr>
          <w:rFonts w:asciiTheme="majorBidi" w:hAnsiTheme="majorBidi" w:cstheme="majorBidi"/>
          <w:noProof/>
          <w:sz w:val="24"/>
          <w:szCs w:val="24"/>
        </w:rPr>
        <w:lastRenderedPageBreak/>
        <w:drawing>
          <wp:inline distT="0" distB="0" distL="0" distR="0" wp14:anchorId="6BC24544" wp14:editId="16E82BBB">
            <wp:extent cx="5943600" cy="4160520"/>
            <wp:effectExtent l="0" t="0" r="0" b="0"/>
            <wp:docPr id="204667829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3600" cy="4160520"/>
                    </a:xfrm>
                    <a:prstGeom prst="rect">
                      <a:avLst/>
                    </a:prstGeom>
                    <a:noFill/>
                    <a:ln>
                      <a:noFill/>
                    </a:ln>
                  </pic:spPr>
                </pic:pic>
              </a:graphicData>
            </a:graphic>
          </wp:inline>
        </w:drawing>
      </w:r>
    </w:p>
    <w:p w14:paraId="52F73F3A" w14:textId="4A987922" w:rsidR="0075029D" w:rsidRPr="00FA61B2" w:rsidRDefault="0075029D" w:rsidP="0075029D">
      <w:pPr>
        <w:spacing w:line="360" w:lineRule="auto"/>
        <w:jc w:val="both"/>
        <w:rPr>
          <w:rFonts w:asciiTheme="majorBidi" w:hAnsiTheme="majorBidi" w:cstheme="majorBidi"/>
          <w:sz w:val="24"/>
          <w:szCs w:val="24"/>
        </w:rPr>
      </w:pPr>
      <w:r w:rsidRPr="00FA61B2">
        <w:rPr>
          <w:rFonts w:asciiTheme="majorBidi" w:hAnsiTheme="majorBidi" w:cstheme="majorBidi"/>
          <w:b/>
          <w:bCs/>
          <w:sz w:val="24"/>
          <w:szCs w:val="24"/>
        </w:rPr>
        <w:t xml:space="preserve">Figure </w:t>
      </w:r>
      <w:r w:rsidR="00C65D34">
        <w:rPr>
          <w:rFonts w:asciiTheme="majorBidi" w:hAnsiTheme="majorBidi" w:cstheme="majorBidi"/>
          <w:b/>
          <w:bCs/>
          <w:sz w:val="24"/>
          <w:szCs w:val="24"/>
        </w:rPr>
        <w:t>4</w:t>
      </w:r>
      <w:r w:rsidRPr="00FA61B2">
        <w:rPr>
          <w:rFonts w:asciiTheme="majorBidi" w:hAnsiTheme="majorBidi" w:cstheme="majorBidi"/>
          <w:b/>
          <w:bCs/>
          <w:sz w:val="24"/>
          <w:szCs w:val="24"/>
        </w:rPr>
        <w:t>. Cross-Correlation Between Temperature and West Nile Virus Incidence</w:t>
      </w:r>
      <w:r w:rsidRPr="00FA61B2">
        <w:rPr>
          <w:rFonts w:asciiTheme="majorBidi" w:hAnsiTheme="majorBidi" w:cstheme="majorBidi"/>
          <w:sz w:val="24"/>
          <w:szCs w:val="24"/>
        </w:rPr>
        <w:br/>
        <w:t>Cross-correlation function (CCF) plot illustrating the relationship between temperature and west nile virus incidence across different time lags. Positive lags indicate that temperature changes precede changes in dengue incidence, while negative lags suggest that dengue incidence precedes temperature variations. The blue dashed lines represent the 95% confidence interval, with significant correlations occurring outside these bounds.</w:t>
      </w:r>
    </w:p>
    <w:p w14:paraId="72417F71" w14:textId="77777777" w:rsidR="0075029D" w:rsidRPr="00FA61B2" w:rsidRDefault="0075029D" w:rsidP="0075029D">
      <w:pPr>
        <w:spacing w:line="360" w:lineRule="auto"/>
        <w:jc w:val="both"/>
        <w:rPr>
          <w:rFonts w:asciiTheme="majorBidi" w:hAnsiTheme="majorBidi" w:cstheme="majorBidi"/>
          <w:sz w:val="24"/>
          <w:szCs w:val="24"/>
        </w:rPr>
      </w:pPr>
    </w:p>
    <w:p w14:paraId="55C2F70E" w14:textId="77777777" w:rsidR="0075029D" w:rsidRPr="00FA61B2" w:rsidRDefault="0075029D" w:rsidP="0075029D">
      <w:pPr>
        <w:spacing w:line="360" w:lineRule="auto"/>
        <w:jc w:val="both"/>
        <w:rPr>
          <w:rFonts w:asciiTheme="majorBidi" w:hAnsiTheme="majorBidi" w:cstheme="majorBidi"/>
          <w:sz w:val="24"/>
          <w:szCs w:val="24"/>
        </w:rPr>
      </w:pPr>
      <w:r w:rsidRPr="00FA61B2">
        <w:rPr>
          <w:rFonts w:asciiTheme="majorBidi" w:hAnsiTheme="majorBidi" w:cstheme="majorBidi"/>
          <w:noProof/>
          <w:sz w:val="24"/>
          <w:szCs w:val="24"/>
        </w:rPr>
        <w:lastRenderedPageBreak/>
        <w:drawing>
          <wp:inline distT="0" distB="0" distL="0" distR="0" wp14:anchorId="63E2594E" wp14:editId="7D890443">
            <wp:extent cx="5943600" cy="4160520"/>
            <wp:effectExtent l="0" t="0" r="0" b="0"/>
            <wp:docPr id="161585086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4160520"/>
                    </a:xfrm>
                    <a:prstGeom prst="rect">
                      <a:avLst/>
                    </a:prstGeom>
                    <a:noFill/>
                    <a:ln>
                      <a:noFill/>
                    </a:ln>
                  </pic:spPr>
                </pic:pic>
              </a:graphicData>
            </a:graphic>
          </wp:inline>
        </w:drawing>
      </w:r>
    </w:p>
    <w:p w14:paraId="338CA83B" w14:textId="06F838CD" w:rsidR="0075029D" w:rsidRPr="00FA61B2" w:rsidRDefault="0075029D" w:rsidP="0075029D">
      <w:pPr>
        <w:spacing w:line="360" w:lineRule="auto"/>
        <w:jc w:val="both"/>
        <w:rPr>
          <w:rFonts w:asciiTheme="majorBidi" w:hAnsiTheme="majorBidi" w:cstheme="majorBidi"/>
          <w:sz w:val="24"/>
          <w:szCs w:val="24"/>
        </w:rPr>
      </w:pPr>
      <w:r w:rsidRPr="00FA61B2">
        <w:rPr>
          <w:rFonts w:asciiTheme="majorBidi" w:hAnsiTheme="majorBidi" w:cstheme="majorBidi"/>
          <w:b/>
          <w:bCs/>
          <w:sz w:val="24"/>
          <w:szCs w:val="24"/>
        </w:rPr>
        <w:t xml:space="preserve">Figure </w:t>
      </w:r>
      <w:r w:rsidR="00C65D34">
        <w:rPr>
          <w:rFonts w:asciiTheme="majorBidi" w:hAnsiTheme="majorBidi" w:cstheme="majorBidi"/>
          <w:b/>
          <w:bCs/>
          <w:sz w:val="24"/>
          <w:szCs w:val="24"/>
        </w:rPr>
        <w:t>5</w:t>
      </w:r>
      <w:r w:rsidRPr="00FA61B2">
        <w:rPr>
          <w:rFonts w:asciiTheme="majorBidi" w:hAnsiTheme="majorBidi" w:cstheme="majorBidi"/>
          <w:b/>
          <w:bCs/>
          <w:sz w:val="24"/>
          <w:szCs w:val="24"/>
        </w:rPr>
        <w:t>. Cross-Correlation Between Precipitation and Malaria Incidence</w:t>
      </w:r>
      <w:r w:rsidRPr="00FA61B2">
        <w:rPr>
          <w:rFonts w:asciiTheme="majorBidi" w:hAnsiTheme="majorBidi" w:cstheme="majorBidi"/>
          <w:sz w:val="24"/>
          <w:szCs w:val="24"/>
        </w:rPr>
        <w:br/>
        <w:t>Cross-correlation function plot illustrating the relationship between precipitation and malaria incidence across different time lags. Positive lags indicate that temperature changes precede changes in dengue incidence, while negative lags suggest that dengue incidence precedes temperature variations. The blue dashed lines represent the 95% confidence interval, with significant correlations occurring outside these bounds.</w:t>
      </w:r>
    </w:p>
    <w:p w14:paraId="361EB899" w14:textId="77777777" w:rsidR="0075029D" w:rsidRPr="00FA61B2" w:rsidRDefault="0075029D" w:rsidP="0075029D">
      <w:pPr>
        <w:spacing w:line="360" w:lineRule="auto"/>
        <w:jc w:val="both"/>
        <w:rPr>
          <w:rFonts w:asciiTheme="majorBidi" w:hAnsiTheme="majorBidi" w:cstheme="majorBidi"/>
          <w:sz w:val="24"/>
          <w:szCs w:val="24"/>
        </w:rPr>
      </w:pPr>
      <w:r w:rsidRPr="00FA61B2">
        <w:rPr>
          <w:rFonts w:asciiTheme="majorBidi" w:hAnsiTheme="majorBidi" w:cstheme="majorBidi"/>
          <w:noProof/>
          <w:sz w:val="24"/>
          <w:szCs w:val="24"/>
        </w:rPr>
        <w:lastRenderedPageBreak/>
        <w:drawing>
          <wp:inline distT="0" distB="0" distL="0" distR="0" wp14:anchorId="0C757302" wp14:editId="10C9C02A">
            <wp:extent cx="5943600" cy="4160520"/>
            <wp:effectExtent l="0" t="0" r="0" b="0"/>
            <wp:docPr id="15706639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3600" cy="4160520"/>
                    </a:xfrm>
                    <a:prstGeom prst="rect">
                      <a:avLst/>
                    </a:prstGeom>
                    <a:noFill/>
                    <a:ln>
                      <a:noFill/>
                    </a:ln>
                  </pic:spPr>
                </pic:pic>
              </a:graphicData>
            </a:graphic>
          </wp:inline>
        </w:drawing>
      </w:r>
    </w:p>
    <w:p w14:paraId="539CA544" w14:textId="6E1512F2" w:rsidR="0075029D" w:rsidRPr="00FA61B2" w:rsidRDefault="0075029D" w:rsidP="0075029D">
      <w:pPr>
        <w:spacing w:line="360" w:lineRule="auto"/>
        <w:jc w:val="both"/>
        <w:rPr>
          <w:rFonts w:asciiTheme="majorBidi" w:hAnsiTheme="majorBidi" w:cstheme="majorBidi"/>
          <w:sz w:val="24"/>
          <w:szCs w:val="24"/>
        </w:rPr>
      </w:pPr>
      <w:r w:rsidRPr="00FA61B2">
        <w:rPr>
          <w:rFonts w:asciiTheme="majorBidi" w:hAnsiTheme="majorBidi" w:cstheme="majorBidi"/>
          <w:b/>
          <w:bCs/>
          <w:sz w:val="24"/>
          <w:szCs w:val="24"/>
        </w:rPr>
        <w:t xml:space="preserve">Figure </w:t>
      </w:r>
      <w:r w:rsidR="00C65D34">
        <w:rPr>
          <w:rFonts w:asciiTheme="majorBidi" w:hAnsiTheme="majorBidi" w:cstheme="majorBidi"/>
          <w:b/>
          <w:bCs/>
          <w:sz w:val="24"/>
          <w:szCs w:val="24"/>
        </w:rPr>
        <w:t>6</w:t>
      </w:r>
      <w:r w:rsidRPr="00FA61B2">
        <w:rPr>
          <w:rFonts w:asciiTheme="majorBidi" w:hAnsiTheme="majorBidi" w:cstheme="majorBidi"/>
          <w:b/>
          <w:bCs/>
          <w:sz w:val="24"/>
          <w:szCs w:val="24"/>
        </w:rPr>
        <w:t>. Cross-Correlation Between Temperature and Malaria Incidence</w:t>
      </w:r>
      <w:r w:rsidRPr="00FA61B2">
        <w:rPr>
          <w:rFonts w:asciiTheme="majorBidi" w:hAnsiTheme="majorBidi" w:cstheme="majorBidi"/>
          <w:sz w:val="24"/>
          <w:szCs w:val="24"/>
        </w:rPr>
        <w:br/>
        <w:t>Cross-correlation function plot illustrating the relationship between temperature and malaria incidence across different time lags. Positive lags indicate that temperature changes precede changes in dengue incidence, while negative lags suggest that dengue incidence precedes temperature variations. The blue dashed lines represent the 95% confidence interval, with significant correlations occurring outside these bounds.</w:t>
      </w:r>
    </w:p>
    <w:p w14:paraId="36CECBB3" w14:textId="77777777" w:rsidR="000E2681" w:rsidRDefault="000E2681"/>
    <w:sectPr w:rsidR="000E268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065B"/>
    <w:rsid w:val="00043372"/>
    <w:rsid w:val="000E2681"/>
    <w:rsid w:val="00226FF6"/>
    <w:rsid w:val="004D3886"/>
    <w:rsid w:val="0055255C"/>
    <w:rsid w:val="0069065B"/>
    <w:rsid w:val="0075029D"/>
    <w:rsid w:val="00B26FB6"/>
    <w:rsid w:val="00C65D34"/>
    <w:rsid w:val="00DE390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FC8B48"/>
  <w15:chartTrackingRefBased/>
  <w15:docId w15:val="{162E3C5E-26E4-418D-A061-E62D90B64F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029D"/>
  </w:style>
  <w:style w:type="paragraph" w:styleId="Heading1">
    <w:name w:val="heading 1"/>
    <w:basedOn w:val="Normal"/>
    <w:next w:val="Normal"/>
    <w:link w:val="Heading1Char"/>
    <w:uiPriority w:val="9"/>
    <w:qFormat/>
    <w:rsid w:val="0069065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9065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9065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9065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9065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9065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9065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9065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9065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9065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9065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9065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9065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9065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9065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9065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9065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9065B"/>
    <w:rPr>
      <w:rFonts w:eastAsiaTheme="majorEastAsia" w:cstheme="majorBidi"/>
      <w:color w:val="272727" w:themeColor="text1" w:themeTint="D8"/>
    </w:rPr>
  </w:style>
  <w:style w:type="paragraph" w:styleId="Title">
    <w:name w:val="Title"/>
    <w:basedOn w:val="Normal"/>
    <w:next w:val="Normal"/>
    <w:link w:val="TitleChar"/>
    <w:uiPriority w:val="10"/>
    <w:qFormat/>
    <w:rsid w:val="0069065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9065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9065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9065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9065B"/>
    <w:pPr>
      <w:spacing w:before="160"/>
      <w:jc w:val="center"/>
    </w:pPr>
    <w:rPr>
      <w:i/>
      <w:iCs/>
      <w:color w:val="404040" w:themeColor="text1" w:themeTint="BF"/>
    </w:rPr>
  </w:style>
  <w:style w:type="character" w:customStyle="1" w:styleId="QuoteChar">
    <w:name w:val="Quote Char"/>
    <w:basedOn w:val="DefaultParagraphFont"/>
    <w:link w:val="Quote"/>
    <w:uiPriority w:val="29"/>
    <w:rsid w:val="0069065B"/>
    <w:rPr>
      <w:i/>
      <w:iCs/>
      <w:color w:val="404040" w:themeColor="text1" w:themeTint="BF"/>
    </w:rPr>
  </w:style>
  <w:style w:type="paragraph" w:styleId="ListParagraph">
    <w:name w:val="List Paragraph"/>
    <w:basedOn w:val="Normal"/>
    <w:uiPriority w:val="34"/>
    <w:qFormat/>
    <w:rsid w:val="0069065B"/>
    <w:pPr>
      <w:ind w:left="720"/>
      <w:contextualSpacing/>
    </w:pPr>
  </w:style>
  <w:style w:type="character" w:styleId="IntenseEmphasis">
    <w:name w:val="Intense Emphasis"/>
    <w:basedOn w:val="DefaultParagraphFont"/>
    <w:uiPriority w:val="21"/>
    <w:qFormat/>
    <w:rsid w:val="0069065B"/>
    <w:rPr>
      <w:i/>
      <w:iCs/>
      <w:color w:val="2F5496" w:themeColor="accent1" w:themeShade="BF"/>
    </w:rPr>
  </w:style>
  <w:style w:type="paragraph" w:styleId="IntenseQuote">
    <w:name w:val="Intense Quote"/>
    <w:basedOn w:val="Normal"/>
    <w:next w:val="Normal"/>
    <w:link w:val="IntenseQuoteChar"/>
    <w:uiPriority w:val="30"/>
    <w:qFormat/>
    <w:rsid w:val="0069065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9065B"/>
    <w:rPr>
      <w:i/>
      <w:iCs/>
      <w:color w:val="2F5496" w:themeColor="accent1" w:themeShade="BF"/>
    </w:rPr>
  </w:style>
  <w:style w:type="character" w:styleId="IntenseReference">
    <w:name w:val="Intense Reference"/>
    <w:basedOn w:val="DefaultParagraphFont"/>
    <w:uiPriority w:val="32"/>
    <w:qFormat/>
    <w:rsid w:val="0069065B"/>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tiff"/><Relationship Id="rId3" Type="http://schemas.openxmlformats.org/officeDocument/2006/relationships/webSettings" Target="webSettings.xml"/><Relationship Id="rId7" Type="http://schemas.openxmlformats.org/officeDocument/2006/relationships/image" Target="media/image4.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11" Type="http://schemas.openxmlformats.org/officeDocument/2006/relationships/theme" Target="theme/theme1.xml"/><Relationship Id="rId5" Type="http://schemas.openxmlformats.org/officeDocument/2006/relationships/image" Target="media/image2.tiff"/><Relationship Id="rId10" Type="http://schemas.openxmlformats.org/officeDocument/2006/relationships/fontTable" Target="fontTable.xml"/><Relationship Id="rId4" Type="http://schemas.openxmlformats.org/officeDocument/2006/relationships/image" Target="media/image1.tiff"/><Relationship Id="rId9" Type="http://schemas.openxmlformats.org/officeDocument/2006/relationships/image" Target="media/image6.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450</Words>
  <Characters>2569</Characters>
  <Application>Microsoft Office Word</Application>
  <DocSecurity>0</DocSecurity>
  <Lines>21</Lines>
  <Paragraphs>6</Paragraphs>
  <ScaleCrop>false</ScaleCrop>
  <Company/>
  <LinksUpToDate>false</LinksUpToDate>
  <CharactersWithSpaces>3013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 Hemade</dc:creator>
  <cp:keywords/>
  <dc:description/>
  <cp:lastModifiedBy>Ali Hemade</cp:lastModifiedBy>
  <cp:revision>5</cp:revision>
  <dcterms:created xsi:type="dcterms:W3CDTF">2025-03-04T08:54:00Z</dcterms:created>
  <dcterms:modified xsi:type="dcterms:W3CDTF">2025-03-04T08:54:00Z</dcterms:modified>
</cp:coreProperties>
</file>