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3DB155C3" w14:textId="77777777" w:rsidR="00A77754" w:rsidRDefault="00A77754" w:rsidP="00A77754">
      <w:pPr>
        <w:spacing w:line="24pt" w:lineRule="auto"/>
        <w:rPr>
          <w:b/>
          <w:bCs/>
        </w:rPr>
      </w:pPr>
      <w:r w:rsidRPr="008E5B9A">
        <w:rPr>
          <w:b/>
          <w:bCs/>
        </w:rPr>
        <w:t>Supplementary data</w:t>
      </w:r>
    </w:p>
    <w:tbl>
      <w:tblPr>
        <w:tblW w:w="951.65pt" w:type="dxa"/>
        <w:tblLook w:firstRow="1" w:lastRow="0" w:firstColumn="1" w:lastColumn="0" w:noHBand="0" w:noVBand="1"/>
      </w:tblPr>
      <w:tblGrid>
        <w:gridCol w:w="9246"/>
        <w:gridCol w:w="1735"/>
        <w:gridCol w:w="1018"/>
        <w:gridCol w:w="1034"/>
        <w:gridCol w:w="827"/>
        <w:gridCol w:w="1038"/>
        <w:gridCol w:w="827"/>
        <w:gridCol w:w="827"/>
        <w:gridCol w:w="827"/>
        <w:gridCol w:w="827"/>
        <w:gridCol w:w="827"/>
      </w:tblGrid>
      <w:tr w:rsidR="00A77754" w:rsidRPr="00206EC9" w14:paraId="0CBC9DDD" w14:textId="77777777" w:rsidTr="004D0840">
        <w:trPr>
          <w:trHeight w:val="304"/>
        </w:trPr>
        <w:tc>
          <w:tcPr>
            <w:tcW w:w="462.30pt" w:type="dxa"/>
            <w:tcBorders>
              <w:top w:val="nil"/>
              <w:start w:val="nil"/>
              <w:bottom w:val="nil"/>
              <w:end w:val="nil"/>
            </w:tcBorders>
            <w:shd w:val="clear" w:color="auto" w:fill="auto"/>
            <w:noWrap/>
            <w:vAlign w:val="bottom"/>
          </w:tcPr>
          <w:p w14:paraId="5733F734" w14:textId="77777777" w:rsidR="00A77754" w:rsidRDefault="00A77754" w:rsidP="004D0840">
            <w:pPr>
              <w:spacing w:after="0pt" w:line="24pt" w:lineRule="auto"/>
              <w:rPr>
                <w:rFonts w:ascii="Times New Roman" w:eastAsia="Times New Roman" w:hAnsi="Times New Roman" w:cs="Times New Roman"/>
                <w:sz w:val="18"/>
                <w:szCs w:val="18"/>
                <w:lang w:eastAsia="en-AU"/>
              </w:rPr>
            </w:pPr>
            <w:r>
              <w:rPr>
                <w:noProof/>
              </w:rPr>
              <w:drawing>
                <wp:inline distT="0" distB="0" distL="0" distR="0" wp14:anchorId="5910CC18" wp14:editId="747289AF">
                  <wp:extent cx="5362041" cy="2670048"/>
                  <wp:effectExtent l="0" t="0" r="10160" b="16510"/>
                  <wp:docPr id="1" name="Chart 1">
                    <a:extLst xmlns:a="http://purl.oclc.org/ooxml/drawingml/main">
                      <a:ext uri="{FF2B5EF4-FFF2-40B4-BE49-F238E27FC236}">
                        <a16:creationId xmlns:a16="http://schemas.microsoft.com/office/drawing/2014/main" id="{1D5EE592-6843-4209-96D1-14C7FB222505}"/>
                      </a:ext>
                    </a:extLst>
                  </wp:docPr>
                  <wp:cNvGraphicFramePr/>
                  <a:graphic xmlns:a="http://purl.oclc.org/ooxml/drawingml/main">
                    <a:graphicData uri="http://purl.oclc.org/ooxml/drawingml/chart">
                      <c:chart xmlns:c="http://purl.oclc.org/ooxml/drawingml/chart" xmlns:r="http://purl.oclc.org/ooxml/officeDocument/relationships" r:id="rId4"/>
                    </a:graphicData>
                  </a:graphic>
                </wp:inline>
              </w:drawing>
            </w:r>
          </w:p>
          <w:p w14:paraId="7F9F5CCE" w14:textId="77777777" w:rsidR="00A77754" w:rsidRPr="00206EC9" w:rsidRDefault="00A77754" w:rsidP="004D0840">
            <w:pPr>
              <w:spacing w:after="0pt" w:line="24pt" w:lineRule="auto"/>
              <w:rPr>
                <w:rFonts w:ascii="Times New Roman" w:eastAsia="Times New Roman" w:hAnsi="Times New Roman" w:cs="Times New Roman"/>
                <w:sz w:val="18"/>
                <w:szCs w:val="18"/>
                <w:lang w:eastAsia="en-AU"/>
              </w:rPr>
            </w:pPr>
          </w:p>
        </w:tc>
        <w:tc>
          <w:tcPr>
            <w:tcW w:w="86.75pt" w:type="dxa"/>
            <w:tcBorders>
              <w:top w:val="nil"/>
              <w:start w:val="nil"/>
              <w:bottom w:val="nil"/>
              <w:end w:val="nil"/>
            </w:tcBorders>
            <w:shd w:val="clear" w:color="auto" w:fill="auto"/>
            <w:noWrap/>
            <w:vAlign w:val="bottom"/>
          </w:tcPr>
          <w:p w14:paraId="1FB83FA7"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50.90pt" w:type="dxa"/>
            <w:tcBorders>
              <w:top w:val="nil"/>
              <w:start w:val="nil"/>
              <w:bottom w:val="nil"/>
              <w:end w:val="nil"/>
            </w:tcBorders>
            <w:shd w:val="clear" w:color="auto" w:fill="auto"/>
            <w:noWrap/>
            <w:vAlign w:val="bottom"/>
          </w:tcPr>
          <w:p w14:paraId="7A6EA409"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51.70pt" w:type="dxa"/>
            <w:tcBorders>
              <w:top w:val="nil"/>
              <w:start w:val="nil"/>
              <w:bottom w:val="nil"/>
              <w:end w:val="nil"/>
            </w:tcBorders>
            <w:shd w:val="clear" w:color="auto" w:fill="auto"/>
            <w:noWrap/>
            <w:vAlign w:val="bottom"/>
          </w:tcPr>
          <w:p w14:paraId="0197DA38" w14:textId="77777777" w:rsidR="00A77754" w:rsidRPr="00206EC9" w:rsidRDefault="00A77754" w:rsidP="004D0840">
            <w:pPr>
              <w:spacing w:after="0pt" w:line="24pt" w:lineRule="auto"/>
              <w:rPr>
                <w:rFonts w:ascii="Times New Roman" w:eastAsia="Times New Roman" w:hAnsi="Times New Roman" w:cs="Times New Roman"/>
                <w:sz w:val="18"/>
                <w:szCs w:val="18"/>
                <w:lang w:eastAsia="en-AU"/>
              </w:rPr>
            </w:pPr>
          </w:p>
        </w:tc>
        <w:tc>
          <w:tcPr>
            <w:tcW w:w="41.35pt" w:type="dxa"/>
            <w:tcBorders>
              <w:top w:val="nil"/>
              <w:start w:val="nil"/>
              <w:bottom w:val="nil"/>
              <w:end w:val="nil"/>
            </w:tcBorders>
            <w:shd w:val="clear" w:color="auto" w:fill="auto"/>
            <w:noWrap/>
            <w:vAlign w:val="bottom"/>
          </w:tcPr>
          <w:p w14:paraId="399B4E04" w14:textId="77777777" w:rsidR="00A77754" w:rsidRPr="00206EC9" w:rsidRDefault="00A77754" w:rsidP="004D0840">
            <w:pPr>
              <w:spacing w:after="0pt" w:line="24pt" w:lineRule="auto"/>
              <w:rPr>
                <w:rFonts w:ascii="Times New Roman" w:eastAsia="Times New Roman" w:hAnsi="Times New Roman" w:cs="Times New Roman"/>
                <w:sz w:val="18"/>
                <w:szCs w:val="18"/>
                <w:lang w:eastAsia="en-AU"/>
              </w:rPr>
            </w:pPr>
          </w:p>
        </w:tc>
        <w:tc>
          <w:tcPr>
            <w:tcW w:w="51.90pt" w:type="dxa"/>
            <w:tcBorders>
              <w:top w:val="nil"/>
              <w:start w:val="nil"/>
              <w:bottom w:val="nil"/>
              <w:end w:val="nil"/>
            </w:tcBorders>
            <w:shd w:val="clear" w:color="auto" w:fill="auto"/>
            <w:noWrap/>
            <w:vAlign w:val="bottom"/>
          </w:tcPr>
          <w:p w14:paraId="160CC7B9" w14:textId="77777777" w:rsidR="00A77754" w:rsidRPr="00206EC9" w:rsidRDefault="00A77754" w:rsidP="004D0840">
            <w:pPr>
              <w:spacing w:after="0pt" w:line="24pt" w:lineRule="auto"/>
              <w:rPr>
                <w:rFonts w:ascii="Times New Roman" w:eastAsia="Times New Roman" w:hAnsi="Times New Roman" w:cs="Times New Roman"/>
                <w:sz w:val="18"/>
                <w:szCs w:val="18"/>
                <w:lang w:eastAsia="en-AU"/>
              </w:rPr>
            </w:pPr>
          </w:p>
        </w:tc>
        <w:tc>
          <w:tcPr>
            <w:tcW w:w="82.70pt" w:type="dxa"/>
            <w:gridSpan w:val="2"/>
            <w:tcBorders>
              <w:top w:val="nil"/>
              <w:start w:val="nil"/>
              <w:bottom w:val="nil"/>
              <w:end w:val="nil"/>
            </w:tcBorders>
            <w:shd w:val="clear" w:color="auto" w:fill="auto"/>
            <w:noWrap/>
            <w:vAlign w:val="bottom"/>
          </w:tcPr>
          <w:p w14:paraId="0356C21A"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41.35pt" w:type="dxa"/>
            <w:tcBorders>
              <w:top w:val="nil"/>
              <w:start w:val="nil"/>
              <w:bottom w:val="nil"/>
              <w:end w:val="nil"/>
            </w:tcBorders>
            <w:shd w:val="clear" w:color="auto" w:fill="auto"/>
            <w:noWrap/>
            <w:vAlign w:val="bottom"/>
          </w:tcPr>
          <w:p w14:paraId="32611445"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41.35pt" w:type="dxa"/>
            <w:tcBorders>
              <w:top w:val="nil"/>
              <w:start w:val="nil"/>
              <w:bottom w:val="nil"/>
              <w:end w:val="nil"/>
            </w:tcBorders>
            <w:shd w:val="clear" w:color="auto" w:fill="auto"/>
            <w:noWrap/>
            <w:vAlign w:val="bottom"/>
          </w:tcPr>
          <w:p w14:paraId="51537714" w14:textId="77777777" w:rsidR="00A77754" w:rsidRPr="00206EC9" w:rsidRDefault="00A77754" w:rsidP="004D0840">
            <w:pPr>
              <w:spacing w:after="0pt" w:line="24pt" w:lineRule="auto"/>
              <w:rPr>
                <w:rFonts w:ascii="Times New Roman" w:eastAsia="Times New Roman" w:hAnsi="Times New Roman" w:cs="Times New Roman"/>
                <w:sz w:val="18"/>
                <w:szCs w:val="18"/>
                <w:lang w:eastAsia="en-AU"/>
              </w:rPr>
            </w:pPr>
          </w:p>
        </w:tc>
        <w:tc>
          <w:tcPr>
            <w:tcW w:w="41.35pt" w:type="dxa"/>
            <w:tcBorders>
              <w:top w:val="nil"/>
              <w:start w:val="nil"/>
              <w:bottom w:val="nil"/>
              <w:end w:val="nil"/>
            </w:tcBorders>
            <w:shd w:val="clear" w:color="auto" w:fill="auto"/>
            <w:noWrap/>
            <w:vAlign w:val="bottom"/>
          </w:tcPr>
          <w:p w14:paraId="0A0C1635" w14:textId="77777777" w:rsidR="00A77754" w:rsidRPr="00206EC9" w:rsidRDefault="00A77754" w:rsidP="004D0840">
            <w:pPr>
              <w:spacing w:after="0pt" w:line="24pt" w:lineRule="auto"/>
              <w:rPr>
                <w:rFonts w:ascii="Times New Roman" w:eastAsia="Times New Roman" w:hAnsi="Times New Roman" w:cs="Times New Roman"/>
                <w:sz w:val="18"/>
                <w:szCs w:val="18"/>
                <w:lang w:eastAsia="en-AU"/>
              </w:rPr>
            </w:pPr>
          </w:p>
        </w:tc>
      </w:tr>
      <w:tr w:rsidR="00A77754" w:rsidRPr="00206EC9" w14:paraId="5D400B63" w14:textId="77777777" w:rsidTr="004D0840">
        <w:trPr>
          <w:trHeight w:val="914"/>
        </w:trPr>
        <w:tc>
          <w:tcPr>
            <w:tcW w:w="462.30pt" w:type="dxa"/>
            <w:tcBorders>
              <w:top w:val="nil"/>
              <w:start w:val="nil"/>
              <w:bottom w:val="nil"/>
              <w:end w:val="nil"/>
            </w:tcBorders>
            <w:shd w:val="clear" w:color="auto" w:fill="auto"/>
            <w:noWrap/>
            <w:vAlign w:val="bottom"/>
          </w:tcPr>
          <w:p w14:paraId="3B00DA03" w14:textId="77777777" w:rsidR="00A77754" w:rsidRPr="00830DE7" w:rsidRDefault="00A77754" w:rsidP="004D0840">
            <w:pPr>
              <w:spacing w:line="24pt" w:lineRule="auto"/>
              <w:rPr>
                <w:rFonts w:ascii="Calibri" w:hAnsi="Calibri" w:cs="Calibri"/>
                <w:shd w:val="clear" w:color="auto" w:fill="FFFFFF"/>
              </w:rPr>
            </w:pPr>
            <w:r>
              <w:rPr>
                <w:rStyle w:val="normaltextrun"/>
                <w:rFonts w:ascii="Calibri" w:hAnsi="Calibri" w:cs="Calibri"/>
                <w:shd w:val="clear" w:color="auto" w:fill="FFFFFF"/>
              </w:rPr>
              <w:t>Supplement Figure 1. The comparison of research experience across the three iterations of this survey (2010, 2015, 2023) represented graphically across the research continuum of activities associated with consuming through to producing research. The percentages shown for each year are the sum of responses for ‘a lot’ and ‘moderate’ experience.</w:t>
            </w:r>
          </w:p>
        </w:tc>
        <w:tc>
          <w:tcPr>
            <w:tcW w:w="86.75pt" w:type="dxa"/>
            <w:tcBorders>
              <w:top w:val="nil"/>
              <w:start w:val="nil"/>
              <w:bottom w:val="nil"/>
              <w:end w:val="nil"/>
            </w:tcBorders>
            <w:shd w:val="clear" w:color="auto" w:fill="auto"/>
            <w:vAlign w:val="bottom"/>
          </w:tcPr>
          <w:p w14:paraId="2AB87DCE"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50.90pt" w:type="dxa"/>
            <w:tcBorders>
              <w:top w:val="nil"/>
              <w:start w:val="nil"/>
              <w:bottom w:val="nil"/>
              <w:end w:val="nil"/>
            </w:tcBorders>
            <w:shd w:val="clear" w:color="auto" w:fill="auto"/>
            <w:vAlign w:val="bottom"/>
          </w:tcPr>
          <w:p w14:paraId="02BF2414"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51.70pt" w:type="dxa"/>
            <w:tcBorders>
              <w:top w:val="nil"/>
              <w:start w:val="nil"/>
              <w:bottom w:val="nil"/>
              <w:end w:val="nil"/>
            </w:tcBorders>
            <w:shd w:val="clear" w:color="auto" w:fill="auto"/>
            <w:vAlign w:val="bottom"/>
          </w:tcPr>
          <w:p w14:paraId="79D7B761"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41.35pt" w:type="dxa"/>
            <w:tcBorders>
              <w:top w:val="nil"/>
              <w:start w:val="nil"/>
              <w:bottom w:val="nil"/>
              <w:end w:val="nil"/>
            </w:tcBorders>
            <w:shd w:val="clear" w:color="auto" w:fill="auto"/>
            <w:vAlign w:val="bottom"/>
          </w:tcPr>
          <w:p w14:paraId="63A2F335"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51.90pt" w:type="dxa"/>
            <w:tcBorders>
              <w:top w:val="nil"/>
              <w:start w:val="nil"/>
              <w:bottom w:val="nil"/>
              <w:end w:val="nil"/>
            </w:tcBorders>
            <w:shd w:val="clear" w:color="auto" w:fill="auto"/>
            <w:vAlign w:val="bottom"/>
          </w:tcPr>
          <w:p w14:paraId="7D592978"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41.35pt" w:type="dxa"/>
            <w:tcBorders>
              <w:top w:val="nil"/>
              <w:start w:val="nil"/>
              <w:bottom w:val="nil"/>
              <w:end w:val="nil"/>
            </w:tcBorders>
            <w:shd w:val="clear" w:color="auto" w:fill="auto"/>
            <w:vAlign w:val="bottom"/>
          </w:tcPr>
          <w:p w14:paraId="6098CC0A"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41.35pt" w:type="dxa"/>
            <w:tcBorders>
              <w:top w:val="nil"/>
              <w:start w:val="nil"/>
              <w:bottom w:val="nil"/>
              <w:end w:val="nil"/>
            </w:tcBorders>
            <w:shd w:val="clear" w:color="auto" w:fill="auto"/>
            <w:vAlign w:val="bottom"/>
          </w:tcPr>
          <w:p w14:paraId="60D887C1"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41.35pt" w:type="dxa"/>
            <w:tcBorders>
              <w:top w:val="nil"/>
              <w:start w:val="nil"/>
              <w:bottom w:val="nil"/>
              <w:end w:val="nil"/>
            </w:tcBorders>
            <w:shd w:val="clear" w:color="auto" w:fill="auto"/>
            <w:vAlign w:val="bottom"/>
          </w:tcPr>
          <w:p w14:paraId="6DDCD512"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41.35pt" w:type="dxa"/>
            <w:tcBorders>
              <w:top w:val="nil"/>
              <w:start w:val="nil"/>
              <w:bottom w:val="nil"/>
              <w:end w:val="nil"/>
            </w:tcBorders>
            <w:shd w:val="clear" w:color="auto" w:fill="auto"/>
            <w:vAlign w:val="bottom"/>
          </w:tcPr>
          <w:p w14:paraId="4BE70B33"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c>
          <w:tcPr>
            <w:tcW w:w="41.35pt" w:type="dxa"/>
            <w:tcBorders>
              <w:top w:val="nil"/>
              <w:start w:val="nil"/>
              <w:bottom w:val="nil"/>
              <w:end w:val="nil"/>
            </w:tcBorders>
            <w:shd w:val="clear" w:color="auto" w:fill="auto"/>
            <w:vAlign w:val="bottom"/>
          </w:tcPr>
          <w:p w14:paraId="79A58083" w14:textId="77777777" w:rsidR="00A77754" w:rsidRPr="00206EC9" w:rsidRDefault="00A77754" w:rsidP="004D0840">
            <w:pPr>
              <w:spacing w:after="0pt" w:line="24pt" w:lineRule="auto"/>
              <w:rPr>
                <w:rFonts w:ascii="Calibri" w:eastAsia="Times New Roman" w:hAnsi="Calibri" w:cs="Calibri"/>
                <w:b/>
                <w:bCs/>
                <w:color w:val="000000"/>
                <w:sz w:val="18"/>
                <w:szCs w:val="18"/>
                <w:lang w:eastAsia="en-AU"/>
              </w:rPr>
            </w:pPr>
          </w:p>
        </w:tc>
      </w:tr>
      <w:tr w:rsidR="00A77754" w:rsidRPr="00206EC9" w14:paraId="7AFC5BA4" w14:textId="77777777" w:rsidTr="004D0840">
        <w:trPr>
          <w:trHeight w:val="304"/>
        </w:trPr>
        <w:tc>
          <w:tcPr>
            <w:tcW w:w="462.30pt" w:type="dxa"/>
            <w:tcBorders>
              <w:top w:val="nil"/>
              <w:start w:val="nil"/>
              <w:bottom w:val="nil"/>
              <w:end w:val="nil"/>
            </w:tcBorders>
            <w:shd w:val="clear" w:color="auto" w:fill="auto"/>
            <w:noWrap/>
            <w:vAlign w:val="bottom"/>
          </w:tcPr>
          <w:p w14:paraId="7D01C115"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p>
        </w:tc>
        <w:tc>
          <w:tcPr>
            <w:tcW w:w="86.75pt" w:type="dxa"/>
            <w:tcBorders>
              <w:top w:val="nil"/>
              <w:start w:val="nil"/>
              <w:bottom w:val="nil"/>
              <w:end w:val="nil"/>
            </w:tcBorders>
            <w:shd w:val="clear" w:color="auto" w:fill="auto"/>
            <w:noWrap/>
            <w:vAlign w:val="bottom"/>
          </w:tcPr>
          <w:p w14:paraId="475946F4"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50.90pt" w:type="dxa"/>
            <w:tcBorders>
              <w:top w:val="nil"/>
              <w:start w:val="nil"/>
              <w:bottom w:val="nil"/>
              <w:end w:val="nil"/>
            </w:tcBorders>
            <w:shd w:val="clear" w:color="auto" w:fill="auto"/>
            <w:noWrap/>
            <w:vAlign w:val="bottom"/>
          </w:tcPr>
          <w:p w14:paraId="4703D016"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51.70pt" w:type="dxa"/>
            <w:tcBorders>
              <w:top w:val="nil"/>
              <w:start w:val="nil"/>
              <w:bottom w:val="nil"/>
              <w:end w:val="nil"/>
            </w:tcBorders>
            <w:shd w:val="clear" w:color="auto" w:fill="auto"/>
            <w:noWrap/>
            <w:vAlign w:val="bottom"/>
          </w:tcPr>
          <w:p w14:paraId="7852C6D6"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1AA300B2"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51.90pt" w:type="dxa"/>
            <w:tcBorders>
              <w:top w:val="nil"/>
              <w:start w:val="nil"/>
              <w:bottom w:val="nil"/>
              <w:end w:val="nil"/>
            </w:tcBorders>
            <w:shd w:val="clear" w:color="auto" w:fill="auto"/>
            <w:noWrap/>
            <w:vAlign w:val="bottom"/>
          </w:tcPr>
          <w:p w14:paraId="7A5E775D"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15162EA9"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0F08D740"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61365B29"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7D541479"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1DA26B55"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r>
      <w:tr w:rsidR="00A77754" w:rsidRPr="00206EC9" w14:paraId="05622090" w14:textId="77777777" w:rsidTr="004D0840">
        <w:trPr>
          <w:trHeight w:val="304"/>
        </w:trPr>
        <w:tc>
          <w:tcPr>
            <w:tcW w:w="462.30pt" w:type="dxa"/>
            <w:tcBorders>
              <w:top w:val="nil"/>
              <w:start w:val="nil"/>
              <w:bottom w:val="nil"/>
              <w:end w:val="nil"/>
            </w:tcBorders>
            <w:shd w:val="clear" w:color="auto" w:fill="auto"/>
            <w:noWrap/>
            <w:vAlign w:val="bottom"/>
          </w:tcPr>
          <w:p w14:paraId="3E549285" w14:textId="77777777" w:rsidR="00A77754" w:rsidRDefault="00A77754" w:rsidP="004D0840">
            <w:pPr>
              <w:spacing w:line="24pt" w:lineRule="auto"/>
              <w:rPr>
                <w:rStyle w:val="normaltextrun"/>
                <w:rFonts w:ascii="Calibri" w:hAnsi="Calibri" w:cs="Calibri"/>
                <w:shd w:val="clear" w:color="auto" w:fill="FFFFFF"/>
              </w:rPr>
            </w:pPr>
            <w:r>
              <w:rPr>
                <w:noProof/>
              </w:rPr>
              <w:drawing>
                <wp:inline distT="0" distB="0" distL="0" distR="0" wp14:anchorId="6918FE06" wp14:editId="7ED62B54">
                  <wp:extent cx="5369357" cy="2626156"/>
                  <wp:effectExtent l="0" t="0" r="3175" b="3175"/>
                  <wp:docPr id="3" name="Chart 3">
                    <a:extLst xmlns:a="http://purl.oclc.org/ooxml/drawingml/main">
                      <a:ext uri="{FF2B5EF4-FFF2-40B4-BE49-F238E27FC236}">
                        <a16:creationId xmlns:a16="http://schemas.microsoft.com/office/drawing/2014/main" id="{96F0A120-9544-4710-9B8F-7DAAD9CBD741}"/>
                      </a:ext>
                    </a:extLst>
                  </wp:docPr>
                  <wp:cNvGraphicFramePr/>
                  <a:graphic xmlns:a="http://purl.oclc.org/ooxml/drawingml/main">
                    <a:graphicData uri="http://purl.oclc.org/ooxml/drawingml/chart">
                      <c:chart xmlns:c="http://purl.oclc.org/ooxml/drawingml/chart" xmlns:r="http://purl.oclc.org/ooxml/officeDocument/relationships" r:id="rId5"/>
                    </a:graphicData>
                  </a:graphic>
                </wp:inline>
              </w:drawing>
            </w:r>
          </w:p>
          <w:p w14:paraId="4D85E08B" w14:textId="77777777" w:rsidR="00A77754" w:rsidRDefault="00A77754" w:rsidP="004D0840">
            <w:pPr>
              <w:spacing w:line="24pt" w:lineRule="auto"/>
              <w:rPr>
                <w:rStyle w:val="normaltextrun"/>
                <w:rFonts w:ascii="Calibri" w:hAnsi="Calibri" w:cs="Calibri"/>
                <w:shd w:val="clear" w:color="auto" w:fill="FFFFFF"/>
              </w:rPr>
            </w:pPr>
            <w:r w:rsidRPr="0048767F">
              <w:rPr>
                <w:rStyle w:val="normaltextrun"/>
                <w:rFonts w:ascii="Calibri" w:hAnsi="Calibri" w:cs="Calibri"/>
              </w:rPr>
              <w:lastRenderedPageBreak/>
              <w:t xml:space="preserve">Supplement </w:t>
            </w:r>
            <w:r>
              <w:rPr>
                <w:rStyle w:val="normaltextrun"/>
                <w:rFonts w:ascii="Calibri" w:hAnsi="Calibri" w:cs="Calibri"/>
              </w:rPr>
              <w:t xml:space="preserve">Figure </w:t>
            </w:r>
            <w:r w:rsidRPr="0048767F">
              <w:rPr>
                <w:rStyle w:val="normaltextrun"/>
                <w:rFonts w:ascii="Calibri" w:hAnsi="Calibri" w:cs="Calibri"/>
              </w:rPr>
              <w:t xml:space="preserve">2. </w:t>
            </w:r>
            <w:r w:rsidRPr="0048767F">
              <w:rPr>
                <w:rStyle w:val="normaltextrun"/>
                <w:rFonts w:ascii="Calibri" w:hAnsi="Calibri" w:cs="Calibri"/>
                <w:shd w:val="clear" w:color="auto" w:fill="FFFFFF"/>
              </w:rPr>
              <w:t>T</w:t>
            </w:r>
            <w:r>
              <w:rPr>
                <w:rStyle w:val="normaltextrun"/>
                <w:rFonts w:ascii="Calibri" w:hAnsi="Calibri" w:cs="Calibri"/>
                <w:shd w:val="clear" w:color="auto" w:fill="FFFFFF"/>
              </w:rPr>
              <w:t>he comparison of research support needs across the three iterations of this survey (2010, 2015, 2023) represented graphically across the research continuum of activities associated with consuming through to producing research. The percentages shown for each year are the sum of responses for ‘a lot’ and ‘moderate’ support needed for research.</w:t>
            </w:r>
          </w:p>
          <w:p w14:paraId="24040160"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p>
        </w:tc>
        <w:tc>
          <w:tcPr>
            <w:tcW w:w="86.75pt" w:type="dxa"/>
            <w:tcBorders>
              <w:top w:val="nil"/>
              <w:start w:val="nil"/>
              <w:bottom w:val="nil"/>
              <w:end w:val="nil"/>
            </w:tcBorders>
            <w:shd w:val="clear" w:color="auto" w:fill="auto"/>
            <w:noWrap/>
            <w:vAlign w:val="bottom"/>
          </w:tcPr>
          <w:p w14:paraId="48B5814A"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50.90pt" w:type="dxa"/>
            <w:tcBorders>
              <w:top w:val="nil"/>
              <w:start w:val="nil"/>
              <w:bottom w:val="nil"/>
              <w:end w:val="nil"/>
            </w:tcBorders>
            <w:shd w:val="clear" w:color="auto" w:fill="auto"/>
            <w:noWrap/>
            <w:vAlign w:val="bottom"/>
          </w:tcPr>
          <w:p w14:paraId="762DBD4F"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51.70pt" w:type="dxa"/>
            <w:tcBorders>
              <w:top w:val="nil"/>
              <w:start w:val="nil"/>
              <w:bottom w:val="nil"/>
              <w:end w:val="nil"/>
            </w:tcBorders>
            <w:shd w:val="clear" w:color="auto" w:fill="auto"/>
            <w:noWrap/>
            <w:vAlign w:val="bottom"/>
          </w:tcPr>
          <w:p w14:paraId="53C48033"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34771226"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51.90pt" w:type="dxa"/>
            <w:tcBorders>
              <w:top w:val="nil"/>
              <w:start w:val="nil"/>
              <w:bottom w:val="nil"/>
              <w:end w:val="nil"/>
            </w:tcBorders>
            <w:shd w:val="clear" w:color="auto" w:fill="auto"/>
            <w:noWrap/>
            <w:vAlign w:val="bottom"/>
          </w:tcPr>
          <w:p w14:paraId="57000BAD"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37CCDDD0"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496658F7"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766FE4DA"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3DAB7954"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c>
          <w:tcPr>
            <w:tcW w:w="41.35pt" w:type="dxa"/>
            <w:tcBorders>
              <w:top w:val="nil"/>
              <w:start w:val="nil"/>
              <w:bottom w:val="nil"/>
              <w:end w:val="nil"/>
            </w:tcBorders>
            <w:shd w:val="clear" w:color="auto" w:fill="auto"/>
            <w:noWrap/>
            <w:vAlign w:val="bottom"/>
          </w:tcPr>
          <w:p w14:paraId="765A6859" w14:textId="77777777" w:rsidR="00A77754" w:rsidRPr="00206EC9" w:rsidRDefault="00A77754" w:rsidP="004D0840">
            <w:pPr>
              <w:spacing w:after="0pt" w:line="24pt" w:lineRule="auto"/>
              <w:jc w:val="end"/>
              <w:rPr>
                <w:rFonts w:ascii="Calibri" w:eastAsia="Times New Roman" w:hAnsi="Calibri" w:cs="Calibri"/>
                <w:color w:val="000000"/>
                <w:sz w:val="18"/>
                <w:szCs w:val="18"/>
                <w:lang w:eastAsia="en-AU"/>
              </w:rPr>
            </w:pPr>
          </w:p>
        </w:tc>
      </w:tr>
    </w:tbl>
    <w:p w14:paraId="2087DC1A" w14:textId="77777777" w:rsidR="00A77754" w:rsidRDefault="00A77754" w:rsidP="00A77754">
      <w:pPr>
        <w:spacing w:line="24pt" w:lineRule="auto"/>
        <w:rPr>
          <w:rFonts w:ascii="Times New Roman" w:hAnsi="Times New Roman" w:cs="Times New Roman"/>
          <w:sz w:val="24"/>
          <w:szCs w:val="24"/>
        </w:rPr>
      </w:pPr>
    </w:p>
    <w:p w14:paraId="1713963B" w14:textId="77777777" w:rsidR="00A77754" w:rsidRDefault="00A77754" w:rsidP="00A77754">
      <w:pPr>
        <w:spacing w:line="24pt" w:lineRule="auto"/>
        <w:rPr>
          <w:rFonts w:ascii="Times New Roman" w:hAnsi="Times New Roman" w:cs="Times New Roman"/>
          <w:sz w:val="24"/>
          <w:szCs w:val="24"/>
        </w:rPr>
      </w:pPr>
      <w:r>
        <w:rPr>
          <w:rFonts w:ascii="Times New Roman" w:hAnsi="Times New Roman" w:cs="Times New Roman"/>
          <w:sz w:val="24"/>
          <w:szCs w:val="24"/>
        </w:rPr>
        <w:br w:type="page"/>
      </w:r>
    </w:p>
    <w:p w14:paraId="65772588" w14:textId="77777777" w:rsidR="00A77754" w:rsidRDefault="00A77754" w:rsidP="00A77754">
      <w:pPr>
        <w:spacing w:line="24pt" w:lineRule="auto"/>
        <w:rPr>
          <w:rFonts w:ascii="Times New Roman" w:hAnsi="Times New Roman" w:cs="Times New Roman"/>
          <w:sz w:val="24"/>
          <w:szCs w:val="24"/>
        </w:rPr>
        <w:sectPr w:rsidR="00A77754" w:rsidSect="00A77754">
          <w:pgSz w:w="595.30pt" w:h="841.90pt"/>
          <w:pgMar w:top="72pt" w:right="72pt" w:bottom="72pt" w:left="72pt" w:header="35.45pt" w:footer="35.45pt" w:gutter="0pt"/>
          <w:lnNumType w:countBy="1"/>
          <w:cols w:space="35.40pt"/>
          <w:docGrid w:linePitch="360"/>
        </w:sectPr>
      </w:pPr>
    </w:p>
    <w:p w14:paraId="26E7B2EA" w14:textId="77777777" w:rsidR="00A77754" w:rsidRDefault="00A77754" w:rsidP="00A77754">
      <w:pPr>
        <w:spacing w:line="24pt" w:lineRule="auto"/>
        <w:rPr>
          <w:rFonts w:ascii="Times New Roman" w:hAnsi="Times New Roman" w:cs="Times New Roman"/>
          <w:sz w:val="24"/>
          <w:szCs w:val="24"/>
        </w:rPr>
      </w:pPr>
      <w:r>
        <w:rPr>
          <w:rFonts w:ascii="Times New Roman" w:hAnsi="Times New Roman" w:cs="Times New Roman"/>
          <w:sz w:val="24"/>
          <w:szCs w:val="24"/>
        </w:rPr>
        <w:lastRenderedPageBreak/>
        <w:t>Supplement Table 1. All response data across the three surveys with p value calculated using Chi square test. NB Responses to the experience questions were different in 2023 compared to 2010 and 2015. Earlier survey responses were ‘very experienced’, ‘moderately experienced’, ‘some experience’, ‘little experience’, and ‘no experience’. These difference response choices may be responsible for some of the differences observed in the third iteration of the survey. Responses to the need for support questions were consistent across the three survey iterations.</w:t>
      </w:r>
    </w:p>
    <w:p w14:paraId="21C7930D" w14:textId="77777777" w:rsidR="00A77754" w:rsidRDefault="00A77754" w:rsidP="00A77754">
      <w:pPr>
        <w:spacing w:line="24pt" w:lineRule="auto"/>
        <w:rPr>
          <w:rFonts w:ascii="Times New Roman" w:hAnsi="Times New Roman" w:cs="Times New Roman"/>
          <w:sz w:val="24"/>
          <w:szCs w:val="24"/>
        </w:rPr>
      </w:pPr>
    </w:p>
    <w:tbl>
      <w:tblPr>
        <w:tblW w:w="645pt" w:type="dxa"/>
        <w:tblLook w:firstRow="1" w:lastRow="0" w:firstColumn="1" w:lastColumn="0" w:noHBand="0" w:noVBand="1"/>
      </w:tblPr>
      <w:tblGrid>
        <w:gridCol w:w="2881"/>
        <w:gridCol w:w="1088"/>
        <w:gridCol w:w="1023"/>
        <w:gridCol w:w="1104"/>
        <w:gridCol w:w="1134"/>
        <w:gridCol w:w="1043"/>
        <w:gridCol w:w="1087"/>
        <w:gridCol w:w="827"/>
        <w:gridCol w:w="1012"/>
        <w:gridCol w:w="850"/>
        <w:gridCol w:w="851"/>
      </w:tblGrid>
      <w:tr w:rsidR="00A77754" w:rsidRPr="00206EC9" w14:paraId="41B40063"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00611D9D" w14:textId="77777777" w:rsidR="00A77754" w:rsidRPr="00206EC9" w:rsidRDefault="00A77754" w:rsidP="004D0840">
            <w:pPr>
              <w:spacing w:after="0pt" w:line="24pt" w:lineRule="auto"/>
              <w:rPr>
                <w:rFonts w:ascii="Times New Roman" w:eastAsia="Times New Roman" w:hAnsi="Times New Roman" w:cs="Times New Roman"/>
                <w:sz w:val="18"/>
                <w:szCs w:val="18"/>
                <w:lang w:eastAsia="en-AU"/>
              </w:rPr>
            </w:pPr>
          </w:p>
        </w:tc>
        <w:tc>
          <w:tcPr>
            <w:tcW w:w="269.60pt" w:type="dxa"/>
            <w:gridSpan w:val="5"/>
            <w:tcBorders>
              <w:top w:val="nil"/>
              <w:start w:val="single" w:sz="4" w:space="0" w:color="auto"/>
              <w:bottom w:val="nil"/>
              <w:end w:val="single" w:sz="4" w:space="0" w:color="auto"/>
            </w:tcBorders>
            <w:shd w:val="clear" w:color="auto" w:fill="auto"/>
            <w:noWrap/>
            <w:vAlign w:val="bottom"/>
            <w:hideMark/>
          </w:tcPr>
          <w:p w14:paraId="28B9B2E1" w14:textId="77777777" w:rsidR="00A77754" w:rsidRPr="00206EC9" w:rsidRDefault="00A77754" w:rsidP="004D0840">
            <w:pPr>
              <w:spacing w:after="0pt" w:line="24pt" w:lineRule="auto"/>
              <w:jc w:val="center"/>
              <w:rPr>
                <w:rFonts w:ascii="Times New Roman" w:eastAsia="Times New Roman" w:hAnsi="Times New Roman" w:cs="Times New Roman"/>
                <w:sz w:val="18"/>
                <w:szCs w:val="18"/>
                <w:lang w:eastAsia="en-AU"/>
              </w:rPr>
            </w:pPr>
            <w:r w:rsidRPr="00206EC9">
              <w:rPr>
                <w:rFonts w:ascii="Calibri" w:eastAsia="Times New Roman" w:hAnsi="Calibri" w:cs="Calibri"/>
                <w:b/>
                <w:bCs/>
                <w:color w:val="000000"/>
                <w:sz w:val="18"/>
                <w:szCs w:val="18"/>
                <w:lang w:eastAsia="en-AU"/>
              </w:rPr>
              <w:t>Experience</w:t>
            </w:r>
          </w:p>
        </w:tc>
        <w:tc>
          <w:tcPr>
            <w:tcW w:w="231.35pt" w:type="dxa"/>
            <w:gridSpan w:val="5"/>
            <w:tcBorders>
              <w:top w:val="nil"/>
              <w:start w:val="single" w:sz="4" w:space="0" w:color="auto"/>
              <w:bottom w:val="nil"/>
              <w:end w:val="nil"/>
            </w:tcBorders>
            <w:shd w:val="clear" w:color="auto" w:fill="auto"/>
            <w:noWrap/>
            <w:vAlign w:val="bottom"/>
            <w:hideMark/>
          </w:tcPr>
          <w:p w14:paraId="771026F8" w14:textId="77777777" w:rsidR="00A77754" w:rsidRPr="00206EC9" w:rsidRDefault="00A77754" w:rsidP="004D0840">
            <w:pPr>
              <w:spacing w:after="0pt" w:line="24pt" w:lineRule="auto"/>
              <w:jc w:val="center"/>
              <w:rPr>
                <w:rFonts w:ascii="Times New Roman" w:eastAsia="Times New Roman" w:hAnsi="Times New Roman" w:cs="Times New Roman"/>
                <w:sz w:val="18"/>
                <w:szCs w:val="18"/>
                <w:lang w:eastAsia="en-AU"/>
              </w:rPr>
            </w:pPr>
            <w:r w:rsidRPr="00206EC9">
              <w:rPr>
                <w:rFonts w:ascii="Calibri" w:eastAsia="Times New Roman" w:hAnsi="Calibri" w:cs="Calibri"/>
                <w:b/>
                <w:bCs/>
                <w:color w:val="000000"/>
                <w:sz w:val="18"/>
                <w:szCs w:val="18"/>
                <w:lang w:eastAsia="en-AU"/>
              </w:rPr>
              <w:t>Need for Support</w:t>
            </w:r>
          </w:p>
        </w:tc>
      </w:tr>
      <w:tr w:rsidR="00A77754" w:rsidRPr="00206EC9" w14:paraId="7C0D3DED" w14:textId="77777777" w:rsidTr="004D0840">
        <w:trPr>
          <w:trHeight w:val="914"/>
        </w:trPr>
        <w:tc>
          <w:tcPr>
            <w:tcW w:w="144.05pt" w:type="dxa"/>
            <w:tcBorders>
              <w:top w:val="nil"/>
              <w:start w:val="nil"/>
              <w:bottom w:val="single" w:sz="4" w:space="0" w:color="auto"/>
              <w:end w:val="single" w:sz="4" w:space="0" w:color="auto"/>
            </w:tcBorders>
            <w:shd w:val="clear" w:color="auto" w:fill="auto"/>
            <w:noWrap/>
            <w:vAlign w:val="bottom"/>
            <w:hideMark/>
          </w:tcPr>
          <w:p w14:paraId="317FBF64" w14:textId="77777777" w:rsidR="00A77754" w:rsidRPr="00206EC9" w:rsidRDefault="00A77754" w:rsidP="004D0840">
            <w:pPr>
              <w:spacing w:after="0pt" w:line="24pt" w:lineRule="auto"/>
              <w:rPr>
                <w:rFonts w:ascii="Times New Roman" w:eastAsia="Times New Roman" w:hAnsi="Times New Roman" w:cs="Times New Roman"/>
                <w:sz w:val="18"/>
                <w:szCs w:val="18"/>
                <w:lang w:eastAsia="en-AU"/>
              </w:rPr>
            </w:pPr>
          </w:p>
        </w:tc>
        <w:tc>
          <w:tcPr>
            <w:tcW w:w="54.40pt" w:type="dxa"/>
            <w:tcBorders>
              <w:top w:val="nil"/>
              <w:start w:val="single" w:sz="4" w:space="0" w:color="auto"/>
              <w:bottom w:val="single" w:sz="4" w:space="0" w:color="auto"/>
              <w:end w:val="nil"/>
            </w:tcBorders>
            <w:shd w:val="clear" w:color="auto" w:fill="auto"/>
            <w:vAlign w:val="bottom"/>
            <w:hideMark/>
          </w:tcPr>
          <w:p w14:paraId="0CDE289D"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Performed often</w:t>
            </w:r>
          </w:p>
        </w:tc>
        <w:tc>
          <w:tcPr>
            <w:tcW w:w="51.15pt" w:type="dxa"/>
            <w:tcBorders>
              <w:top w:val="nil"/>
              <w:start w:val="nil"/>
              <w:bottom w:val="single" w:sz="4" w:space="0" w:color="auto"/>
              <w:end w:val="nil"/>
            </w:tcBorders>
            <w:shd w:val="clear" w:color="auto" w:fill="auto"/>
            <w:vAlign w:val="bottom"/>
            <w:hideMark/>
          </w:tcPr>
          <w:p w14:paraId="41C8B4E0"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Performed alone</w:t>
            </w:r>
          </w:p>
        </w:tc>
        <w:tc>
          <w:tcPr>
            <w:tcW w:w="55.20pt" w:type="dxa"/>
            <w:tcBorders>
              <w:top w:val="nil"/>
              <w:start w:val="nil"/>
              <w:bottom w:val="single" w:sz="4" w:space="0" w:color="auto"/>
              <w:end w:val="nil"/>
            </w:tcBorders>
            <w:shd w:val="clear" w:color="auto" w:fill="auto"/>
            <w:vAlign w:val="bottom"/>
            <w:hideMark/>
          </w:tcPr>
          <w:p w14:paraId="4BCFC4CC"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Attempted in team</w:t>
            </w:r>
          </w:p>
        </w:tc>
        <w:tc>
          <w:tcPr>
            <w:tcW w:w="56.70pt" w:type="dxa"/>
            <w:tcBorders>
              <w:top w:val="nil"/>
              <w:start w:val="nil"/>
              <w:bottom w:val="single" w:sz="4" w:space="0" w:color="auto"/>
              <w:end w:val="nil"/>
            </w:tcBorders>
            <w:shd w:val="clear" w:color="auto" w:fill="auto"/>
            <w:vAlign w:val="bottom"/>
            <w:hideMark/>
          </w:tcPr>
          <w:p w14:paraId="7CBDB4A0"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Aware but not done</w:t>
            </w:r>
          </w:p>
        </w:tc>
        <w:tc>
          <w:tcPr>
            <w:tcW w:w="52.15pt" w:type="dxa"/>
            <w:tcBorders>
              <w:top w:val="nil"/>
              <w:start w:val="nil"/>
              <w:bottom w:val="single" w:sz="4" w:space="0" w:color="auto"/>
              <w:end w:val="single" w:sz="4" w:space="0" w:color="auto"/>
            </w:tcBorders>
            <w:shd w:val="clear" w:color="auto" w:fill="auto"/>
            <w:vAlign w:val="bottom"/>
            <w:hideMark/>
          </w:tcPr>
          <w:p w14:paraId="14C75B42"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No experience</w:t>
            </w:r>
          </w:p>
        </w:tc>
        <w:tc>
          <w:tcPr>
            <w:tcW w:w="54.35pt" w:type="dxa"/>
            <w:tcBorders>
              <w:top w:val="nil"/>
              <w:start w:val="single" w:sz="4" w:space="0" w:color="auto"/>
              <w:bottom w:val="single" w:sz="4" w:space="0" w:color="auto"/>
              <w:end w:val="nil"/>
            </w:tcBorders>
            <w:shd w:val="clear" w:color="auto" w:fill="auto"/>
            <w:vAlign w:val="bottom"/>
            <w:hideMark/>
          </w:tcPr>
          <w:p w14:paraId="3F04B3A4"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Need support at all stages</w:t>
            </w:r>
          </w:p>
        </w:tc>
        <w:tc>
          <w:tcPr>
            <w:tcW w:w="41.35pt" w:type="dxa"/>
            <w:tcBorders>
              <w:top w:val="nil"/>
              <w:start w:val="nil"/>
              <w:bottom w:val="single" w:sz="4" w:space="0" w:color="auto"/>
              <w:end w:val="nil"/>
            </w:tcBorders>
            <w:shd w:val="clear" w:color="auto" w:fill="auto"/>
            <w:vAlign w:val="bottom"/>
            <w:hideMark/>
          </w:tcPr>
          <w:p w14:paraId="326C6B0D"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Need a lot of support</w:t>
            </w:r>
          </w:p>
        </w:tc>
        <w:tc>
          <w:tcPr>
            <w:tcW w:w="50.60pt" w:type="dxa"/>
            <w:tcBorders>
              <w:top w:val="nil"/>
              <w:start w:val="nil"/>
              <w:bottom w:val="single" w:sz="4" w:space="0" w:color="auto"/>
              <w:end w:val="nil"/>
            </w:tcBorders>
            <w:shd w:val="clear" w:color="auto" w:fill="auto"/>
            <w:vAlign w:val="bottom"/>
            <w:hideMark/>
          </w:tcPr>
          <w:p w14:paraId="0453AEB6"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Need some support</w:t>
            </w:r>
          </w:p>
        </w:tc>
        <w:tc>
          <w:tcPr>
            <w:tcW w:w="42.50pt" w:type="dxa"/>
            <w:tcBorders>
              <w:top w:val="nil"/>
              <w:start w:val="nil"/>
              <w:bottom w:val="single" w:sz="4" w:space="0" w:color="auto"/>
              <w:end w:val="nil"/>
            </w:tcBorders>
            <w:shd w:val="clear" w:color="auto" w:fill="auto"/>
            <w:vAlign w:val="bottom"/>
            <w:hideMark/>
          </w:tcPr>
          <w:p w14:paraId="19623F8E"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Need minimal support</w:t>
            </w:r>
          </w:p>
        </w:tc>
        <w:tc>
          <w:tcPr>
            <w:tcW w:w="42.55pt" w:type="dxa"/>
            <w:tcBorders>
              <w:top w:val="nil"/>
              <w:start w:val="nil"/>
              <w:bottom w:val="single" w:sz="4" w:space="0" w:color="auto"/>
              <w:end w:val="nil"/>
            </w:tcBorders>
            <w:shd w:val="clear" w:color="auto" w:fill="auto"/>
            <w:vAlign w:val="bottom"/>
            <w:hideMark/>
          </w:tcPr>
          <w:p w14:paraId="692CF058" w14:textId="77777777" w:rsidR="00A77754" w:rsidRPr="00206EC9" w:rsidRDefault="00A77754" w:rsidP="004D0840">
            <w:pPr>
              <w:spacing w:after="0pt" w:line="24pt" w:lineRule="auto"/>
              <w:jc w:val="center"/>
              <w:rPr>
                <w:rFonts w:ascii="Calibri" w:eastAsia="Times New Roman" w:hAnsi="Calibri" w:cs="Calibri"/>
                <w:b/>
                <w:bCs/>
                <w:color w:val="000000"/>
                <w:sz w:val="18"/>
                <w:szCs w:val="18"/>
                <w:lang w:eastAsia="en-AU"/>
              </w:rPr>
            </w:pPr>
            <w:r w:rsidRPr="00206EC9">
              <w:rPr>
                <w:rFonts w:ascii="Calibri" w:eastAsia="Times New Roman" w:hAnsi="Calibri" w:cs="Calibri"/>
                <w:b/>
                <w:bCs/>
                <w:color w:val="000000"/>
                <w:sz w:val="18"/>
                <w:szCs w:val="18"/>
                <w:lang w:eastAsia="en-AU"/>
              </w:rPr>
              <w:t>No need support</w:t>
            </w:r>
          </w:p>
        </w:tc>
      </w:tr>
      <w:tr w:rsidR="00A77754" w:rsidRPr="00206EC9" w14:paraId="101C3D1A" w14:textId="77777777" w:rsidTr="004D0840">
        <w:trPr>
          <w:trHeight w:val="304"/>
        </w:trPr>
        <w:tc>
          <w:tcPr>
            <w:tcW w:w="144.05pt" w:type="dxa"/>
            <w:tcBorders>
              <w:top w:val="single" w:sz="4" w:space="0" w:color="auto"/>
              <w:start w:val="nil"/>
              <w:bottom w:val="nil"/>
              <w:end w:val="single" w:sz="4" w:space="0" w:color="auto"/>
            </w:tcBorders>
            <w:shd w:val="clear" w:color="auto" w:fill="auto"/>
            <w:noWrap/>
            <w:vAlign w:val="bottom"/>
            <w:hideMark/>
          </w:tcPr>
          <w:p w14:paraId="230DA4C3"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Finding relevant literature </w:t>
            </w:r>
          </w:p>
        </w:tc>
        <w:tc>
          <w:tcPr>
            <w:tcW w:w="54.40pt" w:type="dxa"/>
            <w:tcBorders>
              <w:top w:val="single" w:sz="4" w:space="0" w:color="auto"/>
              <w:start w:val="single" w:sz="4" w:space="0" w:color="auto"/>
              <w:bottom w:val="nil"/>
              <w:end w:val="nil"/>
            </w:tcBorders>
            <w:shd w:val="clear" w:color="auto" w:fill="auto"/>
            <w:noWrap/>
            <w:vAlign w:val="bottom"/>
            <w:hideMark/>
          </w:tcPr>
          <w:p w14:paraId="5D76837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34.6%</w:t>
            </w:r>
          </w:p>
        </w:tc>
        <w:tc>
          <w:tcPr>
            <w:tcW w:w="51.15pt" w:type="dxa"/>
            <w:tcBorders>
              <w:top w:val="single" w:sz="4" w:space="0" w:color="auto"/>
              <w:start w:val="nil"/>
              <w:bottom w:val="nil"/>
              <w:end w:val="nil"/>
            </w:tcBorders>
            <w:shd w:val="clear" w:color="auto" w:fill="auto"/>
            <w:noWrap/>
            <w:vAlign w:val="bottom"/>
            <w:hideMark/>
          </w:tcPr>
          <w:p w14:paraId="269E2FA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47.1%</w:t>
            </w:r>
          </w:p>
        </w:tc>
        <w:tc>
          <w:tcPr>
            <w:tcW w:w="55.20pt" w:type="dxa"/>
            <w:tcBorders>
              <w:top w:val="single" w:sz="4" w:space="0" w:color="auto"/>
              <w:start w:val="nil"/>
              <w:bottom w:val="nil"/>
              <w:end w:val="nil"/>
            </w:tcBorders>
            <w:shd w:val="clear" w:color="auto" w:fill="auto"/>
            <w:noWrap/>
            <w:vAlign w:val="bottom"/>
            <w:hideMark/>
          </w:tcPr>
          <w:p w14:paraId="1D9778E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11.5%</w:t>
            </w:r>
          </w:p>
        </w:tc>
        <w:tc>
          <w:tcPr>
            <w:tcW w:w="56.70pt" w:type="dxa"/>
            <w:tcBorders>
              <w:top w:val="single" w:sz="4" w:space="0" w:color="auto"/>
              <w:start w:val="nil"/>
              <w:bottom w:val="nil"/>
              <w:end w:val="nil"/>
            </w:tcBorders>
            <w:shd w:val="clear" w:color="auto" w:fill="auto"/>
            <w:noWrap/>
            <w:vAlign w:val="bottom"/>
            <w:hideMark/>
          </w:tcPr>
          <w:p w14:paraId="57052DB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w:t>
            </w:r>
          </w:p>
        </w:tc>
        <w:tc>
          <w:tcPr>
            <w:tcW w:w="52.15pt" w:type="dxa"/>
            <w:tcBorders>
              <w:top w:val="single" w:sz="4" w:space="0" w:color="auto"/>
              <w:start w:val="nil"/>
              <w:bottom w:val="nil"/>
              <w:end w:val="single" w:sz="4" w:space="0" w:color="auto"/>
            </w:tcBorders>
            <w:shd w:val="clear" w:color="auto" w:fill="auto"/>
            <w:noWrap/>
            <w:vAlign w:val="bottom"/>
            <w:hideMark/>
          </w:tcPr>
          <w:p w14:paraId="7CB6FD5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3.8%</w:t>
            </w:r>
          </w:p>
        </w:tc>
        <w:tc>
          <w:tcPr>
            <w:tcW w:w="54.35pt" w:type="dxa"/>
            <w:tcBorders>
              <w:top w:val="single" w:sz="4" w:space="0" w:color="auto"/>
              <w:start w:val="single" w:sz="4" w:space="0" w:color="auto"/>
              <w:bottom w:val="nil"/>
              <w:end w:val="nil"/>
            </w:tcBorders>
            <w:shd w:val="clear" w:color="auto" w:fill="auto"/>
            <w:noWrap/>
            <w:vAlign w:val="bottom"/>
            <w:hideMark/>
          </w:tcPr>
          <w:p w14:paraId="1321361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8.7%</w:t>
            </w:r>
          </w:p>
        </w:tc>
        <w:tc>
          <w:tcPr>
            <w:tcW w:w="41.35pt" w:type="dxa"/>
            <w:tcBorders>
              <w:top w:val="single" w:sz="4" w:space="0" w:color="auto"/>
              <w:start w:val="nil"/>
              <w:bottom w:val="nil"/>
              <w:end w:val="nil"/>
            </w:tcBorders>
            <w:shd w:val="clear" w:color="auto" w:fill="auto"/>
            <w:noWrap/>
            <w:vAlign w:val="bottom"/>
            <w:hideMark/>
          </w:tcPr>
          <w:p w14:paraId="7C23E6A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9.6%</w:t>
            </w:r>
          </w:p>
        </w:tc>
        <w:tc>
          <w:tcPr>
            <w:tcW w:w="50.60pt" w:type="dxa"/>
            <w:tcBorders>
              <w:top w:val="single" w:sz="4" w:space="0" w:color="auto"/>
              <w:start w:val="nil"/>
              <w:bottom w:val="nil"/>
              <w:end w:val="nil"/>
            </w:tcBorders>
            <w:shd w:val="clear" w:color="auto" w:fill="auto"/>
            <w:noWrap/>
            <w:vAlign w:val="bottom"/>
            <w:hideMark/>
          </w:tcPr>
          <w:p w14:paraId="085411D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31.7%</w:t>
            </w:r>
          </w:p>
        </w:tc>
        <w:tc>
          <w:tcPr>
            <w:tcW w:w="42.50pt" w:type="dxa"/>
            <w:tcBorders>
              <w:top w:val="single" w:sz="4" w:space="0" w:color="auto"/>
              <w:start w:val="nil"/>
              <w:bottom w:val="nil"/>
              <w:end w:val="nil"/>
            </w:tcBorders>
            <w:shd w:val="clear" w:color="auto" w:fill="auto"/>
            <w:noWrap/>
            <w:vAlign w:val="bottom"/>
            <w:hideMark/>
          </w:tcPr>
          <w:p w14:paraId="1C3C830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31.7%</w:t>
            </w:r>
          </w:p>
        </w:tc>
        <w:tc>
          <w:tcPr>
            <w:tcW w:w="42.55pt" w:type="dxa"/>
            <w:tcBorders>
              <w:top w:val="single" w:sz="4" w:space="0" w:color="auto"/>
              <w:start w:val="nil"/>
              <w:bottom w:val="nil"/>
              <w:end w:val="nil"/>
            </w:tcBorders>
            <w:shd w:val="clear" w:color="auto" w:fill="auto"/>
            <w:noWrap/>
            <w:vAlign w:val="bottom"/>
            <w:hideMark/>
          </w:tcPr>
          <w:p w14:paraId="587B5FE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18.3%</w:t>
            </w:r>
          </w:p>
        </w:tc>
      </w:tr>
      <w:tr w:rsidR="00A77754" w:rsidRPr="00206EC9" w14:paraId="313FE8C2"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2660C9CA"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Critically reviewing literature</w:t>
            </w:r>
          </w:p>
        </w:tc>
        <w:tc>
          <w:tcPr>
            <w:tcW w:w="54.40pt" w:type="dxa"/>
            <w:tcBorders>
              <w:top w:val="nil"/>
              <w:start w:val="single" w:sz="4" w:space="0" w:color="auto"/>
              <w:bottom w:val="nil"/>
              <w:end w:val="nil"/>
            </w:tcBorders>
            <w:shd w:val="clear" w:color="auto" w:fill="auto"/>
            <w:noWrap/>
            <w:vAlign w:val="bottom"/>
            <w:hideMark/>
          </w:tcPr>
          <w:p w14:paraId="6A2A1ED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17.3%</w:t>
            </w:r>
          </w:p>
        </w:tc>
        <w:tc>
          <w:tcPr>
            <w:tcW w:w="51.15pt" w:type="dxa"/>
            <w:tcBorders>
              <w:top w:val="nil"/>
              <w:start w:val="nil"/>
              <w:bottom w:val="nil"/>
              <w:end w:val="nil"/>
            </w:tcBorders>
            <w:shd w:val="clear" w:color="auto" w:fill="auto"/>
            <w:noWrap/>
            <w:vAlign w:val="bottom"/>
            <w:hideMark/>
          </w:tcPr>
          <w:p w14:paraId="6CED79B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46.2%</w:t>
            </w:r>
          </w:p>
        </w:tc>
        <w:tc>
          <w:tcPr>
            <w:tcW w:w="55.20pt" w:type="dxa"/>
            <w:tcBorders>
              <w:top w:val="nil"/>
              <w:start w:val="nil"/>
              <w:bottom w:val="nil"/>
              <w:end w:val="nil"/>
            </w:tcBorders>
            <w:shd w:val="clear" w:color="auto" w:fill="auto"/>
            <w:noWrap/>
            <w:vAlign w:val="bottom"/>
            <w:hideMark/>
          </w:tcPr>
          <w:p w14:paraId="6D624A7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20.2%</w:t>
            </w:r>
          </w:p>
        </w:tc>
        <w:tc>
          <w:tcPr>
            <w:tcW w:w="56.70pt" w:type="dxa"/>
            <w:tcBorders>
              <w:top w:val="nil"/>
              <w:start w:val="nil"/>
              <w:bottom w:val="nil"/>
              <w:end w:val="nil"/>
            </w:tcBorders>
            <w:shd w:val="clear" w:color="auto" w:fill="auto"/>
            <w:noWrap/>
            <w:vAlign w:val="bottom"/>
            <w:hideMark/>
          </w:tcPr>
          <w:p w14:paraId="6ED0EA3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11.5%</w:t>
            </w:r>
          </w:p>
        </w:tc>
        <w:tc>
          <w:tcPr>
            <w:tcW w:w="52.15pt" w:type="dxa"/>
            <w:tcBorders>
              <w:top w:val="nil"/>
              <w:start w:val="nil"/>
              <w:bottom w:val="nil"/>
              <w:end w:val="single" w:sz="4" w:space="0" w:color="auto"/>
            </w:tcBorders>
            <w:shd w:val="clear" w:color="auto" w:fill="auto"/>
            <w:noWrap/>
            <w:vAlign w:val="bottom"/>
            <w:hideMark/>
          </w:tcPr>
          <w:p w14:paraId="5FB51D9C"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4.8%</w:t>
            </w:r>
          </w:p>
        </w:tc>
        <w:tc>
          <w:tcPr>
            <w:tcW w:w="54.35pt" w:type="dxa"/>
            <w:tcBorders>
              <w:top w:val="nil"/>
              <w:start w:val="single" w:sz="4" w:space="0" w:color="auto"/>
              <w:bottom w:val="nil"/>
              <w:end w:val="nil"/>
            </w:tcBorders>
            <w:shd w:val="clear" w:color="auto" w:fill="auto"/>
            <w:noWrap/>
            <w:vAlign w:val="bottom"/>
            <w:hideMark/>
          </w:tcPr>
          <w:p w14:paraId="423DD25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9.6%</w:t>
            </w:r>
          </w:p>
        </w:tc>
        <w:tc>
          <w:tcPr>
            <w:tcW w:w="41.35pt" w:type="dxa"/>
            <w:tcBorders>
              <w:top w:val="nil"/>
              <w:start w:val="nil"/>
              <w:bottom w:val="nil"/>
              <w:end w:val="nil"/>
            </w:tcBorders>
            <w:shd w:val="clear" w:color="auto" w:fill="auto"/>
            <w:noWrap/>
            <w:vAlign w:val="bottom"/>
            <w:hideMark/>
          </w:tcPr>
          <w:p w14:paraId="58BB70A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18.3%</w:t>
            </w:r>
          </w:p>
        </w:tc>
        <w:tc>
          <w:tcPr>
            <w:tcW w:w="50.60pt" w:type="dxa"/>
            <w:tcBorders>
              <w:top w:val="nil"/>
              <w:start w:val="nil"/>
              <w:bottom w:val="nil"/>
              <w:end w:val="nil"/>
            </w:tcBorders>
            <w:shd w:val="clear" w:color="auto" w:fill="auto"/>
            <w:noWrap/>
            <w:vAlign w:val="bottom"/>
            <w:hideMark/>
          </w:tcPr>
          <w:p w14:paraId="29DDAC1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31.7%</w:t>
            </w:r>
          </w:p>
        </w:tc>
        <w:tc>
          <w:tcPr>
            <w:tcW w:w="42.50pt" w:type="dxa"/>
            <w:tcBorders>
              <w:top w:val="nil"/>
              <w:start w:val="nil"/>
              <w:bottom w:val="nil"/>
              <w:end w:val="nil"/>
            </w:tcBorders>
            <w:shd w:val="clear" w:color="auto" w:fill="auto"/>
            <w:noWrap/>
            <w:vAlign w:val="bottom"/>
            <w:hideMark/>
          </w:tcPr>
          <w:p w14:paraId="381F6D4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26.0%</w:t>
            </w:r>
          </w:p>
        </w:tc>
        <w:tc>
          <w:tcPr>
            <w:tcW w:w="42.55pt" w:type="dxa"/>
            <w:tcBorders>
              <w:top w:val="nil"/>
              <w:start w:val="nil"/>
              <w:bottom w:val="nil"/>
              <w:end w:val="nil"/>
            </w:tcBorders>
            <w:shd w:val="clear" w:color="auto" w:fill="auto"/>
            <w:noWrap/>
            <w:vAlign w:val="bottom"/>
            <w:hideMark/>
          </w:tcPr>
          <w:p w14:paraId="28B134B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14.4%</w:t>
            </w:r>
          </w:p>
        </w:tc>
      </w:tr>
      <w:tr w:rsidR="00A77754" w:rsidRPr="00206EC9" w14:paraId="2975D532"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7BD12E9E"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Writing a literature review </w:t>
            </w:r>
          </w:p>
        </w:tc>
        <w:tc>
          <w:tcPr>
            <w:tcW w:w="54.40pt" w:type="dxa"/>
            <w:tcBorders>
              <w:top w:val="nil"/>
              <w:start w:val="single" w:sz="4" w:space="0" w:color="auto"/>
              <w:bottom w:val="nil"/>
              <w:end w:val="nil"/>
            </w:tcBorders>
            <w:shd w:val="clear" w:color="auto" w:fill="auto"/>
            <w:noWrap/>
            <w:vAlign w:val="bottom"/>
            <w:hideMark/>
          </w:tcPr>
          <w:p w14:paraId="22F662E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c>
          <w:tcPr>
            <w:tcW w:w="51.15pt" w:type="dxa"/>
            <w:tcBorders>
              <w:top w:val="nil"/>
              <w:start w:val="nil"/>
              <w:bottom w:val="nil"/>
              <w:end w:val="nil"/>
            </w:tcBorders>
            <w:shd w:val="clear" w:color="auto" w:fill="auto"/>
            <w:noWrap/>
            <w:vAlign w:val="bottom"/>
            <w:hideMark/>
          </w:tcPr>
          <w:p w14:paraId="613DFDE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40.4%</w:t>
            </w:r>
          </w:p>
        </w:tc>
        <w:tc>
          <w:tcPr>
            <w:tcW w:w="55.20pt" w:type="dxa"/>
            <w:tcBorders>
              <w:top w:val="nil"/>
              <w:start w:val="nil"/>
              <w:bottom w:val="nil"/>
              <w:end w:val="nil"/>
            </w:tcBorders>
            <w:shd w:val="clear" w:color="auto" w:fill="auto"/>
            <w:noWrap/>
            <w:vAlign w:val="bottom"/>
            <w:hideMark/>
          </w:tcPr>
          <w:p w14:paraId="2243798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19.2%</w:t>
            </w:r>
          </w:p>
        </w:tc>
        <w:tc>
          <w:tcPr>
            <w:tcW w:w="56.70pt" w:type="dxa"/>
            <w:tcBorders>
              <w:top w:val="nil"/>
              <w:start w:val="nil"/>
              <w:bottom w:val="nil"/>
              <w:end w:val="nil"/>
            </w:tcBorders>
            <w:shd w:val="clear" w:color="auto" w:fill="auto"/>
            <w:noWrap/>
            <w:vAlign w:val="bottom"/>
            <w:hideMark/>
          </w:tcPr>
          <w:p w14:paraId="11997F9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22.1%</w:t>
            </w:r>
          </w:p>
        </w:tc>
        <w:tc>
          <w:tcPr>
            <w:tcW w:w="52.15pt" w:type="dxa"/>
            <w:tcBorders>
              <w:top w:val="nil"/>
              <w:start w:val="nil"/>
              <w:bottom w:val="nil"/>
              <w:end w:val="single" w:sz="4" w:space="0" w:color="auto"/>
            </w:tcBorders>
            <w:shd w:val="clear" w:color="auto" w:fill="auto"/>
            <w:noWrap/>
            <w:vAlign w:val="bottom"/>
            <w:hideMark/>
          </w:tcPr>
          <w:p w14:paraId="48BFA38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11.5%</w:t>
            </w:r>
          </w:p>
        </w:tc>
        <w:tc>
          <w:tcPr>
            <w:tcW w:w="54.35pt" w:type="dxa"/>
            <w:tcBorders>
              <w:top w:val="nil"/>
              <w:start w:val="single" w:sz="4" w:space="0" w:color="auto"/>
              <w:bottom w:val="nil"/>
              <w:end w:val="nil"/>
            </w:tcBorders>
            <w:shd w:val="clear" w:color="auto" w:fill="auto"/>
            <w:noWrap/>
            <w:vAlign w:val="bottom"/>
            <w:hideMark/>
          </w:tcPr>
          <w:p w14:paraId="7AF0972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18.3%</w:t>
            </w:r>
          </w:p>
        </w:tc>
        <w:tc>
          <w:tcPr>
            <w:tcW w:w="41.35pt" w:type="dxa"/>
            <w:tcBorders>
              <w:top w:val="nil"/>
              <w:start w:val="nil"/>
              <w:bottom w:val="nil"/>
              <w:end w:val="nil"/>
            </w:tcBorders>
            <w:shd w:val="clear" w:color="auto" w:fill="auto"/>
            <w:noWrap/>
            <w:vAlign w:val="bottom"/>
            <w:hideMark/>
          </w:tcPr>
          <w:p w14:paraId="7AE3A6B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23.1%</w:t>
            </w:r>
          </w:p>
        </w:tc>
        <w:tc>
          <w:tcPr>
            <w:tcW w:w="50.60pt" w:type="dxa"/>
            <w:tcBorders>
              <w:top w:val="nil"/>
              <w:start w:val="nil"/>
              <w:bottom w:val="nil"/>
              <w:end w:val="nil"/>
            </w:tcBorders>
            <w:shd w:val="clear" w:color="auto" w:fill="auto"/>
            <w:noWrap/>
            <w:vAlign w:val="bottom"/>
            <w:hideMark/>
          </w:tcPr>
          <w:p w14:paraId="0A7F4B3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27.9%</w:t>
            </w:r>
          </w:p>
        </w:tc>
        <w:tc>
          <w:tcPr>
            <w:tcW w:w="42.50pt" w:type="dxa"/>
            <w:tcBorders>
              <w:top w:val="nil"/>
              <w:start w:val="nil"/>
              <w:bottom w:val="nil"/>
              <w:end w:val="nil"/>
            </w:tcBorders>
            <w:shd w:val="clear" w:color="auto" w:fill="auto"/>
            <w:noWrap/>
            <w:vAlign w:val="bottom"/>
            <w:hideMark/>
          </w:tcPr>
          <w:p w14:paraId="50745DC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24.0%</w:t>
            </w:r>
          </w:p>
        </w:tc>
        <w:tc>
          <w:tcPr>
            <w:tcW w:w="42.55pt" w:type="dxa"/>
            <w:tcBorders>
              <w:top w:val="nil"/>
              <w:start w:val="nil"/>
              <w:bottom w:val="nil"/>
              <w:end w:val="nil"/>
            </w:tcBorders>
            <w:shd w:val="clear" w:color="auto" w:fill="auto"/>
            <w:noWrap/>
            <w:vAlign w:val="bottom"/>
            <w:hideMark/>
          </w:tcPr>
          <w:p w14:paraId="1B3DB5D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r>
      <w:tr w:rsidR="00A77754" w:rsidRPr="00206EC9" w14:paraId="0E89A072"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28809BB5"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Generating research ideas</w:t>
            </w:r>
          </w:p>
        </w:tc>
        <w:tc>
          <w:tcPr>
            <w:tcW w:w="54.40pt" w:type="dxa"/>
            <w:tcBorders>
              <w:top w:val="nil"/>
              <w:start w:val="single" w:sz="4" w:space="0" w:color="auto"/>
              <w:bottom w:val="nil"/>
              <w:end w:val="nil"/>
            </w:tcBorders>
            <w:shd w:val="clear" w:color="auto" w:fill="auto"/>
            <w:noWrap/>
            <w:vAlign w:val="bottom"/>
            <w:hideMark/>
          </w:tcPr>
          <w:p w14:paraId="68E23F9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10.6%</w:t>
            </w:r>
          </w:p>
        </w:tc>
        <w:tc>
          <w:tcPr>
            <w:tcW w:w="51.15pt" w:type="dxa"/>
            <w:tcBorders>
              <w:top w:val="nil"/>
              <w:start w:val="nil"/>
              <w:bottom w:val="nil"/>
              <w:end w:val="nil"/>
            </w:tcBorders>
            <w:shd w:val="clear" w:color="auto" w:fill="auto"/>
            <w:noWrap/>
            <w:vAlign w:val="bottom"/>
            <w:hideMark/>
          </w:tcPr>
          <w:p w14:paraId="4AAED06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35.6%</w:t>
            </w:r>
          </w:p>
        </w:tc>
        <w:tc>
          <w:tcPr>
            <w:tcW w:w="55.20pt" w:type="dxa"/>
            <w:tcBorders>
              <w:top w:val="nil"/>
              <w:start w:val="nil"/>
              <w:bottom w:val="nil"/>
              <w:end w:val="nil"/>
            </w:tcBorders>
            <w:shd w:val="clear" w:color="auto" w:fill="auto"/>
            <w:noWrap/>
            <w:vAlign w:val="bottom"/>
            <w:hideMark/>
          </w:tcPr>
          <w:p w14:paraId="2F7E215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32.7%</w:t>
            </w:r>
          </w:p>
        </w:tc>
        <w:tc>
          <w:tcPr>
            <w:tcW w:w="56.70pt" w:type="dxa"/>
            <w:tcBorders>
              <w:top w:val="nil"/>
              <w:start w:val="nil"/>
              <w:bottom w:val="nil"/>
              <w:end w:val="nil"/>
            </w:tcBorders>
            <w:shd w:val="clear" w:color="auto" w:fill="auto"/>
            <w:noWrap/>
            <w:vAlign w:val="bottom"/>
            <w:hideMark/>
          </w:tcPr>
          <w:p w14:paraId="14D1CE3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12.5%</w:t>
            </w:r>
          </w:p>
        </w:tc>
        <w:tc>
          <w:tcPr>
            <w:tcW w:w="52.15pt" w:type="dxa"/>
            <w:tcBorders>
              <w:top w:val="nil"/>
              <w:start w:val="nil"/>
              <w:bottom w:val="nil"/>
              <w:end w:val="single" w:sz="4" w:space="0" w:color="auto"/>
            </w:tcBorders>
            <w:shd w:val="clear" w:color="auto" w:fill="auto"/>
            <w:noWrap/>
            <w:vAlign w:val="bottom"/>
            <w:hideMark/>
          </w:tcPr>
          <w:p w14:paraId="4FE1C68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8.7%</w:t>
            </w:r>
          </w:p>
        </w:tc>
        <w:tc>
          <w:tcPr>
            <w:tcW w:w="54.35pt" w:type="dxa"/>
            <w:tcBorders>
              <w:top w:val="nil"/>
              <w:start w:val="single" w:sz="4" w:space="0" w:color="auto"/>
              <w:bottom w:val="nil"/>
              <w:end w:val="nil"/>
            </w:tcBorders>
            <w:shd w:val="clear" w:color="auto" w:fill="auto"/>
            <w:noWrap/>
            <w:vAlign w:val="bottom"/>
            <w:hideMark/>
          </w:tcPr>
          <w:p w14:paraId="23896CF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13.5%</w:t>
            </w:r>
          </w:p>
        </w:tc>
        <w:tc>
          <w:tcPr>
            <w:tcW w:w="41.35pt" w:type="dxa"/>
            <w:tcBorders>
              <w:top w:val="nil"/>
              <w:start w:val="nil"/>
              <w:bottom w:val="nil"/>
              <w:end w:val="nil"/>
            </w:tcBorders>
            <w:shd w:val="clear" w:color="auto" w:fill="auto"/>
            <w:noWrap/>
            <w:vAlign w:val="bottom"/>
            <w:hideMark/>
          </w:tcPr>
          <w:p w14:paraId="6A258C8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22.1%</w:t>
            </w:r>
          </w:p>
        </w:tc>
        <w:tc>
          <w:tcPr>
            <w:tcW w:w="50.60pt" w:type="dxa"/>
            <w:tcBorders>
              <w:top w:val="nil"/>
              <w:start w:val="nil"/>
              <w:bottom w:val="nil"/>
              <w:end w:val="nil"/>
            </w:tcBorders>
            <w:shd w:val="clear" w:color="auto" w:fill="auto"/>
            <w:noWrap/>
            <w:vAlign w:val="bottom"/>
            <w:hideMark/>
          </w:tcPr>
          <w:p w14:paraId="3D8DFB1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39.4%</w:t>
            </w:r>
          </w:p>
        </w:tc>
        <w:tc>
          <w:tcPr>
            <w:tcW w:w="42.50pt" w:type="dxa"/>
            <w:tcBorders>
              <w:top w:val="nil"/>
              <w:start w:val="nil"/>
              <w:bottom w:val="nil"/>
              <w:end w:val="nil"/>
            </w:tcBorders>
            <w:shd w:val="clear" w:color="auto" w:fill="auto"/>
            <w:noWrap/>
            <w:vAlign w:val="bottom"/>
            <w:hideMark/>
          </w:tcPr>
          <w:p w14:paraId="0AE6F44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17.3%</w:t>
            </w:r>
          </w:p>
        </w:tc>
        <w:tc>
          <w:tcPr>
            <w:tcW w:w="42.55pt" w:type="dxa"/>
            <w:tcBorders>
              <w:top w:val="nil"/>
              <w:start w:val="nil"/>
              <w:bottom w:val="nil"/>
              <w:end w:val="nil"/>
            </w:tcBorders>
            <w:shd w:val="clear" w:color="auto" w:fill="auto"/>
            <w:noWrap/>
            <w:vAlign w:val="bottom"/>
            <w:hideMark/>
          </w:tcPr>
          <w:p w14:paraId="59362DD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7.7%</w:t>
            </w:r>
          </w:p>
        </w:tc>
      </w:tr>
      <w:tr w:rsidR="00A77754" w:rsidRPr="00206EC9" w14:paraId="5685BDB4"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50DCFB3F"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Developing a research question</w:t>
            </w:r>
          </w:p>
        </w:tc>
        <w:tc>
          <w:tcPr>
            <w:tcW w:w="54.40pt" w:type="dxa"/>
            <w:tcBorders>
              <w:top w:val="nil"/>
              <w:start w:val="single" w:sz="4" w:space="0" w:color="auto"/>
              <w:bottom w:val="nil"/>
              <w:end w:val="nil"/>
            </w:tcBorders>
            <w:shd w:val="clear" w:color="auto" w:fill="auto"/>
            <w:noWrap/>
            <w:vAlign w:val="bottom"/>
            <w:hideMark/>
          </w:tcPr>
          <w:p w14:paraId="489F84D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7.7%</w:t>
            </w:r>
          </w:p>
        </w:tc>
        <w:tc>
          <w:tcPr>
            <w:tcW w:w="51.15pt" w:type="dxa"/>
            <w:tcBorders>
              <w:top w:val="nil"/>
              <w:start w:val="nil"/>
              <w:bottom w:val="nil"/>
              <w:end w:val="nil"/>
            </w:tcBorders>
            <w:shd w:val="clear" w:color="auto" w:fill="auto"/>
            <w:noWrap/>
            <w:vAlign w:val="bottom"/>
            <w:hideMark/>
          </w:tcPr>
          <w:p w14:paraId="2AB7131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25.0%</w:t>
            </w:r>
          </w:p>
        </w:tc>
        <w:tc>
          <w:tcPr>
            <w:tcW w:w="55.20pt" w:type="dxa"/>
            <w:tcBorders>
              <w:top w:val="nil"/>
              <w:start w:val="nil"/>
              <w:bottom w:val="nil"/>
              <w:end w:val="nil"/>
            </w:tcBorders>
            <w:shd w:val="clear" w:color="auto" w:fill="auto"/>
            <w:noWrap/>
            <w:vAlign w:val="bottom"/>
            <w:hideMark/>
          </w:tcPr>
          <w:p w14:paraId="4C64A9B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33.7%</w:t>
            </w:r>
          </w:p>
        </w:tc>
        <w:tc>
          <w:tcPr>
            <w:tcW w:w="56.70pt" w:type="dxa"/>
            <w:tcBorders>
              <w:top w:val="nil"/>
              <w:start w:val="nil"/>
              <w:bottom w:val="nil"/>
              <w:end w:val="nil"/>
            </w:tcBorders>
            <w:shd w:val="clear" w:color="auto" w:fill="auto"/>
            <w:noWrap/>
            <w:vAlign w:val="bottom"/>
            <w:hideMark/>
          </w:tcPr>
          <w:p w14:paraId="4CD04A3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20.2%</w:t>
            </w:r>
          </w:p>
        </w:tc>
        <w:tc>
          <w:tcPr>
            <w:tcW w:w="52.15pt" w:type="dxa"/>
            <w:tcBorders>
              <w:top w:val="nil"/>
              <w:start w:val="nil"/>
              <w:bottom w:val="nil"/>
              <w:end w:val="single" w:sz="4" w:space="0" w:color="auto"/>
            </w:tcBorders>
            <w:shd w:val="clear" w:color="auto" w:fill="auto"/>
            <w:noWrap/>
            <w:vAlign w:val="bottom"/>
            <w:hideMark/>
          </w:tcPr>
          <w:p w14:paraId="6DBD082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13.5%</w:t>
            </w:r>
          </w:p>
        </w:tc>
        <w:tc>
          <w:tcPr>
            <w:tcW w:w="54.35pt" w:type="dxa"/>
            <w:tcBorders>
              <w:top w:val="nil"/>
              <w:start w:val="single" w:sz="4" w:space="0" w:color="auto"/>
              <w:bottom w:val="nil"/>
              <w:end w:val="nil"/>
            </w:tcBorders>
            <w:shd w:val="clear" w:color="auto" w:fill="auto"/>
            <w:noWrap/>
            <w:vAlign w:val="bottom"/>
            <w:hideMark/>
          </w:tcPr>
          <w:p w14:paraId="07EEEC5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14.4%</w:t>
            </w:r>
          </w:p>
        </w:tc>
        <w:tc>
          <w:tcPr>
            <w:tcW w:w="41.35pt" w:type="dxa"/>
            <w:tcBorders>
              <w:top w:val="nil"/>
              <w:start w:val="nil"/>
              <w:bottom w:val="nil"/>
              <w:end w:val="nil"/>
            </w:tcBorders>
            <w:shd w:val="clear" w:color="auto" w:fill="auto"/>
            <w:noWrap/>
            <w:vAlign w:val="bottom"/>
            <w:hideMark/>
          </w:tcPr>
          <w:p w14:paraId="73EE226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29.8%</w:t>
            </w:r>
          </w:p>
        </w:tc>
        <w:tc>
          <w:tcPr>
            <w:tcW w:w="50.60pt" w:type="dxa"/>
            <w:tcBorders>
              <w:top w:val="nil"/>
              <w:start w:val="nil"/>
              <w:bottom w:val="nil"/>
              <w:end w:val="nil"/>
            </w:tcBorders>
            <w:shd w:val="clear" w:color="auto" w:fill="auto"/>
            <w:noWrap/>
            <w:vAlign w:val="bottom"/>
            <w:hideMark/>
          </w:tcPr>
          <w:p w14:paraId="11AB480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32.7%</w:t>
            </w:r>
          </w:p>
        </w:tc>
        <w:tc>
          <w:tcPr>
            <w:tcW w:w="42.50pt" w:type="dxa"/>
            <w:tcBorders>
              <w:top w:val="nil"/>
              <w:start w:val="nil"/>
              <w:bottom w:val="nil"/>
              <w:end w:val="nil"/>
            </w:tcBorders>
            <w:shd w:val="clear" w:color="auto" w:fill="auto"/>
            <w:noWrap/>
            <w:vAlign w:val="bottom"/>
            <w:hideMark/>
          </w:tcPr>
          <w:p w14:paraId="72F6F06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17.3%</w:t>
            </w:r>
          </w:p>
        </w:tc>
        <w:tc>
          <w:tcPr>
            <w:tcW w:w="42.55pt" w:type="dxa"/>
            <w:tcBorders>
              <w:top w:val="nil"/>
              <w:start w:val="nil"/>
              <w:bottom w:val="nil"/>
              <w:end w:val="nil"/>
            </w:tcBorders>
            <w:shd w:val="clear" w:color="auto" w:fill="auto"/>
            <w:noWrap/>
            <w:vAlign w:val="bottom"/>
            <w:hideMark/>
          </w:tcPr>
          <w:p w14:paraId="0671CB0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5.8%</w:t>
            </w:r>
          </w:p>
        </w:tc>
      </w:tr>
      <w:tr w:rsidR="00A77754" w:rsidRPr="00206EC9" w14:paraId="39B653C5"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63CB8226"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Writing a research proposal </w:t>
            </w:r>
          </w:p>
        </w:tc>
        <w:tc>
          <w:tcPr>
            <w:tcW w:w="54.40pt" w:type="dxa"/>
            <w:tcBorders>
              <w:top w:val="nil"/>
              <w:start w:val="single" w:sz="4" w:space="0" w:color="auto"/>
              <w:bottom w:val="nil"/>
              <w:end w:val="nil"/>
            </w:tcBorders>
            <w:shd w:val="clear" w:color="auto" w:fill="auto"/>
            <w:noWrap/>
            <w:vAlign w:val="bottom"/>
            <w:hideMark/>
          </w:tcPr>
          <w:p w14:paraId="114CCAE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c>
          <w:tcPr>
            <w:tcW w:w="51.15pt" w:type="dxa"/>
            <w:tcBorders>
              <w:top w:val="nil"/>
              <w:start w:val="nil"/>
              <w:bottom w:val="nil"/>
              <w:end w:val="nil"/>
            </w:tcBorders>
            <w:shd w:val="clear" w:color="auto" w:fill="auto"/>
            <w:noWrap/>
            <w:vAlign w:val="bottom"/>
            <w:hideMark/>
          </w:tcPr>
          <w:p w14:paraId="4A10538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20.2%</w:t>
            </w:r>
          </w:p>
        </w:tc>
        <w:tc>
          <w:tcPr>
            <w:tcW w:w="55.20pt" w:type="dxa"/>
            <w:tcBorders>
              <w:top w:val="nil"/>
              <w:start w:val="nil"/>
              <w:bottom w:val="nil"/>
              <w:end w:val="nil"/>
            </w:tcBorders>
            <w:shd w:val="clear" w:color="auto" w:fill="auto"/>
            <w:noWrap/>
            <w:vAlign w:val="bottom"/>
            <w:hideMark/>
          </w:tcPr>
          <w:p w14:paraId="6F6280C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26.0%</w:t>
            </w:r>
          </w:p>
        </w:tc>
        <w:tc>
          <w:tcPr>
            <w:tcW w:w="56.70pt" w:type="dxa"/>
            <w:tcBorders>
              <w:top w:val="nil"/>
              <w:start w:val="nil"/>
              <w:bottom w:val="nil"/>
              <w:end w:val="nil"/>
            </w:tcBorders>
            <w:shd w:val="clear" w:color="auto" w:fill="auto"/>
            <w:noWrap/>
            <w:vAlign w:val="bottom"/>
            <w:hideMark/>
          </w:tcPr>
          <w:p w14:paraId="30F2EE0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19.2%</w:t>
            </w:r>
          </w:p>
        </w:tc>
        <w:tc>
          <w:tcPr>
            <w:tcW w:w="52.15pt" w:type="dxa"/>
            <w:tcBorders>
              <w:top w:val="nil"/>
              <w:start w:val="nil"/>
              <w:bottom w:val="nil"/>
              <w:end w:val="single" w:sz="4" w:space="0" w:color="auto"/>
            </w:tcBorders>
            <w:shd w:val="clear" w:color="auto" w:fill="auto"/>
            <w:noWrap/>
            <w:vAlign w:val="bottom"/>
            <w:hideMark/>
          </w:tcPr>
          <w:p w14:paraId="72A1F162" w14:textId="77777777" w:rsidR="00A77754" w:rsidRPr="0001495B" w:rsidRDefault="00A77754" w:rsidP="004D0840">
            <w:pPr>
              <w:spacing w:after="0pt" w:line="24pt" w:lineRule="auto"/>
              <w:jc w:val="center"/>
              <w:rPr>
                <w:rFonts w:ascii="Calibri" w:eastAsia="Times New Roman" w:hAnsi="Calibri" w:cs="Calibri"/>
                <w:color w:val="000000"/>
                <w:sz w:val="18"/>
                <w:szCs w:val="18"/>
                <w:lang w:eastAsia="en-AU"/>
              </w:rPr>
            </w:pPr>
            <w:r w:rsidRPr="0001495B">
              <w:rPr>
                <w:rFonts w:ascii="Calibri" w:eastAsia="Times New Roman" w:hAnsi="Calibri" w:cs="Calibri"/>
                <w:color w:val="000000"/>
                <w:sz w:val="18"/>
                <w:szCs w:val="18"/>
                <w:lang w:eastAsia="en-AU"/>
              </w:rPr>
              <w:t>27.9%</w:t>
            </w:r>
          </w:p>
        </w:tc>
        <w:tc>
          <w:tcPr>
            <w:tcW w:w="54.35pt" w:type="dxa"/>
            <w:tcBorders>
              <w:top w:val="nil"/>
              <w:start w:val="single" w:sz="4" w:space="0" w:color="auto"/>
              <w:bottom w:val="nil"/>
              <w:end w:val="nil"/>
            </w:tcBorders>
            <w:shd w:val="clear" w:color="auto" w:fill="auto"/>
            <w:noWrap/>
            <w:vAlign w:val="bottom"/>
            <w:hideMark/>
          </w:tcPr>
          <w:p w14:paraId="49B625F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26.9%</w:t>
            </w:r>
          </w:p>
        </w:tc>
        <w:tc>
          <w:tcPr>
            <w:tcW w:w="41.35pt" w:type="dxa"/>
            <w:tcBorders>
              <w:top w:val="nil"/>
              <w:start w:val="nil"/>
              <w:bottom w:val="nil"/>
              <w:end w:val="nil"/>
            </w:tcBorders>
            <w:shd w:val="clear" w:color="auto" w:fill="auto"/>
            <w:noWrap/>
            <w:vAlign w:val="bottom"/>
            <w:hideMark/>
          </w:tcPr>
          <w:p w14:paraId="6BDAC41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29.8%</w:t>
            </w:r>
          </w:p>
        </w:tc>
        <w:tc>
          <w:tcPr>
            <w:tcW w:w="50.60pt" w:type="dxa"/>
            <w:tcBorders>
              <w:top w:val="nil"/>
              <w:start w:val="nil"/>
              <w:bottom w:val="nil"/>
              <w:end w:val="nil"/>
            </w:tcBorders>
            <w:shd w:val="clear" w:color="auto" w:fill="auto"/>
            <w:noWrap/>
            <w:vAlign w:val="bottom"/>
            <w:hideMark/>
          </w:tcPr>
          <w:p w14:paraId="42A1F7B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28.8%</w:t>
            </w:r>
          </w:p>
        </w:tc>
        <w:tc>
          <w:tcPr>
            <w:tcW w:w="42.50pt" w:type="dxa"/>
            <w:tcBorders>
              <w:top w:val="nil"/>
              <w:start w:val="nil"/>
              <w:bottom w:val="nil"/>
              <w:end w:val="nil"/>
            </w:tcBorders>
            <w:shd w:val="clear" w:color="auto" w:fill="auto"/>
            <w:noWrap/>
            <w:vAlign w:val="bottom"/>
            <w:hideMark/>
          </w:tcPr>
          <w:p w14:paraId="5AA8A1B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10.6%</w:t>
            </w:r>
          </w:p>
        </w:tc>
        <w:tc>
          <w:tcPr>
            <w:tcW w:w="42.55pt" w:type="dxa"/>
            <w:tcBorders>
              <w:top w:val="nil"/>
              <w:start w:val="nil"/>
              <w:bottom w:val="nil"/>
              <w:end w:val="nil"/>
            </w:tcBorders>
            <w:shd w:val="clear" w:color="auto" w:fill="auto"/>
            <w:noWrap/>
            <w:vAlign w:val="bottom"/>
            <w:hideMark/>
          </w:tcPr>
          <w:p w14:paraId="12509D7C"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3.8%</w:t>
            </w:r>
          </w:p>
        </w:tc>
      </w:tr>
      <w:tr w:rsidR="00A77754" w:rsidRPr="00206EC9" w14:paraId="6091AA4A"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22B88F79"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Applying for research funding </w:t>
            </w:r>
          </w:p>
        </w:tc>
        <w:tc>
          <w:tcPr>
            <w:tcW w:w="54.40pt" w:type="dxa"/>
            <w:tcBorders>
              <w:top w:val="nil"/>
              <w:start w:val="single" w:sz="4" w:space="0" w:color="auto"/>
              <w:bottom w:val="nil"/>
              <w:end w:val="nil"/>
            </w:tcBorders>
            <w:shd w:val="clear" w:color="auto" w:fill="auto"/>
            <w:noWrap/>
            <w:vAlign w:val="bottom"/>
            <w:hideMark/>
          </w:tcPr>
          <w:p w14:paraId="1D64E5C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4.8%</w:t>
            </w:r>
          </w:p>
        </w:tc>
        <w:tc>
          <w:tcPr>
            <w:tcW w:w="51.15pt" w:type="dxa"/>
            <w:tcBorders>
              <w:top w:val="nil"/>
              <w:start w:val="nil"/>
              <w:bottom w:val="nil"/>
              <w:end w:val="nil"/>
            </w:tcBorders>
            <w:shd w:val="clear" w:color="auto" w:fill="auto"/>
            <w:noWrap/>
            <w:vAlign w:val="bottom"/>
            <w:hideMark/>
          </w:tcPr>
          <w:p w14:paraId="42D0E94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9.6%</w:t>
            </w:r>
          </w:p>
        </w:tc>
        <w:tc>
          <w:tcPr>
            <w:tcW w:w="55.20pt" w:type="dxa"/>
            <w:tcBorders>
              <w:top w:val="nil"/>
              <w:start w:val="nil"/>
              <w:bottom w:val="nil"/>
              <w:end w:val="nil"/>
            </w:tcBorders>
            <w:shd w:val="clear" w:color="auto" w:fill="auto"/>
            <w:noWrap/>
            <w:vAlign w:val="bottom"/>
            <w:hideMark/>
          </w:tcPr>
          <w:p w14:paraId="6393042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14.4%</w:t>
            </w:r>
          </w:p>
        </w:tc>
        <w:tc>
          <w:tcPr>
            <w:tcW w:w="56.70pt" w:type="dxa"/>
            <w:tcBorders>
              <w:top w:val="nil"/>
              <w:start w:val="nil"/>
              <w:bottom w:val="nil"/>
              <w:end w:val="nil"/>
            </w:tcBorders>
            <w:shd w:val="clear" w:color="auto" w:fill="auto"/>
            <w:noWrap/>
            <w:vAlign w:val="bottom"/>
            <w:hideMark/>
          </w:tcPr>
          <w:p w14:paraId="1A13AD4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23.1%</w:t>
            </w:r>
          </w:p>
        </w:tc>
        <w:tc>
          <w:tcPr>
            <w:tcW w:w="52.15pt" w:type="dxa"/>
            <w:tcBorders>
              <w:top w:val="nil"/>
              <w:start w:val="nil"/>
              <w:bottom w:val="nil"/>
              <w:end w:val="single" w:sz="4" w:space="0" w:color="auto"/>
            </w:tcBorders>
            <w:shd w:val="clear" w:color="auto" w:fill="auto"/>
            <w:noWrap/>
            <w:vAlign w:val="bottom"/>
            <w:hideMark/>
          </w:tcPr>
          <w:p w14:paraId="7FEA62F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48.1%</w:t>
            </w:r>
          </w:p>
        </w:tc>
        <w:tc>
          <w:tcPr>
            <w:tcW w:w="54.35pt" w:type="dxa"/>
            <w:tcBorders>
              <w:top w:val="nil"/>
              <w:start w:val="single" w:sz="4" w:space="0" w:color="auto"/>
              <w:bottom w:val="nil"/>
              <w:end w:val="nil"/>
            </w:tcBorders>
            <w:shd w:val="clear" w:color="auto" w:fill="auto"/>
            <w:noWrap/>
            <w:vAlign w:val="bottom"/>
            <w:hideMark/>
          </w:tcPr>
          <w:p w14:paraId="5DE37B1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44.2%</w:t>
            </w:r>
          </w:p>
        </w:tc>
        <w:tc>
          <w:tcPr>
            <w:tcW w:w="41.35pt" w:type="dxa"/>
            <w:tcBorders>
              <w:top w:val="nil"/>
              <w:start w:val="nil"/>
              <w:bottom w:val="nil"/>
              <w:end w:val="nil"/>
            </w:tcBorders>
            <w:shd w:val="clear" w:color="auto" w:fill="auto"/>
            <w:noWrap/>
            <w:vAlign w:val="bottom"/>
            <w:hideMark/>
          </w:tcPr>
          <w:p w14:paraId="7AF607C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30.8%</w:t>
            </w:r>
          </w:p>
        </w:tc>
        <w:tc>
          <w:tcPr>
            <w:tcW w:w="50.60pt" w:type="dxa"/>
            <w:tcBorders>
              <w:top w:val="nil"/>
              <w:start w:val="nil"/>
              <w:bottom w:val="nil"/>
              <w:end w:val="nil"/>
            </w:tcBorders>
            <w:shd w:val="clear" w:color="auto" w:fill="auto"/>
            <w:noWrap/>
            <w:vAlign w:val="bottom"/>
            <w:hideMark/>
          </w:tcPr>
          <w:p w14:paraId="4B95691C"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16.3%</w:t>
            </w:r>
          </w:p>
        </w:tc>
        <w:tc>
          <w:tcPr>
            <w:tcW w:w="42.50pt" w:type="dxa"/>
            <w:tcBorders>
              <w:top w:val="nil"/>
              <w:start w:val="nil"/>
              <w:bottom w:val="nil"/>
              <w:end w:val="nil"/>
            </w:tcBorders>
            <w:shd w:val="clear" w:color="auto" w:fill="auto"/>
            <w:noWrap/>
            <w:vAlign w:val="bottom"/>
            <w:hideMark/>
          </w:tcPr>
          <w:p w14:paraId="3DEE2EE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8.7%</w:t>
            </w:r>
          </w:p>
        </w:tc>
        <w:tc>
          <w:tcPr>
            <w:tcW w:w="42.55pt" w:type="dxa"/>
            <w:tcBorders>
              <w:top w:val="nil"/>
              <w:start w:val="nil"/>
              <w:bottom w:val="nil"/>
              <w:end w:val="nil"/>
            </w:tcBorders>
            <w:shd w:val="clear" w:color="auto" w:fill="auto"/>
            <w:noWrap/>
            <w:vAlign w:val="bottom"/>
            <w:hideMark/>
          </w:tcPr>
          <w:p w14:paraId="758A956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0.0%</w:t>
            </w:r>
          </w:p>
        </w:tc>
      </w:tr>
      <w:tr w:rsidR="00A77754" w:rsidRPr="00206EC9" w14:paraId="4590F266"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4F3EC30E"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Writing an ethics application</w:t>
            </w:r>
          </w:p>
        </w:tc>
        <w:tc>
          <w:tcPr>
            <w:tcW w:w="54.40pt" w:type="dxa"/>
            <w:tcBorders>
              <w:top w:val="nil"/>
              <w:start w:val="single" w:sz="4" w:space="0" w:color="auto"/>
              <w:bottom w:val="nil"/>
              <w:end w:val="nil"/>
            </w:tcBorders>
            <w:shd w:val="clear" w:color="auto" w:fill="auto"/>
            <w:noWrap/>
            <w:vAlign w:val="bottom"/>
            <w:hideMark/>
          </w:tcPr>
          <w:p w14:paraId="35CDD8B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5.8%</w:t>
            </w:r>
          </w:p>
        </w:tc>
        <w:tc>
          <w:tcPr>
            <w:tcW w:w="51.15pt" w:type="dxa"/>
            <w:tcBorders>
              <w:top w:val="nil"/>
              <w:start w:val="nil"/>
              <w:bottom w:val="nil"/>
              <w:end w:val="nil"/>
            </w:tcBorders>
            <w:shd w:val="clear" w:color="auto" w:fill="auto"/>
            <w:noWrap/>
            <w:vAlign w:val="bottom"/>
            <w:hideMark/>
          </w:tcPr>
          <w:p w14:paraId="34FEA14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15.4%</w:t>
            </w:r>
          </w:p>
        </w:tc>
        <w:tc>
          <w:tcPr>
            <w:tcW w:w="55.20pt" w:type="dxa"/>
            <w:tcBorders>
              <w:top w:val="nil"/>
              <w:start w:val="nil"/>
              <w:bottom w:val="nil"/>
              <w:end w:val="nil"/>
            </w:tcBorders>
            <w:shd w:val="clear" w:color="auto" w:fill="auto"/>
            <w:noWrap/>
            <w:vAlign w:val="bottom"/>
            <w:hideMark/>
          </w:tcPr>
          <w:p w14:paraId="277E8D6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24.0%</w:t>
            </w:r>
          </w:p>
        </w:tc>
        <w:tc>
          <w:tcPr>
            <w:tcW w:w="56.70pt" w:type="dxa"/>
            <w:tcBorders>
              <w:top w:val="nil"/>
              <w:start w:val="nil"/>
              <w:bottom w:val="nil"/>
              <w:end w:val="nil"/>
            </w:tcBorders>
            <w:shd w:val="clear" w:color="auto" w:fill="auto"/>
            <w:noWrap/>
            <w:vAlign w:val="bottom"/>
            <w:hideMark/>
          </w:tcPr>
          <w:p w14:paraId="3D040D2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14.4%</w:t>
            </w:r>
          </w:p>
        </w:tc>
        <w:tc>
          <w:tcPr>
            <w:tcW w:w="52.15pt" w:type="dxa"/>
            <w:tcBorders>
              <w:top w:val="nil"/>
              <w:start w:val="nil"/>
              <w:bottom w:val="nil"/>
              <w:end w:val="single" w:sz="4" w:space="0" w:color="auto"/>
            </w:tcBorders>
            <w:shd w:val="clear" w:color="auto" w:fill="auto"/>
            <w:noWrap/>
            <w:vAlign w:val="bottom"/>
            <w:hideMark/>
          </w:tcPr>
          <w:p w14:paraId="5F7A3FE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40.4%</w:t>
            </w:r>
          </w:p>
        </w:tc>
        <w:tc>
          <w:tcPr>
            <w:tcW w:w="54.35pt" w:type="dxa"/>
            <w:tcBorders>
              <w:top w:val="nil"/>
              <w:start w:val="single" w:sz="4" w:space="0" w:color="auto"/>
              <w:bottom w:val="nil"/>
              <w:end w:val="nil"/>
            </w:tcBorders>
            <w:shd w:val="clear" w:color="auto" w:fill="auto"/>
            <w:noWrap/>
            <w:vAlign w:val="bottom"/>
            <w:hideMark/>
          </w:tcPr>
          <w:p w14:paraId="6FF16DF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39.4%</w:t>
            </w:r>
          </w:p>
        </w:tc>
        <w:tc>
          <w:tcPr>
            <w:tcW w:w="41.35pt" w:type="dxa"/>
            <w:tcBorders>
              <w:top w:val="nil"/>
              <w:start w:val="nil"/>
              <w:bottom w:val="nil"/>
              <w:end w:val="nil"/>
            </w:tcBorders>
            <w:shd w:val="clear" w:color="auto" w:fill="auto"/>
            <w:noWrap/>
            <w:vAlign w:val="bottom"/>
            <w:hideMark/>
          </w:tcPr>
          <w:p w14:paraId="1C152ED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25.0%</w:t>
            </w:r>
          </w:p>
        </w:tc>
        <w:tc>
          <w:tcPr>
            <w:tcW w:w="50.60pt" w:type="dxa"/>
            <w:tcBorders>
              <w:top w:val="nil"/>
              <w:start w:val="nil"/>
              <w:bottom w:val="nil"/>
              <w:end w:val="nil"/>
            </w:tcBorders>
            <w:shd w:val="clear" w:color="auto" w:fill="auto"/>
            <w:noWrap/>
            <w:vAlign w:val="bottom"/>
            <w:hideMark/>
          </w:tcPr>
          <w:p w14:paraId="73B1F2D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25.0%</w:t>
            </w:r>
          </w:p>
        </w:tc>
        <w:tc>
          <w:tcPr>
            <w:tcW w:w="42.50pt" w:type="dxa"/>
            <w:tcBorders>
              <w:top w:val="nil"/>
              <w:start w:val="nil"/>
              <w:bottom w:val="nil"/>
              <w:end w:val="nil"/>
            </w:tcBorders>
            <w:shd w:val="clear" w:color="auto" w:fill="auto"/>
            <w:noWrap/>
            <w:vAlign w:val="bottom"/>
            <w:hideMark/>
          </w:tcPr>
          <w:p w14:paraId="0CBE506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c>
          <w:tcPr>
            <w:tcW w:w="42.55pt" w:type="dxa"/>
            <w:tcBorders>
              <w:top w:val="nil"/>
              <w:start w:val="nil"/>
              <w:bottom w:val="nil"/>
              <w:end w:val="nil"/>
            </w:tcBorders>
            <w:shd w:val="clear" w:color="auto" w:fill="auto"/>
            <w:noWrap/>
            <w:vAlign w:val="bottom"/>
            <w:hideMark/>
          </w:tcPr>
          <w:p w14:paraId="7C1ED2F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3.8%</w:t>
            </w:r>
          </w:p>
        </w:tc>
      </w:tr>
      <w:tr w:rsidR="00A77754" w:rsidRPr="00206EC9" w14:paraId="564DBAB0"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64B01FC6"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lastRenderedPageBreak/>
              <w:t>Using qualitative research methods (</w:t>
            </w:r>
            <w:proofErr w:type="spellStart"/>
            <w:r w:rsidRPr="00206EC9">
              <w:rPr>
                <w:rFonts w:ascii="Calibri" w:eastAsia="Times New Roman" w:hAnsi="Calibri" w:cs="Calibri"/>
                <w:color w:val="000000"/>
                <w:sz w:val="18"/>
                <w:szCs w:val="18"/>
                <w:lang w:eastAsia="en-AU"/>
              </w:rPr>
              <w:t>eg</w:t>
            </w:r>
            <w:proofErr w:type="spellEnd"/>
            <w:r w:rsidRPr="00206EC9">
              <w:rPr>
                <w:rFonts w:ascii="Calibri" w:eastAsia="Times New Roman" w:hAnsi="Calibri" w:cs="Calibri"/>
                <w:color w:val="000000"/>
                <w:sz w:val="18"/>
                <w:szCs w:val="18"/>
                <w:lang w:eastAsia="en-AU"/>
              </w:rPr>
              <w:t xml:space="preserve"> interviews) </w:t>
            </w:r>
          </w:p>
        </w:tc>
        <w:tc>
          <w:tcPr>
            <w:tcW w:w="54.40pt" w:type="dxa"/>
            <w:tcBorders>
              <w:top w:val="nil"/>
              <w:start w:val="single" w:sz="4" w:space="0" w:color="auto"/>
              <w:bottom w:val="nil"/>
              <w:end w:val="nil"/>
            </w:tcBorders>
            <w:shd w:val="clear" w:color="auto" w:fill="auto"/>
            <w:noWrap/>
            <w:vAlign w:val="bottom"/>
            <w:hideMark/>
          </w:tcPr>
          <w:p w14:paraId="53BFDE4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3.8%</w:t>
            </w:r>
          </w:p>
        </w:tc>
        <w:tc>
          <w:tcPr>
            <w:tcW w:w="51.15pt" w:type="dxa"/>
            <w:tcBorders>
              <w:top w:val="nil"/>
              <w:start w:val="nil"/>
              <w:bottom w:val="nil"/>
              <w:end w:val="nil"/>
            </w:tcBorders>
            <w:shd w:val="clear" w:color="auto" w:fill="auto"/>
            <w:noWrap/>
            <w:vAlign w:val="bottom"/>
            <w:hideMark/>
          </w:tcPr>
          <w:p w14:paraId="02BEFA2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13.5%</w:t>
            </w:r>
          </w:p>
        </w:tc>
        <w:tc>
          <w:tcPr>
            <w:tcW w:w="55.20pt" w:type="dxa"/>
            <w:tcBorders>
              <w:top w:val="nil"/>
              <w:start w:val="nil"/>
              <w:bottom w:val="nil"/>
              <w:end w:val="nil"/>
            </w:tcBorders>
            <w:shd w:val="clear" w:color="auto" w:fill="auto"/>
            <w:noWrap/>
            <w:vAlign w:val="bottom"/>
            <w:hideMark/>
          </w:tcPr>
          <w:p w14:paraId="738E572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22.1%</w:t>
            </w:r>
          </w:p>
        </w:tc>
        <w:tc>
          <w:tcPr>
            <w:tcW w:w="56.70pt" w:type="dxa"/>
            <w:tcBorders>
              <w:top w:val="nil"/>
              <w:start w:val="nil"/>
              <w:bottom w:val="nil"/>
              <w:end w:val="nil"/>
            </w:tcBorders>
            <w:shd w:val="clear" w:color="auto" w:fill="auto"/>
            <w:noWrap/>
            <w:vAlign w:val="bottom"/>
            <w:hideMark/>
          </w:tcPr>
          <w:p w14:paraId="36B2F9A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28.8%</w:t>
            </w:r>
          </w:p>
        </w:tc>
        <w:tc>
          <w:tcPr>
            <w:tcW w:w="52.15pt" w:type="dxa"/>
            <w:tcBorders>
              <w:top w:val="nil"/>
              <w:start w:val="nil"/>
              <w:bottom w:val="nil"/>
              <w:end w:val="single" w:sz="4" w:space="0" w:color="auto"/>
            </w:tcBorders>
            <w:shd w:val="clear" w:color="auto" w:fill="auto"/>
            <w:noWrap/>
            <w:vAlign w:val="bottom"/>
            <w:hideMark/>
          </w:tcPr>
          <w:p w14:paraId="0B20047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31.7%</w:t>
            </w:r>
          </w:p>
        </w:tc>
        <w:tc>
          <w:tcPr>
            <w:tcW w:w="54.35pt" w:type="dxa"/>
            <w:tcBorders>
              <w:top w:val="nil"/>
              <w:start w:val="single" w:sz="4" w:space="0" w:color="auto"/>
              <w:bottom w:val="nil"/>
              <w:end w:val="nil"/>
            </w:tcBorders>
            <w:shd w:val="clear" w:color="auto" w:fill="auto"/>
            <w:noWrap/>
            <w:vAlign w:val="bottom"/>
            <w:hideMark/>
          </w:tcPr>
          <w:p w14:paraId="6656F9D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29.8%</w:t>
            </w:r>
          </w:p>
        </w:tc>
        <w:tc>
          <w:tcPr>
            <w:tcW w:w="41.35pt" w:type="dxa"/>
            <w:tcBorders>
              <w:top w:val="nil"/>
              <w:start w:val="nil"/>
              <w:bottom w:val="nil"/>
              <w:end w:val="nil"/>
            </w:tcBorders>
            <w:shd w:val="clear" w:color="auto" w:fill="auto"/>
            <w:noWrap/>
            <w:vAlign w:val="bottom"/>
            <w:hideMark/>
          </w:tcPr>
          <w:p w14:paraId="31BB1C3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29.8%</w:t>
            </w:r>
          </w:p>
        </w:tc>
        <w:tc>
          <w:tcPr>
            <w:tcW w:w="50.60pt" w:type="dxa"/>
            <w:tcBorders>
              <w:top w:val="nil"/>
              <w:start w:val="nil"/>
              <w:bottom w:val="nil"/>
              <w:end w:val="nil"/>
            </w:tcBorders>
            <w:shd w:val="clear" w:color="auto" w:fill="auto"/>
            <w:noWrap/>
            <w:vAlign w:val="bottom"/>
            <w:hideMark/>
          </w:tcPr>
          <w:p w14:paraId="72377BB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32.7%</w:t>
            </w:r>
          </w:p>
        </w:tc>
        <w:tc>
          <w:tcPr>
            <w:tcW w:w="42.50pt" w:type="dxa"/>
            <w:tcBorders>
              <w:top w:val="nil"/>
              <w:start w:val="nil"/>
              <w:bottom w:val="nil"/>
              <w:end w:val="nil"/>
            </w:tcBorders>
            <w:shd w:val="clear" w:color="auto" w:fill="auto"/>
            <w:noWrap/>
            <w:vAlign w:val="bottom"/>
            <w:hideMark/>
          </w:tcPr>
          <w:p w14:paraId="5593269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4.8%</w:t>
            </w:r>
          </w:p>
        </w:tc>
        <w:tc>
          <w:tcPr>
            <w:tcW w:w="42.55pt" w:type="dxa"/>
            <w:tcBorders>
              <w:top w:val="nil"/>
              <w:start w:val="nil"/>
              <w:bottom w:val="nil"/>
              <w:end w:val="nil"/>
            </w:tcBorders>
            <w:shd w:val="clear" w:color="auto" w:fill="auto"/>
            <w:noWrap/>
            <w:vAlign w:val="bottom"/>
            <w:hideMark/>
          </w:tcPr>
          <w:p w14:paraId="093BCDA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w:t>
            </w:r>
          </w:p>
        </w:tc>
      </w:tr>
      <w:tr w:rsidR="00A77754" w:rsidRPr="00206EC9" w14:paraId="4219320E"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7EFFDA29"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Using quantitative research methods (i.e. numerical) </w:t>
            </w:r>
          </w:p>
        </w:tc>
        <w:tc>
          <w:tcPr>
            <w:tcW w:w="54.40pt" w:type="dxa"/>
            <w:tcBorders>
              <w:top w:val="nil"/>
              <w:start w:val="single" w:sz="4" w:space="0" w:color="auto"/>
              <w:bottom w:val="nil"/>
              <w:end w:val="nil"/>
            </w:tcBorders>
            <w:shd w:val="clear" w:color="auto" w:fill="auto"/>
            <w:noWrap/>
            <w:vAlign w:val="bottom"/>
            <w:hideMark/>
          </w:tcPr>
          <w:p w14:paraId="38614A2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c>
          <w:tcPr>
            <w:tcW w:w="51.15pt" w:type="dxa"/>
            <w:tcBorders>
              <w:top w:val="nil"/>
              <w:start w:val="nil"/>
              <w:bottom w:val="nil"/>
              <w:end w:val="nil"/>
            </w:tcBorders>
            <w:shd w:val="clear" w:color="auto" w:fill="auto"/>
            <w:noWrap/>
            <w:vAlign w:val="bottom"/>
            <w:hideMark/>
          </w:tcPr>
          <w:p w14:paraId="0765E24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20.2%</w:t>
            </w:r>
          </w:p>
        </w:tc>
        <w:tc>
          <w:tcPr>
            <w:tcW w:w="55.20pt" w:type="dxa"/>
            <w:tcBorders>
              <w:top w:val="nil"/>
              <w:start w:val="nil"/>
              <w:bottom w:val="nil"/>
              <w:end w:val="nil"/>
            </w:tcBorders>
            <w:shd w:val="clear" w:color="auto" w:fill="auto"/>
            <w:noWrap/>
            <w:vAlign w:val="bottom"/>
            <w:hideMark/>
          </w:tcPr>
          <w:p w14:paraId="6AA6952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28.8%</w:t>
            </w:r>
          </w:p>
        </w:tc>
        <w:tc>
          <w:tcPr>
            <w:tcW w:w="56.70pt" w:type="dxa"/>
            <w:tcBorders>
              <w:top w:val="nil"/>
              <w:start w:val="nil"/>
              <w:bottom w:val="nil"/>
              <w:end w:val="nil"/>
            </w:tcBorders>
            <w:shd w:val="clear" w:color="auto" w:fill="auto"/>
            <w:noWrap/>
            <w:vAlign w:val="bottom"/>
            <w:hideMark/>
          </w:tcPr>
          <w:p w14:paraId="13B517C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21.2%</w:t>
            </w:r>
          </w:p>
        </w:tc>
        <w:tc>
          <w:tcPr>
            <w:tcW w:w="52.15pt" w:type="dxa"/>
            <w:tcBorders>
              <w:top w:val="nil"/>
              <w:start w:val="nil"/>
              <w:bottom w:val="nil"/>
              <w:end w:val="single" w:sz="4" w:space="0" w:color="auto"/>
            </w:tcBorders>
            <w:shd w:val="clear" w:color="auto" w:fill="auto"/>
            <w:noWrap/>
            <w:vAlign w:val="bottom"/>
            <w:hideMark/>
          </w:tcPr>
          <w:p w14:paraId="255E8EA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23.1%</w:t>
            </w:r>
          </w:p>
        </w:tc>
        <w:tc>
          <w:tcPr>
            <w:tcW w:w="54.35pt" w:type="dxa"/>
            <w:tcBorders>
              <w:top w:val="nil"/>
              <w:start w:val="single" w:sz="4" w:space="0" w:color="auto"/>
              <w:bottom w:val="nil"/>
              <w:end w:val="nil"/>
            </w:tcBorders>
            <w:shd w:val="clear" w:color="auto" w:fill="auto"/>
            <w:noWrap/>
            <w:vAlign w:val="bottom"/>
            <w:hideMark/>
          </w:tcPr>
          <w:p w14:paraId="37946B1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26.9%</w:t>
            </w:r>
          </w:p>
        </w:tc>
        <w:tc>
          <w:tcPr>
            <w:tcW w:w="41.35pt" w:type="dxa"/>
            <w:tcBorders>
              <w:top w:val="nil"/>
              <w:start w:val="nil"/>
              <w:bottom w:val="nil"/>
              <w:end w:val="nil"/>
            </w:tcBorders>
            <w:shd w:val="clear" w:color="auto" w:fill="auto"/>
            <w:noWrap/>
            <w:vAlign w:val="bottom"/>
            <w:hideMark/>
          </w:tcPr>
          <w:p w14:paraId="53DC84C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27.9%</w:t>
            </w:r>
          </w:p>
        </w:tc>
        <w:tc>
          <w:tcPr>
            <w:tcW w:w="50.60pt" w:type="dxa"/>
            <w:tcBorders>
              <w:top w:val="nil"/>
              <w:start w:val="nil"/>
              <w:bottom w:val="nil"/>
              <w:end w:val="nil"/>
            </w:tcBorders>
            <w:shd w:val="clear" w:color="auto" w:fill="auto"/>
            <w:noWrap/>
            <w:vAlign w:val="bottom"/>
            <w:hideMark/>
          </w:tcPr>
          <w:p w14:paraId="4DDEAE1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29.8%</w:t>
            </w:r>
          </w:p>
        </w:tc>
        <w:tc>
          <w:tcPr>
            <w:tcW w:w="42.50pt" w:type="dxa"/>
            <w:tcBorders>
              <w:top w:val="nil"/>
              <w:start w:val="nil"/>
              <w:bottom w:val="nil"/>
              <w:end w:val="nil"/>
            </w:tcBorders>
            <w:shd w:val="clear" w:color="auto" w:fill="auto"/>
            <w:noWrap/>
            <w:vAlign w:val="bottom"/>
            <w:hideMark/>
          </w:tcPr>
          <w:p w14:paraId="72C8B1F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14.4%</w:t>
            </w:r>
          </w:p>
        </w:tc>
        <w:tc>
          <w:tcPr>
            <w:tcW w:w="42.55pt" w:type="dxa"/>
            <w:tcBorders>
              <w:top w:val="nil"/>
              <w:start w:val="nil"/>
              <w:bottom w:val="nil"/>
              <w:end w:val="nil"/>
            </w:tcBorders>
            <w:shd w:val="clear" w:color="auto" w:fill="auto"/>
            <w:noWrap/>
            <w:vAlign w:val="bottom"/>
            <w:hideMark/>
          </w:tcPr>
          <w:p w14:paraId="1860513C"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1.0%</w:t>
            </w:r>
          </w:p>
        </w:tc>
      </w:tr>
      <w:tr w:rsidR="00A77754" w:rsidRPr="00206EC9" w14:paraId="6FF02947"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5BA212F5"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Analysing and interpreting results</w:t>
            </w:r>
          </w:p>
        </w:tc>
        <w:tc>
          <w:tcPr>
            <w:tcW w:w="54.40pt" w:type="dxa"/>
            <w:tcBorders>
              <w:top w:val="nil"/>
              <w:start w:val="single" w:sz="4" w:space="0" w:color="auto"/>
              <w:bottom w:val="nil"/>
              <w:end w:val="nil"/>
            </w:tcBorders>
            <w:shd w:val="clear" w:color="auto" w:fill="auto"/>
            <w:noWrap/>
            <w:vAlign w:val="bottom"/>
            <w:hideMark/>
          </w:tcPr>
          <w:p w14:paraId="73BE32F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9.6%</w:t>
            </w:r>
          </w:p>
        </w:tc>
        <w:tc>
          <w:tcPr>
            <w:tcW w:w="51.15pt" w:type="dxa"/>
            <w:tcBorders>
              <w:top w:val="nil"/>
              <w:start w:val="nil"/>
              <w:bottom w:val="nil"/>
              <w:end w:val="nil"/>
            </w:tcBorders>
            <w:shd w:val="clear" w:color="auto" w:fill="auto"/>
            <w:noWrap/>
            <w:vAlign w:val="bottom"/>
            <w:hideMark/>
          </w:tcPr>
          <w:p w14:paraId="62B6387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24.0%</w:t>
            </w:r>
          </w:p>
        </w:tc>
        <w:tc>
          <w:tcPr>
            <w:tcW w:w="55.20pt" w:type="dxa"/>
            <w:tcBorders>
              <w:top w:val="nil"/>
              <w:start w:val="nil"/>
              <w:bottom w:val="nil"/>
              <w:end w:val="nil"/>
            </w:tcBorders>
            <w:shd w:val="clear" w:color="auto" w:fill="auto"/>
            <w:noWrap/>
            <w:vAlign w:val="bottom"/>
            <w:hideMark/>
          </w:tcPr>
          <w:p w14:paraId="03A2494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28.8%</w:t>
            </w:r>
          </w:p>
        </w:tc>
        <w:tc>
          <w:tcPr>
            <w:tcW w:w="56.70pt" w:type="dxa"/>
            <w:tcBorders>
              <w:top w:val="nil"/>
              <w:start w:val="nil"/>
              <w:bottom w:val="nil"/>
              <w:end w:val="nil"/>
            </w:tcBorders>
            <w:shd w:val="clear" w:color="auto" w:fill="auto"/>
            <w:noWrap/>
            <w:vAlign w:val="bottom"/>
            <w:hideMark/>
          </w:tcPr>
          <w:p w14:paraId="03E1631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20.2%</w:t>
            </w:r>
          </w:p>
        </w:tc>
        <w:tc>
          <w:tcPr>
            <w:tcW w:w="52.15pt" w:type="dxa"/>
            <w:tcBorders>
              <w:top w:val="nil"/>
              <w:start w:val="nil"/>
              <w:bottom w:val="nil"/>
              <w:end w:val="single" w:sz="4" w:space="0" w:color="auto"/>
            </w:tcBorders>
            <w:shd w:val="clear" w:color="auto" w:fill="auto"/>
            <w:noWrap/>
            <w:vAlign w:val="bottom"/>
            <w:hideMark/>
          </w:tcPr>
          <w:p w14:paraId="78A405D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17.3%</w:t>
            </w:r>
          </w:p>
        </w:tc>
        <w:tc>
          <w:tcPr>
            <w:tcW w:w="54.35pt" w:type="dxa"/>
            <w:tcBorders>
              <w:top w:val="nil"/>
              <w:start w:val="single" w:sz="4" w:space="0" w:color="auto"/>
              <w:bottom w:val="nil"/>
              <w:end w:val="nil"/>
            </w:tcBorders>
            <w:shd w:val="clear" w:color="auto" w:fill="auto"/>
            <w:noWrap/>
            <w:vAlign w:val="bottom"/>
            <w:hideMark/>
          </w:tcPr>
          <w:p w14:paraId="478196D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23.1%</w:t>
            </w:r>
          </w:p>
        </w:tc>
        <w:tc>
          <w:tcPr>
            <w:tcW w:w="41.35pt" w:type="dxa"/>
            <w:tcBorders>
              <w:top w:val="nil"/>
              <w:start w:val="nil"/>
              <w:bottom w:val="nil"/>
              <w:end w:val="nil"/>
            </w:tcBorders>
            <w:shd w:val="clear" w:color="auto" w:fill="auto"/>
            <w:noWrap/>
            <w:vAlign w:val="bottom"/>
            <w:hideMark/>
          </w:tcPr>
          <w:p w14:paraId="5184D91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35.6%</w:t>
            </w:r>
          </w:p>
        </w:tc>
        <w:tc>
          <w:tcPr>
            <w:tcW w:w="50.60pt" w:type="dxa"/>
            <w:tcBorders>
              <w:top w:val="nil"/>
              <w:start w:val="nil"/>
              <w:bottom w:val="nil"/>
              <w:end w:val="nil"/>
            </w:tcBorders>
            <w:shd w:val="clear" w:color="auto" w:fill="auto"/>
            <w:noWrap/>
            <w:vAlign w:val="bottom"/>
            <w:hideMark/>
          </w:tcPr>
          <w:p w14:paraId="70888A5C"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25.0%</w:t>
            </w:r>
          </w:p>
        </w:tc>
        <w:tc>
          <w:tcPr>
            <w:tcW w:w="42.50pt" w:type="dxa"/>
            <w:tcBorders>
              <w:top w:val="nil"/>
              <w:start w:val="nil"/>
              <w:bottom w:val="nil"/>
              <w:end w:val="nil"/>
            </w:tcBorders>
            <w:shd w:val="clear" w:color="auto" w:fill="auto"/>
            <w:noWrap/>
            <w:vAlign w:val="bottom"/>
            <w:hideMark/>
          </w:tcPr>
          <w:p w14:paraId="4130F12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14.4%</w:t>
            </w:r>
          </w:p>
        </w:tc>
        <w:tc>
          <w:tcPr>
            <w:tcW w:w="42.55pt" w:type="dxa"/>
            <w:tcBorders>
              <w:top w:val="nil"/>
              <w:start w:val="nil"/>
              <w:bottom w:val="nil"/>
              <w:end w:val="nil"/>
            </w:tcBorders>
            <w:shd w:val="clear" w:color="auto" w:fill="auto"/>
            <w:noWrap/>
            <w:vAlign w:val="bottom"/>
            <w:hideMark/>
          </w:tcPr>
          <w:p w14:paraId="0DA0E14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1.9%</w:t>
            </w:r>
          </w:p>
        </w:tc>
      </w:tr>
      <w:tr w:rsidR="00A77754" w:rsidRPr="00206EC9" w14:paraId="191C86F3"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6B6C6E9E"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Writing a research report</w:t>
            </w:r>
          </w:p>
        </w:tc>
        <w:tc>
          <w:tcPr>
            <w:tcW w:w="54.40pt" w:type="dxa"/>
            <w:tcBorders>
              <w:top w:val="nil"/>
              <w:start w:val="single" w:sz="4" w:space="0" w:color="auto"/>
              <w:bottom w:val="nil"/>
              <w:end w:val="nil"/>
            </w:tcBorders>
            <w:shd w:val="clear" w:color="auto" w:fill="auto"/>
            <w:noWrap/>
            <w:vAlign w:val="bottom"/>
            <w:hideMark/>
          </w:tcPr>
          <w:p w14:paraId="39DC9DE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7.7%</w:t>
            </w:r>
          </w:p>
        </w:tc>
        <w:tc>
          <w:tcPr>
            <w:tcW w:w="51.15pt" w:type="dxa"/>
            <w:tcBorders>
              <w:top w:val="nil"/>
              <w:start w:val="nil"/>
              <w:bottom w:val="nil"/>
              <w:end w:val="nil"/>
            </w:tcBorders>
            <w:shd w:val="clear" w:color="auto" w:fill="auto"/>
            <w:noWrap/>
            <w:vAlign w:val="bottom"/>
            <w:hideMark/>
          </w:tcPr>
          <w:p w14:paraId="5FA2A68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21.2%</w:t>
            </w:r>
          </w:p>
        </w:tc>
        <w:tc>
          <w:tcPr>
            <w:tcW w:w="55.20pt" w:type="dxa"/>
            <w:tcBorders>
              <w:top w:val="nil"/>
              <w:start w:val="nil"/>
              <w:bottom w:val="nil"/>
              <w:end w:val="nil"/>
            </w:tcBorders>
            <w:shd w:val="clear" w:color="auto" w:fill="auto"/>
            <w:noWrap/>
            <w:vAlign w:val="bottom"/>
            <w:hideMark/>
          </w:tcPr>
          <w:p w14:paraId="7DDB22F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24.0%</w:t>
            </w:r>
          </w:p>
        </w:tc>
        <w:tc>
          <w:tcPr>
            <w:tcW w:w="56.70pt" w:type="dxa"/>
            <w:tcBorders>
              <w:top w:val="nil"/>
              <w:start w:val="nil"/>
              <w:bottom w:val="nil"/>
              <w:end w:val="nil"/>
            </w:tcBorders>
            <w:shd w:val="clear" w:color="auto" w:fill="auto"/>
            <w:noWrap/>
            <w:vAlign w:val="bottom"/>
            <w:hideMark/>
          </w:tcPr>
          <w:p w14:paraId="5AD9581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18.3%</w:t>
            </w:r>
          </w:p>
        </w:tc>
        <w:tc>
          <w:tcPr>
            <w:tcW w:w="52.15pt" w:type="dxa"/>
            <w:tcBorders>
              <w:top w:val="nil"/>
              <w:start w:val="nil"/>
              <w:bottom w:val="nil"/>
              <w:end w:val="single" w:sz="4" w:space="0" w:color="auto"/>
            </w:tcBorders>
            <w:shd w:val="clear" w:color="auto" w:fill="auto"/>
            <w:noWrap/>
            <w:vAlign w:val="bottom"/>
            <w:hideMark/>
          </w:tcPr>
          <w:p w14:paraId="5F1535A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28.8%</w:t>
            </w:r>
          </w:p>
        </w:tc>
        <w:tc>
          <w:tcPr>
            <w:tcW w:w="54.35pt" w:type="dxa"/>
            <w:tcBorders>
              <w:top w:val="nil"/>
              <w:start w:val="single" w:sz="4" w:space="0" w:color="auto"/>
              <w:bottom w:val="nil"/>
              <w:end w:val="nil"/>
            </w:tcBorders>
            <w:shd w:val="clear" w:color="auto" w:fill="auto"/>
            <w:noWrap/>
            <w:vAlign w:val="bottom"/>
            <w:hideMark/>
          </w:tcPr>
          <w:p w14:paraId="4BB85CE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28.8%</w:t>
            </w:r>
          </w:p>
        </w:tc>
        <w:tc>
          <w:tcPr>
            <w:tcW w:w="41.35pt" w:type="dxa"/>
            <w:tcBorders>
              <w:top w:val="nil"/>
              <w:start w:val="nil"/>
              <w:bottom w:val="nil"/>
              <w:end w:val="nil"/>
            </w:tcBorders>
            <w:shd w:val="clear" w:color="auto" w:fill="auto"/>
            <w:noWrap/>
            <w:vAlign w:val="bottom"/>
            <w:hideMark/>
          </w:tcPr>
          <w:p w14:paraId="7AD1C35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26.9%</w:t>
            </w:r>
          </w:p>
        </w:tc>
        <w:tc>
          <w:tcPr>
            <w:tcW w:w="50.60pt" w:type="dxa"/>
            <w:tcBorders>
              <w:top w:val="nil"/>
              <w:start w:val="nil"/>
              <w:bottom w:val="nil"/>
              <w:end w:val="nil"/>
            </w:tcBorders>
            <w:shd w:val="clear" w:color="auto" w:fill="auto"/>
            <w:noWrap/>
            <w:vAlign w:val="bottom"/>
            <w:hideMark/>
          </w:tcPr>
          <w:p w14:paraId="5C3FD93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27.9%</w:t>
            </w:r>
          </w:p>
        </w:tc>
        <w:tc>
          <w:tcPr>
            <w:tcW w:w="42.50pt" w:type="dxa"/>
            <w:tcBorders>
              <w:top w:val="nil"/>
              <w:start w:val="nil"/>
              <w:bottom w:val="nil"/>
              <w:end w:val="nil"/>
            </w:tcBorders>
            <w:shd w:val="clear" w:color="auto" w:fill="auto"/>
            <w:noWrap/>
            <w:vAlign w:val="bottom"/>
            <w:hideMark/>
          </w:tcPr>
          <w:p w14:paraId="187DE41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11.5%</w:t>
            </w:r>
          </w:p>
        </w:tc>
        <w:tc>
          <w:tcPr>
            <w:tcW w:w="42.55pt" w:type="dxa"/>
            <w:tcBorders>
              <w:top w:val="nil"/>
              <w:start w:val="nil"/>
              <w:bottom w:val="nil"/>
              <w:end w:val="nil"/>
            </w:tcBorders>
            <w:shd w:val="clear" w:color="auto" w:fill="auto"/>
            <w:noWrap/>
            <w:vAlign w:val="bottom"/>
            <w:hideMark/>
          </w:tcPr>
          <w:p w14:paraId="30A3DB3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4.8%</w:t>
            </w:r>
          </w:p>
        </w:tc>
      </w:tr>
      <w:tr w:rsidR="00A77754" w:rsidRPr="00206EC9" w14:paraId="039D326D"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7671C8D4"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Presenting research at a conference or meeting</w:t>
            </w:r>
          </w:p>
        </w:tc>
        <w:tc>
          <w:tcPr>
            <w:tcW w:w="54.40pt" w:type="dxa"/>
            <w:tcBorders>
              <w:top w:val="nil"/>
              <w:start w:val="single" w:sz="4" w:space="0" w:color="auto"/>
              <w:bottom w:val="nil"/>
              <w:end w:val="nil"/>
            </w:tcBorders>
            <w:shd w:val="clear" w:color="auto" w:fill="auto"/>
            <w:noWrap/>
            <w:vAlign w:val="bottom"/>
            <w:hideMark/>
          </w:tcPr>
          <w:p w14:paraId="063261D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c>
          <w:tcPr>
            <w:tcW w:w="51.15pt" w:type="dxa"/>
            <w:tcBorders>
              <w:top w:val="nil"/>
              <w:start w:val="nil"/>
              <w:bottom w:val="nil"/>
              <w:end w:val="nil"/>
            </w:tcBorders>
            <w:shd w:val="clear" w:color="auto" w:fill="auto"/>
            <w:noWrap/>
            <w:vAlign w:val="bottom"/>
            <w:hideMark/>
          </w:tcPr>
          <w:p w14:paraId="55DFE2B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23.1%</w:t>
            </w:r>
          </w:p>
        </w:tc>
        <w:tc>
          <w:tcPr>
            <w:tcW w:w="55.20pt" w:type="dxa"/>
            <w:tcBorders>
              <w:top w:val="nil"/>
              <w:start w:val="nil"/>
              <w:bottom w:val="nil"/>
              <w:end w:val="nil"/>
            </w:tcBorders>
            <w:shd w:val="clear" w:color="auto" w:fill="auto"/>
            <w:noWrap/>
            <w:vAlign w:val="bottom"/>
            <w:hideMark/>
          </w:tcPr>
          <w:p w14:paraId="090AA65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16.3%</w:t>
            </w:r>
          </w:p>
        </w:tc>
        <w:tc>
          <w:tcPr>
            <w:tcW w:w="56.70pt" w:type="dxa"/>
            <w:tcBorders>
              <w:top w:val="nil"/>
              <w:start w:val="nil"/>
              <w:bottom w:val="nil"/>
              <w:end w:val="nil"/>
            </w:tcBorders>
            <w:shd w:val="clear" w:color="auto" w:fill="auto"/>
            <w:noWrap/>
            <w:vAlign w:val="bottom"/>
            <w:hideMark/>
          </w:tcPr>
          <w:p w14:paraId="789BE8C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19.2%</w:t>
            </w:r>
          </w:p>
        </w:tc>
        <w:tc>
          <w:tcPr>
            <w:tcW w:w="52.15pt" w:type="dxa"/>
            <w:tcBorders>
              <w:top w:val="nil"/>
              <w:start w:val="nil"/>
              <w:bottom w:val="nil"/>
              <w:end w:val="single" w:sz="4" w:space="0" w:color="auto"/>
            </w:tcBorders>
            <w:shd w:val="clear" w:color="auto" w:fill="auto"/>
            <w:noWrap/>
            <w:vAlign w:val="bottom"/>
            <w:hideMark/>
          </w:tcPr>
          <w:p w14:paraId="103D718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34.6%</w:t>
            </w:r>
          </w:p>
        </w:tc>
        <w:tc>
          <w:tcPr>
            <w:tcW w:w="54.35pt" w:type="dxa"/>
            <w:tcBorders>
              <w:top w:val="nil"/>
              <w:start w:val="single" w:sz="4" w:space="0" w:color="auto"/>
              <w:bottom w:val="nil"/>
              <w:end w:val="nil"/>
            </w:tcBorders>
            <w:shd w:val="clear" w:color="auto" w:fill="auto"/>
            <w:noWrap/>
            <w:vAlign w:val="bottom"/>
            <w:hideMark/>
          </w:tcPr>
          <w:p w14:paraId="20394F7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29.8%</w:t>
            </w:r>
          </w:p>
        </w:tc>
        <w:tc>
          <w:tcPr>
            <w:tcW w:w="41.35pt" w:type="dxa"/>
            <w:tcBorders>
              <w:top w:val="nil"/>
              <w:start w:val="nil"/>
              <w:bottom w:val="nil"/>
              <w:end w:val="nil"/>
            </w:tcBorders>
            <w:shd w:val="clear" w:color="auto" w:fill="auto"/>
            <w:noWrap/>
            <w:vAlign w:val="bottom"/>
            <w:hideMark/>
          </w:tcPr>
          <w:p w14:paraId="51A95E2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21.2%</w:t>
            </w:r>
          </w:p>
        </w:tc>
        <w:tc>
          <w:tcPr>
            <w:tcW w:w="50.60pt" w:type="dxa"/>
            <w:tcBorders>
              <w:top w:val="nil"/>
              <w:start w:val="nil"/>
              <w:bottom w:val="nil"/>
              <w:end w:val="nil"/>
            </w:tcBorders>
            <w:shd w:val="clear" w:color="auto" w:fill="auto"/>
            <w:noWrap/>
            <w:vAlign w:val="bottom"/>
            <w:hideMark/>
          </w:tcPr>
          <w:p w14:paraId="698D7ED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19.2%</w:t>
            </w:r>
          </w:p>
        </w:tc>
        <w:tc>
          <w:tcPr>
            <w:tcW w:w="42.50pt" w:type="dxa"/>
            <w:tcBorders>
              <w:top w:val="nil"/>
              <w:start w:val="nil"/>
              <w:bottom w:val="nil"/>
              <w:end w:val="nil"/>
            </w:tcBorders>
            <w:shd w:val="clear" w:color="auto" w:fill="auto"/>
            <w:noWrap/>
            <w:vAlign w:val="bottom"/>
            <w:hideMark/>
          </w:tcPr>
          <w:p w14:paraId="7447F04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17.3%</w:t>
            </w:r>
          </w:p>
        </w:tc>
        <w:tc>
          <w:tcPr>
            <w:tcW w:w="42.55pt" w:type="dxa"/>
            <w:tcBorders>
              <w:top w:val="nil"/>
              <w:start w:val="nil"/>
              <w:bottom w:val="nil"/>
              <w:end w:val="nil"/>
            </w:tcBorders>
            <w:shd w:val="clear" w:color="auto" w:fill="auto"/>
            <w:noWrap/>
            <w:vAlign w:val="bottom"/>
            <w:hideMark/>
          </w:tcPr>
          <w:p w14:paraId="06DA668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12.5%</w:t>
            </w:r>
          </w:p>
        </w:tc>
      </w:tr>
      <w:tr w:rsidR="00A77754" w:rsidRPr="00206EC9" w14:paraId="7960963B"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40A43519"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Publishing research</w:t>
            </w:r>
          </w:p>
        </w:tc>
        <w:tc>
          <w:tcPr>
            <w:tcW w:w="54.40pt" w:type="dxa"/>
            <w:tcBorders>
              <w:top w:val="nil"/>
              <w:start w:val="single" w:sz="4" w:space="0" w:color="auto"/>
              <w:bottom w:val="nil"/>
              <w:end w:val="nil"/>
            </w:tcBorders>
            <w:shd w:val="clear" w:color="auto" w:fill="auto"/>
            <w:noWrap/>
            <w:vAlign w:val="bottom"/>
            <w:hideMark/>
          </w:tcPr>
          <w:p w14:paraId="7695CE1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c>
          <w:tcPr>
            <w:tcW w:w="51.15pt" w:type="dxa"/>
            <w:tcBorders>
              <w:top w:val="nil"/>
              <w:start w:val="nil"/>
              <w:bottom w:val="nil"/>
              <w:end w:val="nil"/>
            </w:tcBorders>
            <w:shd w:val="clear" w:color="auto" w:fill="auto"/>
            <w:noWrap/>
            <w:vAlign w:val="bottom"/>
            <w:hideMark/>
          </w:tcPr>
          <w:p w14:paraId="6C0FD8D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w:t>
            </w:r>
          </w:p>
        </w:tc>
        <w:tc>
          <w:tcPr>
            <w:tcW w:w="55.20pt" w:type="dxa"/>
            <w:tcBorders>
              <w:top w:val="nil"/>
              <w:start w:val="nil"/>
              <w:bottom w:val="nil"/>
              <w:end w:val="nil"/>
            </w:tcBorders>
            <w:shd w:val="clear" w:color="auto" w:fill="auto"/>
            <w:noWrap/>
            <w:vAlign w:val="bottom"/>
            <w:hideMark/>
          </w:tcPr>
          <w:p w14:paraId="36FE887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23.1%</w:t>
            </w:r>
          </w:p>
        </w:tc>
        <w:tc>
          <w:tcPr>
            <w:tcW w:w="56.70pt" w:type="dxa"/>
            <w:tcBorders>
              <w:top w:val="nil"/>
              <w:start w:val="nil"/>
              <w:bottom w:val="nil"/>
              <w:end w:val="nil"/>
            </w:tcBorders>
            <w:shd w:val="clear" w:color="auto" w:fill="auto"/>
            <w:noWrap/>
            <w:vAlign w:val="bottom"/>
            <w:hideMark/>
          </w:tcPr>
          <w:p w14:paraId="5DC55D3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26.0%</w:t>
            </w:r>
          </w:p>
        </w:tc>
        <w:tc>
          <w:tcPr>
            <w:tcW w:w="52.15pt" w:type="dxa"/>
            <w:tcBorders>
              <w:top w:val="nil"/>
              <w:start w:val="nil"/>
              <w:bottom w:val="nil"/>
              <w:end w:val="single" w:sz="4" w:space="0" w:color="auto"/>
            </w:tcBorders>
            <w:shd w:val="clear" w:color="auto" w:fill="auto"/>
            <w:noWrap/>
            <w:vAlign w:val="bottom"/>
            <w:hideMark/>
          </w:tcPr>
          <w:p w14:paraId="77971FF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41.3%</w:t>
            </w:r>
          </w:p>
        </w:tc>
        <w:tc>
          <w:tcPr>
            <w:tcW w:w="54.35pt" w:type="dxa"/>
            <w:tcBorders>
              <w:top w:val="nil"/>
              <w:start w:val="single" w:sz="4" w:space="0" w:color="auto"/>
              <w:bottom w:val="nil"/>
              <w:end w:val="nil"/>
            </w:tcBorders>
            <w:shd w:val="clear" w:color="auto" w:fill="auto"/>
            <w:noWrap/>
            <w:vAlign w:val="bottom"/>
            <w:hideMark/>
          </w:tcPr>
          <w:p w14:paraId="7BB1232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47.1%</w:t>
            </w:r>
          </w:p>
        </w:tc>
        <w:tc>
          <w:tcPr>
            <w:tcW w:w="41.35pt" w:type="dxa"/>
            <w:tcBorders>
              <w:top w:val="nil"/>
              <w:start w:val="nil"/>
              <w:bottom w:val="nil"/>
              <w:end w:val="nil"/>
            </w:tcBorders>
            <w:shd w:val="clear" w:color="auto" w:fill="auto"/>
            <w:noWrap/>
            <w:vAlign w:val="bottom"/>
            <w:hideMark/>
          </w:tcPr>
          <w:p w14:paraId="559EC82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28.8%</w:t>
            </w:r>
          </w:p>
        </w:tc>
        <w:tc>
          <w:tcPr>
            <w:tcW w:w="50.60pt" w:type="dxa"/>
            <w:tcBorders>
              <w:top w:val="nil"/>
              <w:start w:val="nil"/>
              <w:bottom w:val="nil"/>
              <w:end w:val="nil"/>
            </w:tcBorders>
            <w:shd w:val="clear" w:color="auto" w:fill="auto"/>
            <w:noWrap/>
            <w:vAlign w:val="bottom"/>
            <w:hideMark/>
          </w:tcPr>
          <w:p w14:paraId="4771DF3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15.4%</w:t>
            </w:r>
          </w:p>
        </w:tc>
        <w:tc>
          <w:tcPr>
            <w:tcW w:w="42.50pt" w:type="dxa"/>
            <w:tcBorders>
              <w:top w:val="nil"/>
              <w:start w:val="nil"/>
              <w:bottom w:val="nil"/>
              <w:end w:val="nil"/>
            </w:tcBorders>
            <w:shd w:val="clear" w:color="auto" w:fill="auto"/>
            <w:noWrap/>
            <w:vAlign w:val="bottom"/>
            <w:hideMark/>
          </w:tcPr>
          <w:p w14:paraId="768DAA7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4.8%</w:t>
            </w:r>
          </w:p>
        </w:tc>
        <w:tc>
          <w:tcPr>
            <w:tcW w:w="42.55pt" w:type="dxa"/>
            <w:tcBorders>
              <w:top w:val="nil"/>
              <w:start w:val="nil"/>
              <w:bottom w:val="nil"/>
              <w:end w:val="nil"/>
            </w:tcBorders>
            <w:shd w:val="clear" w:color="auto" w:fill="auto"/>
            <w:noWrap/>
            <w:vAlign w:val="bottom"/>
            <w:hideMark/>
          </w:tcPr>
          <w:p w14:paraId="33D1240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3.8%</w:t>
            </w:r>
          </w:p>
        </w:tc>
      </w:tr>
      <w:tr w:rsidR="00A77754" w:rsidRPr="00206EC9" w14:paraId="67171DE1"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09704647"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Talking about my research with other people</w:t>
            </w:r>
          </w:p>
        </w:tc>
        <w:tc>
          <w:tcPr>
            <w:tcW w:w="54.40pt" w:type="dxa"/>
            <w:tcBorders>
              <w:top w:val="nil"/>
              <w:start w:val="single" w:sz="4" w:space="0" w:color="auto"/>
              <w:bottom w:val="nil"/>
              <w:end w:val="nil"/>
            </w:tcBorders>
            <w:shd w:val="clear" w:color="auto" w:fill="auto"/>
            <w:noWrap/>
            <w:vAlign w:val="bottom"/>
            <w:hideMark/>
          </w:tcPr>
          <w:p w14:paraId="3344DA8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9.6%</w:t>
            </w:r>
          </w:p>
        </w:tc>
        <w:tc>
          <w:tcPr>
            <w:tcW w:w="51.15pt" w:type="dxa"/>
            <w:tcBorders>
              <w:top w:val="nil"/>
              <w:start w:val="nil"/>
              <w:bottom w:val="nil"/>
              <w:end w:val="nil"/>
            </w:tcBorders>
            <w:shd w:val="clear" w:color="auto" w:fill="auto"/>
            <w:noWrap/>
            <w:vAlign w:val="bottom"/>
            <w:hideMark/>
          </w:tcPr>
          <w:p w14:paraId="7381150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26.9%</w:t>
            </w:r>
          </w:p>
        </w:tc>
        <w:tc>
          <w:tcPr>
            <w:tcW w:w="55.20pt" w:type="dxa"/>
            <w:tcBorders>
              <w:top w:val="nil"/>
              <w:start w:val="nil"/>
              <w:bottom w:val="nil"/>
              <w:end w:val="nil"/>
            </w:tcBorders>
            <w:shd w:val="clear" w:color="auto" w:fill="auto"/>
            <w:noWrap/>
            <w:vAlign w:val="bottom"/>
            <w:hideMark/>
          </w:tcPr>
          <w:p w14:paraId="3A0FDA0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18.3%</w:t>
            </w:r>
          </w:p>
        </w:tc>
        <w:tc>
          <w:tcPr>
            <w:tcW w:w="56.70pt" w:type="dxa"/>
            <w:tcBorders>
              <w:top w:val="nil"/>
              <w:start w:val="nil"/>
              <w:bottom w:val="nil"/>
              <w:end w:val="nil"/>
            </w:tcBorders>
            <w:shd w:val="clear" w:color="auto" w:fill="auto"/>
            <w:noWrap/>
            <w:vAlign w:val="bottom"/>
            <w:hideMark/>
          </w:tcPr>
          <w:p w14:paraId="0D2AF79D"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15.4%</w:t>
            </w:r>
          </w:p>
        </w:tc>
        <w:tc>
          <w:tcPr>
            <w:tcW w:w="52.15pt" w:type="dxa"/>
            <w:tcBorders>
              <w:top w:val="nil"/>
              <w:start w:val="nil"/>
              <w:bottom w:val="nil"/>
              <w:end w:val="single" w:sz="4" w:space="0" w:color="auto"/>
            </w:tcBorders>
            <w:shd w:val="clear" w:color="auto" w:fill="auto"/>
            <w:noWrap/>
            <w:vAlign w:val="bottom"/>
            <w:hideMark/>
          </w:tcPr>
          <w:p w14:paraId="4469EBB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29.8%</w:t>
            </w:r>
          </w:p>
        </w:tc>
        <w:tc>
          <w:tcPr>
            <w:tcW w:w="54.35pt" w:type="dxa"/>
            <w:tcBorders>
              <w:top w:val="nil"/>
              <w:start w:val="single" w:sz="4" w:space="0" w:color="auto"/>
              <w:bottom w:val="nil"/>
              <w:end w:val="nil"/>
            </w:tcBorders>
            <w:shd w:val="clear" w:color="auto" w:fill="auto"/>
            <w:noWrap/>
            <w:vAlign w:val="bottom"/>
            <w:hideMark/>
          </w:tcPr>
          <w:p w14:paraId="2E83E53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21.2%</w:t>
            </w:r>
          </w:p>
        </w:tc>
        <w:tc>
          <w:tcPr>
            <w:tcW w:w="41.35pt" w:type="dxa"/>
            <w:tcBorders>
              <w:top w:val="nil"/>
              <w:start w:val="nil"/>
              <w:bottom w:val="nil"/>
              <w:end w:val="nil"/>
            </w:tcBorders>
            <w:shd w:val="clear" w:color="auto" w:fill="auto"/>
            <w:noWrap/>
            <w:vAlign w:val="bottom"/>
            <w:hideMark/>
          </w:tcPr>
          <w:p w14:paraId="14FCD80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23.1%</w:t>
            </w:r>
          </w:p>
        </w:tc>
        <w:tc>
          <w:tcPr>
            <w:tcW w:w="50.60pt" w:type="dxa"/>
            <w:tcBorders>
              <w:top w:val="nil"/>
              <w:start w:val="nil"/>
              <w:bottom w:val="nil"/>
              <w:end w:val="nil"/>
            </w:tcBorders>
            <w:shd w:val="clear" w:color="auto" w:fill="auto"/>
            <w:noWrap/>
            <w:vAlign w:val="bottom"/>
            <w:hideMark/>
          </w:tcPr>
          <w:p w14:paraId="42F9549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26.0%</w:t>
            </w:r>
          </w:p>
        </w:tc>
        <w:tc>
          <w:tcPr>
            <w:tcW w:w="42.50pt" w:type="dxa"/>
            <w:tcBorders>
              <w:top w:val="nil"/>
              <w:start w:val="nil"/>
              <w:bottom w:val="nil"/>
              <w:end w:val="nil"/>
            </w:tcBorders>
            <w:shd w:val="clear" w:color="auto" w:fill="auto"/>
            <w:noWrap/>
            <w:vAlign w:val="bottom"/>
            <w:hideMark/>
          </w:tcPr>
          <w:p w14:paraId="722F3E4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17.3%</w:t>
            </w:r>
          </w:p>
        </w:tc>
        <w:tc>
          <w:tcPr>
            <w:tcW w:w="42.55pt" w:type="dxa"/>
            <w:tcBorders>
              <w:top w:val="nil"/>
              <w:start w:val="nil"/>
              <w:bottom w:val="nil"/>
              <w:end w:val="nil"/>
            </w:tcBorders>
            <w:shd w:val="clear" w:color="auto" w:fill="auto"/>
            <w:noWrap/>
            <w:vAlign w:val="bottom"/>
            <w:hideMark/>
          </w:tcPr>
          <w:p w14:paraId="1976368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12.5%</w:t>
            </w:r>
          </w:p>
        </w:tc>
      </w:tr>
      <w:tr w:rsidR="00A77754" w:rsidRPr="00206EC9" w14:paraId="726B053C"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7CE22118"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Researching in groups (multidisciplinary)</w:t>
            </w:r>
          </w:p>
        </w:tc>
        <w:tc>
          <w:tcPr>
            <w:tcW w:w="54.40pt" w:type="dxa"/>
            <w:tcBorders>
              <w:top w:val="nil"/>
              <w:start w:val="single" w:sz="4" w:space="0" w:color="auto"/>
              <w:bottom w:val="nil"/>
              <w:end w:val="nil"/>
            </w:tcBorders>
            <w:shd w:val="clear" w:color="auto" w:fill="auto"/>
            <w:noWrap/>
            <w:vAlign w:val="bottom"/>
            <w:hideMark/>
          </w:tcPr>
          <w:p w14:paraId="0A1C863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c>
          <w:tcPr>
            <w:tcW w:w="51.15pt" w:type="dxa"/>
            <w:tcBorders>
              <w:top w:val="nil"/>
              <w:start w:val="nil"/>
              <w:bottom w:val="nil"/>
              <w:end w:val="nil"/>
            </w:tcBorders>
            <w:shd w:val="clear" w:color="auto" w:fill="auto"/>
            <w:noWrap/>
            <w:vAlign w:val="bottom"/>
            <w:hideMark/>
          </w:tcPr>
          <w:p w14:paraId="0354ABA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4.8%</w:t>
            </w:r>
          </w:p>
        </w:tc>
        <w:tc>
          <w:tcPr>
            <w:tcW w:w="55.20pt" w:type="dxa"/>
            <w:tcBorders>
              <w:top w:val="nil"/>
              <w:start w:val="nil"/>
              <w:bottom w:val="nil"/>
              <w:end w:val="nil"/>
            </w:tcBorders>
            <w:shd w:val="clear" w:color="auto" w:fill="auto"/>
            <w:noWrap/>
            <w:vAlign w:val="bottom"/>
            <w:hideMark/>
          </w:tcPr>
          <w:p w14:paraId="6249820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30.8%</w:t>
            </w:r>
          </w:p>
        </w:tc>
        <w:tc>
          <w:tcPr>
            <w:tcW w:w="56.70pt" w:type="dxa"/>
            <w:tcBorders>
              <w:top w:val="nil"/>
              <w:start w:val="nil"/>
              <w:bottom w:val="nil"/>
              <w:end w:val="nil"/>
            </w:tcBorders>
            <w:shd w:val="clear" w:color="auto" w:fill="auto"/>
            <w:noWrap/>
            <w:vAlign w:val="bottom"/>
            <w:hideMark/>
          </w:tcPr>
          <w:p w14:paraId="390D288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21.2%</w:t>
            </w:r>
          </w:p>
        </w:tc>
        <w:tc>
          <w:tcPr>
            <w:tcW w:w="52.15pt" w:type="dxa"/>
            <w:tcBorders>
              <w:top w:val="nil"/>
              <w:start w:val="nil"/>
              <w:bottom w:val="nil"/>
              <w:end w:val="single" w:sz="4" w:space="0" w:color="auto"/>
            </w:tcBorders>
            <w:shd w:val="clear" w:color="auto" w:fill="auto"/>
            <w:noWrap/>
            <w:vAlign w:val="bottom"/>
            <w:hideMark/>
          </w:tcPr>
          <w:p w14:paraId="48D8641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36.5%</w:t>
            </w:r>
          </w:p>
        </w:tc>
        <w:tc>
          <w:tcPr>
            <w:tcW w:w="54.35pt" w:type="dxa"/>
            <w:tcBorders>
              <w:top w:val="nil"/>
              <w:start w:val="single" w:sz="4" w:space="0" w:color="auto"/>
              <w:bottom w:val="nil"/>
              <w:end w:val="nil"/>
            </w:tcBorders>
            <w:shd w:val="clear" w:color="auto" w:fill="auto"/>
            <w:noWrap/>
            <w:vAlign w:val="bottom"/>
            <w:hideMark/>
          </w:tcPr>
          <w:p w14:paraId="30847DC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26.9%</w:t>
            </w:r>
          </w:p>
        </w:tc>
        <w:tc>
          <w:tcPr>
            <w:tcW w:w="41.35pt" w:type="dxa"/>
            <w:tcBorders>
              <w:top w:val="nil"/>
              <w:start w:val="nil"/>
              <w:bottom w:val="nil"/>
              <w:end w:val="nil"/>
            </w:tcBorders>
            <w:shd w:val="clear" w:color="auto" w:fill="auto"/>
            <w:noWrap/>
            <w:vAlign w:val="bottom"/>
            <w:hideMark/>
          </w:tcPr>
          <w:p w14:paraId="65DB0B3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27.9%</w:t>
            </w:r>
          </w:p>
        </w:tc>
        <w:tc>
          <w:tcPr>
            <w:tcW w:w="50.60pt" w:type="dxa"/>
            <w:tcBorders>
              <w:top w:val="nil"/>
              <w:start w:val="nil"/>
              <w:bottom w:val="nil"/>
              <w:end w:val="nil"/>
            </w:tcBorders>
            <w:shd w:val="clear" w:color="auto" w:fill="auto"/>
            <w:noWrap/>
            <w:vAlign w:val="bottom"/>
            <w:hideMark/>
          </w:tcPr>
          <w:p w14:paraId="1F49625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25.0%</w:t>
            </w:r>
          </w:p>
        </w:tc>
        <w:tc>
          <w:tcPr>
            <w:tcW w:w="42.50pt" w:type="dxa"/>
            <w:tcBorders>
              <w:top w:val="nil"/>
              <w:start w:val="nil"/>
              <w:bottom w:val="nil"/>
              <w:end w:val="nil"/>
            </w:tcBorders>
            <w:shd w:val="clear" w:color="auto" w:fill="auto"/>
            <w:noWrap/>
            <w:vAlign w:val="bottom"/>
            <w:hideMark/>
          </w:tcPr>
          <w:p w14:paraId="5D4D9F81"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12.5%</w:t>
            </w:r>
          </w:p>
        </w:tc>
        <w:tc>
          <w:tcPr>
            <w:tcW w:w="42.55pt" w:type="dxa"/>
            <w:tcBorders>
              <w:top w:val="nil"/>
              <w:start w:val="nil"/>
              <w:bottom w:val="nil"/>
              <w:end w:val="nil"/>
            </w:tcBorders>
            <w:shd w:val="clear" w:color="auto" w:fill="auto"/>
            <w:noWrap/>
            <w:vAlign w:val="bottom"/>
            <w:hideMark/>
          </w:tcPr>
          <w:p w14:paraId="05ED0F27"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7.7%</w:t>
            </w:r>
          </w:p>
        </w:tc>
      </w:tr>
      <w:tr w:rsidR="00A77754" w:rsidRPr="00206EC9" w14:paraId="19E12D48"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0EB4C63C"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Researching individually</w:t>
            </w:r>
          </w:p>
        </w:tc>
        <w:tc>
          <w:tcPr>
            <w:tcW w:w="54.40pt" w:type="dxa"/>
            <w:tcBorders>
              <w:top w:val="nil"/>
              <w:start w:val="single" w:sz="4" w:space="0" w:color="auto"/>
              <w:bottom w:val="nil"/>
              <w:end w:val="nil"/>
            </w:tcBorders>
            <w:shd w:val="clear" w:color="auto" w:fill="auto"/>
            <w:noWrap/>
            <w:vAlign w:val="bottom"/>
            <w:hideMark/>
          </w:tcPr>
          <w:p w14:paraId="4825B3F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8.7%</w:t>
            </w:r>
          </w:p>
        </w:tc>
        <w:tc>
          <w:tcPr>
            <w:tcW w:w="51.15pt" w:type="dxa"/>
            <w:tcBorders>
              <w:top w:val="nil"/>
              <w:start w:val="nil"/>
              <w:bottom w:val="nil"/>
              <w:end w:val="nil"/>
            </w:tcBorders>
            <w:shd w:val="clear" w:color="auto" w:fill="auto"/>
            <w:noWrap/>
            <w:vAlign w:val="bottom"/>
            <w:hideMark/>
          </w:tcPr>
          <w:p w14:paraId="69756E6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30.8%</w:t>
            </w:r>
          </w:p>
        </w:tc>
        <w:tc>
          <w:tcPr>
            <w:tcW w:w="55.20pt" w:type="dxa"/>
            <w:tcBorders>
              <w:top w:val="nil"/>
              <w:start w:val="nil"/>
              <w:bottom w:val="nil"/>
              <w:end w:val="nil"/>
            </w:tcBorders>
            <w:shd w:val="clear" w:color="auto" w:fill="auto"/>
            <w:noWrap/>
            <w:vAlign w:val="bottom"/>
            <w:hideMark/>
          </w:tcPr>
          <w:p w14:paraId="591972A8"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5.8%</w:t>
            </w:r>
          </w:p>
        </w:tc>
        <w:tc>
          <w:tcPr>
            <w:tcW w:w="56.70pt" w:type="dxa"/>
            <w:tcBorders>
              <w:top w:val="nil"/>
              <w:start w:val="nil"/>
              <w:bottom w:val="nil"/>
              <w:end w:val="nil"/>
            </w:tcBorders>
            <w:shd w:val="clear" w:color="auto" w:fill="auto"/>
            <w:noWrap/>
            <w:vAlign w:val="bottom"/>
            <w:hideMark/>
          </w:tcPr>
          <w:p w14:paraId="40507FE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20.2%</w:t>
            </w:r>
          </w:p>
        </w:tc>
        <w:tc>
          <w:tcPr>
            <w:tcW w:w="52.15pt" w:type="dxa"/>
            <w:tcBorders>
              <w:top w:val="nil"/>
              <w:start w:val="nil"/>
              <w:bottom w:val="nil"/>
              <w:end w:val="single" w:sz="4" w:space="0" w:color="auto"/>
            </w:tcBorders>
            <w:shd w:val="clear" w:color="auto" w:fill="auto"/>
            <w:noWrap/>
            <w:vAlign w:val="bottom"/>
            <w:hideMark/>
          </w:tcPr>
          <w:p w14:paraId="6B48B2B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34.6%</w:t>
            </w:r>
          </w:p>
        </w:tc>
        <w:tc>
          <w:tcPr>
            <w:tcW w:w="54.35pt" w:type="dxa"/>
            <w:tcBorders>
              <w:top w:val="nil"/>
              <w:start w:val="single" w:sz="4" w:space="0" w:color="auto"/>
              <w:bottom w:val="nil"/>
              <w:end w:val="nil"/>
            </w:tcBorders>
            <w:shd w:val="clear" w:color="auto" w:fill="auto"/>
            <w:noWrap/>
            <w:vAlign w:val="bottom"/>
            <w:hideMark/>
          </w:tcPr>
          <w:p w14:paraId="5EFBF2FC"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29.8%</w:t>
            </w:r>
          </w:p>
        </w:tc>
        <w:tc>
          <w:tcPr>
            <w:tcW w:w="41.35pt" w:type="dxa"/>
            <w:tcBorders>
              <w:top w:val="nil"/>
              <w:start w:val="nil"/>
              <w:bottom w:val="nil"/>
              <w:end w:val="nil"/>
            </w:tcBorders>
            <w:shd w:val="clear" w:color="auto" w:fill="auto"/>
            <w:noWrap/>
            <w:vAlign w:val="bottom"/>
            <w:hideMark/>
          </w:tcPr>
          <w:p w14:paraId="02A5A0D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22.1%</w:t>
            </w:r>
          </w:p>
        </w:tc>
        <w:tc>
          <w:tcPr>
            <w:tcW w:w="50.60pt" w:type="dxa"/>
            <w:tcBorders>
              <w:top w:val="nil"/>
              <w:start w:val="nil"/>
              <w:bottom w:val="nil"/>
              <w:end w:val="nil"/>
            </w:tcBorders>
            <w:shd w:val="clear" w:color="auto" w:fill="auto"/>
            <w:noWrap/>
            <w:vAlign w:val="bottom"/>
            <w:hideMark/>
          </w:tcPr>
          <w:p w14:paraId="271906AB"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28.8%</w:t>
            </w:r>
          </w:p>
        </w:tc>
        <w:tc>
          <w:tcPr>
            <w:tcW w:w="42.50pt" w:type="dxa"/>
            <w:tcBorders>
              <w:top w:val="nil"/>
              <w:start w:val="nil"/>
              <w:bottom w:val="nil"/>
              <w:end w:val="nil"/>
            </w:tcBorders>
            <w:shd w:val="clear" w:color="auto" w:fill="auto"/>
            <w:noWrap/>
            <w:vAlign w:val="bottom"/>
            <w:hideMark/>
          </w:tcPr>
          <w:p w14:paraId="06219370"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11.5%</w:t>
            </w:r>
          </w:p>
        </w:tc>
        <w:tc>
          <w:tcPr>
            <w:tcW w:w="42.55pt" w:type="dxa"/>
            <w:tcBorders>
              <w:top w:val="nil"/>
              <w:start w:val="nil"/>
              <w:bottom w:val="nil"/>
              <w:end w:val="nil"/>
            </w:tcBorders>
            <w:shd w:val="clear" w:color="auto" w:fill="auto"/>
            <w:noWrap/>
            <w:vAlign w:val="bottom"/>
            <w:hideMark/>
          </w:tcPr>
          <w:p w14:paraId="5121D47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7.7%</w:t>
            </w:r>
          </w:p>
        </w:tc>
      </w:tr>
      <w:tr w:rsidR="00A77754" w:rsidRPr="00206EC9" w14:paraId="75474C19" w14:textId="77777777" w:rsidTr="004D0840">
        <w:trPr>
          <w:trHeight w:val="304"/>
        </w:trPr>
        <w:tc>
          <w:tcPr>
            <w:tcW w:w="144.05pt" w:type="dxa"/>
            <w:tcBorders>
              <w:top w:val="nil"/>
              <w:start w:val="nil"/>
              <w:bottom w:val="nil"/>
              <w:end w:val="single" w:sz="4" w:space="0" w:color="auto"/>
            </w:tcBorders>
            <w:shd w:val="clear" w:color="auto" w:fill="auto"/>
            <w:noWrap/>
            <w:vAlign w:val="bottom"/>
            <w:hideMark/>
          </w:tcPr>
          <w:p w14:paraId="6E92D847" w14:textId="77777777" w:rsidR="00A77754" w:rsidRPr="00206EC9" w:rsidRDefault="00A77754" w:rsidP="004D0840">
            <w:pPr>
              <w:spacing w:after="0pt" w:line="24pt" w:lineRule="auto"/>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Leading research teams</w:t>
            </w:r>
          </w:p>
        </w:tc>
        <w:tc>
          <w:tcPr>
            <w:tcW w:w="54.40pt" w:type="dxa"/>
            <w:tcBorders>
              <w:top w:val="nil"/>
              <w:start w:val="single" w:sz="4" w:space="0" w:color="auto"/>
              <w:bottom w:val="nil"/>
              <w:end w:val="nil"/>
            </w:tcBorders>
            <w:shd w:val="clear" w:color="auto" w:fill="auto"/>
            <w:noWrap/>
            <w:vAlign w:val="bottom"/>
            <w:hideMark/>
          </w:tcPr>
          <w:p w14:paraId="128013AE"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2.9%</w:t>
            </w:r>
          </w:p>
        </w:tc>
        <w:tc>
          <w:tcPr>
            <w:tcW w:w="51.15pt" w:type="dxa"/>
            <w:tcBorders>
              <w:top w:val="nil"/>
              <w:start w:val="nil"/>
              <w:bottom w:val="nil"/>
              <w:end w:val="nil"/>
            </w:tcBorders>
            <w:shd w:val="clear" w:color="auto" w:fill="auto"/>
            <w:noWrap/>
            <w:vAlign w:val="bottom"/>
            <w:hideMark/>
          </w:tcPr>
          <w:p w14:paraId="567FC5A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8.7%</w:t>
            </w:r>
          </w:p>
        </w:tc>
        <w:tc>
          <w:tcPr>
            <w:tcW w:w="55.20pt" w:type="dxa"/>
            <w:tcBorders>
              <w:top w:val="nil"/>
              <w:start w:val="nil"/>
              <w:bottom w:val="nil"/>
              <w:end w:val="nil"/>
            </w:tcBorders>
            <w:shd w:val="clear" w:color="auto" w:fill="auto"/>
            <w:noWrap/>
            <w:vAlign w:val="bottom"/>
            <w:hideMark/>
          </w:tcPr>
          <w:p w14:paraId="7ECEE139"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6.7%</w:t>
            </w:r>
          </w:p>
        </w:tc>
        <w:tc>
          <w:tcPr>
            <w:tcW w:w="56.70pt" w:type="dxa"/>
            <w:tcBorders>
              <w:top w:val="nil"/>
              <w:start w:val="nil"/>
              <w:bottom w:val="nil"/>
              <w:end w:val="nil"/>
            </w:tcBorders>
            <w:shd w:val="clear" w:color="auto" w:fill="auto"/>
            <w:noWrap/>
            <w:vAlign w:val="bottom"/>
            <w:hideMark/>
          </w:tcPr>
          <w:p w14:paraId="61A33912"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19.2%</w:t>
            </w:r>
          </w:p>
        </w:tc>
        <w:tc>
          <w:tcPr>
            <w:tcW w:w="52.15pt" w:type="dxa"/>
            <w:tcBorders>
              <w:top w:val="nil"/>
              <w:start w:val="nil"/>
              <w:bottom w:val="nil"/>
              <w:end w:val="single" w:sz="4" w:space="0" w:color="auto"/>
            </w:tcBorders>
            <w:shd w:val="clear" w:color="auto" w:fill="auto"/>
            <w:noWrap/>
            <w:vAlign w:val="bottom"/>
            <w:hideMark/>
          </w:tcPr>
          <w:p w14:paraId="4DD160FF"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62.5%</w:t>
            </w:r>
          </w:p>
        </w:tc>
        <w:tc>
          <w:tcPr>
            <w:tcW w:w="54.35pt" w:type="dxa"/>
            <w:tcBorders>
              <w:top w:val="nil"/>
              <w:start w:val="single" w:sz="4" w:space="0" w:color="auto"/>
              <w:bottom w:val="nil"/>
              <w:end w:val="nil"/>
            </w:tcBorders>
            <w:shd w:val="clear" w:color="auto" w:fill="auto"/>
            <w:noWrap/>
            <w:vAlign w:val="bottom"/>
            <w:hideMark/>
          </w:tcPr>
          <w:p w14:paraId="74830155"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55.8%</w:t>
            </w:r>
          </w:p>
        </w:tc>
        <w:tc>
          <w:tcPr>
            <w:tcW w:w="41.35pt" w:type="dxa"/>
            <w:tcBorders>
              <w:top w:val="nil"/>
              <w:start w:val="nil"/>
              <w:bottom w:val="nil"/>
              <w:end w:val="nil"/>
            </w:tcBorders>
            <w:shd w:val="clear" w:color="auto" w:fill="auto"/>
            <w:noWrap/>
            <w:vAlign w:val="bottom"/>
            <w:hideMark/>
          </w:tcPr>
          <w:p w14:paraId="60D70CE4"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20.2%</w:t>
            </w:r>
          </w:p>
        </w:tc>
        <w:tc>
          <w:tcPr>
            <w:tcW w:w="50.60pt" w:type="dxa"/>
            <w:tcBorders>
              <w:top w:val="nil"/>
              <w:start w:val="nil"/>
              <w:bottom w:val="nil"/>
              <w:end w:val="nil"/>
            </w:tcBorders>
            <w:shd w:val="clear" w:color="auto" w:fill="auto"/>
            <w:noWrap/>
            <w:vAlign w:val="bottom"/>
            <w:hideMark/>
          </w:tcPr>
          <w:p w14:paraId="35168023"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17.3%</w:t>
            </w:r>
          </w:p>
        </w:tc>
        <w:tc>
          <w:tcPr>
            <w:tcW w:w="42.50pt" w:type="dxa"/>
            <w:tcBorders>
              <w:top w:val="nil"/>
              <w:start w:val="nil"/>
              <w:bottom w:val="nil"/>
              <w:end w:val="nil"/>
            </w:tcBorders>
            <w:shd w:val="clear" w:color="auto" w:fill="auto"/>
            <w:noWrap/>
            <w:vAlign w:val="bottom"/>
            <w:hideMark/>
          </w:tcPr>
          <w:p w14:paraId="3B3E9B7A"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5.8%</w:t>
            </w:r>
          </w:p>
        </w:tc>
        <w:tc>
          <w:tcPr>
            <w:tcW w:w="42.55pt" w:type="dxa"/>
            <w:tcBorders>
              <w:top w:val="nil"/>
              <w:start w:val="nil"/>
              <w:bottom w:val="nil"/>
              <w:end w:val="nil"/>
            </w:tcBorders>
            <w:shd w:val="clear" w:color="auto" w:fill="auto"/>
            <w:noWrap/>
            <w:vAlign w:val="bottom"/>
            <w:hideMark/>
          </w:tcPr>
          <w:p w14:paraId="6BDF6C36" w14:textId="77777777" w:rsidR="00A77754" w:rsidRPr="00206EC9" w:rsidRDefault="00A77754" w:rsidP="004D0840">
            <w:pPr>
              <w:spacing w:after="0pt" w:line="24pt" w:lineRule="auto"/>
              <w:jc w:val="center"/>
              <w:rPr>
                <w:rFonts w:ascii="Calibri" w:eastAsia="Times New Roman" w:hAnsi="Calibri" w:cs="Calibri"/>
                <w:color w:val="000000"/>
                <w:sz w:val="18"/>
                <w:szCs w:val="18"/>
                <w:lang w:eastAsia="en-AU"/>
              </w:rPr>
            </w:pPr>
            <w:r w:rsidRPr="00206EC9">
              <w:rPr>
                <w:rFonts w:ascii="Calibri" w:eastAsia="Times New Roman" w:hAnsi="Calibri" w:cs="Calibri"/>
                <w:color w:val="000000"/>
                <w:sz w:val="18"/>
                <w:szCs w:val="18"/>
                <w:lang w:eastAsia="en-AU"/>
              </w:rPr>
              <w:t>1.0%</w:t>
            </w:r>
          </w:p>
        </w:tc>
      </w:tr>
    </w:tbl>
    <w:p w14:paraId="4B3F5E48" w14:textId="77777777" w:rsidR="00A77754" w:rsidRPr="00265081" w:rsidRDefault="00A77754" w:rsidP="00A77754">
      <w:pPr>
        <w:spacing w:line="24pt" w:lineRule="auto"/>
        <w:rPr>
          <w:rFonts w:ascii="Times New Roman" w:hAnsi="Times New Roman" w:cs="Times New Roman"/>
          <w:sz w:val="24"/>
          <w:szCs w:val="24"/>
        </w:rPr>
      </w:pPr>
    </w:p>
    <w:p w14:paraId="55AE227A" w14:textId="77777777" w:rsidR="00A91650" w:rsidRDefault="00A91650"/>
    <w:sectPr w:rsidR="00A91650" w:rsidSect="00A77754">
      <w:pgSz w:w="841.90pt" w:h="595.30pt" w:orient="landscape"/>
      <w:pgMar w:top="72pt" w:right="72pt" w:bottom="72pt" w:left="72pt" w:header="35.45pt" w:footer="35.45pt" w:gutter="0pt"/>
      <w:lnNumType w:countBy="1"/>
      <w:cols w:space="35.40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characterSet="iso-8859-1"/>
    <w:family w:val="swiss"/>
    <w:pitch w:val="variable"/>
    <w:sig w:usb0="20000287" w:usb1="00000003" w:usb2="0000000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ptos Display">
    <w:charset w:characterSet="iso-8859-1"/>
    <w:family w:val="swiss"/>
    <w:pitch w:val="variable"/>
    <w:sig w:usb0="20000287" w:usb1="00000003" w:usb2="00000000" w:usb3="00000000" w:csb0="0000019F" w:csb1="00000000"/>
  </w:font>
  <w:font w:name="Calibri">
    <w:panose1 w:val="020F0502020204030204"/>
    <w:charset w:characterSet="iso-8859-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754"/>
    <w:rsid w:val="000E2EDD"/>
    <w:rsid w:val="00A77754"/>
    <w:rsid w:val="00A91650"/>
    <w:rsid w:val="00E559FE"/>
    <w:rsid w:val="00E633FC"/>
    <w:rsid w:val="00EF52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A6ABCA4"/>
  <w15:chartTrackingRefBased/>
  <w15:docId w15:val="{C52103C0-5448-465E-9DA2-E8CA9A263D4E}"/>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8pt" w:line="13.90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754"/>
    <w:pPr>
      <w:spacing w:line="12.95pt" w:lineRule="auto"/>
    </w:pPr>
    <w:rPr>
      <w:kern w:val="0"/>
      <w:sz w:val="22"/>
      <w:szCs w:val="22"/>
      <w:lang w:val="en-AU"/>
      <w14:ligatures w14:val="none"/>
    </w:rPr>
  </w:style>
  <w:style w:type="paragraph" w:styleId="Heading1">
    <w:name w:val="heading 1"/>
    <w:basedOn w:val="Normal"/>
    <w:next w:val="Normal"/>
    <w:link w:val="Heading1Char"/>
    <w:uiPriority w:val="9"/>
    <w:qFormat/>
    <w:rsid w:val="00A77754"/>
    <w:pPr>
      <w:keepNext/>
      <w:keepLines/>
      <w:spacing w:before="18pt" w:after="4pt" w:line="13.90pt"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A77754"/>
    <w:pPr>
      <w:keepNext/>
      <w:keepLines/>
      <w:spacing w:before="8pt" w:after="4pt" w:line="13.90pt"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A77754"/>
    <w:pPr>
      <w:keepNext/>
      <w:keepLines/>
      <w:spacing w:before="8pt" w:after="4pt" w:line="13.90pt"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A77754"/>
    <w:pPr>
      <w:keepNext/>
      <w:keepLines/>
      <w:spacing w:before="4pt" w:after="2pt" w:line="13.90pt"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A77754"/>
    <w:pPr>
      <w:keepNext/>
      <w:keepLines/>
      <w:spacing w:before="4pt" w:after="2pt" w:line="13.90pt"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A77754"/>
    <w:pPr>
      <w:keepNext/>
      <w:keepLines/>
      <w:spacing w:before="2pt" w:after="0pt" w:line="13.90pt"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A77754"/>
    <w:pPr>
      <w:keepNext/>
      <w:keepLines/>
      <w:spacing w:before="2pt" w:after="0pt" w:line="13.90pt"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A77754"/>
    <w:pPr>
      <w:keepNext/>
      <w:keepLines/>
      <w:spacing w:after="0pt" w:line="13.90pt"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A77754"/>
    <w:pPr>
      <w:keepNext/>
      <w:keepLines/>
      <w:spacing w:after="0pt" w:line="13.90pt"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7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77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77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77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77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77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77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77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7754"/>
    <w:rPr>
      <w:rFonts w:eastAsiaTheme="majorEastAsia" w:cstheme="majorBidi"/>
      <w:color w:val="272727" w:themeColor="text1" w:themeTint="D8"/>
    </w:rPr>
  </w:style>
  <w:style w:type="paragraph" w:styleId="Title">
    <w:name w:val="Title"/>
    <w:basedOn w:val="Normal"/>
    <w:next w:val="Normal"/>
    <w:link w:val="TitleChar"/>
    <w:uiPriority w:val="10"/>
    <w:qFormat/>
    <w:rsid w:val="00A77754"/>
    <w:pPr>
      <w:spacing w:after="4pt" w:line="12pt"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A777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7754"/>
    <w:pPr>
      <w:numPr>
        <w:ilvl w:val="1"/>
      </w:numPr>
      <w:spacing w:line="13.90pt"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A777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7754"/>
    <w:pPr>
      <w:spacing w:before="8pt" w:line="13.90pt"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A77754"/>
    <w:rPr>
      <w:i/>
      <w:iCs/>
      <w:color w:val="404040" w:themeColor="text1" w:themeTint="BF"/>
    </w:rPr>
  </w:style>
  <w:style w:type="paragraph" w:styleId="ListParagraph">
    <w:name w:val="List Paragraph"/>
    <w:basedOn w:val="Normal"/>
    <w:uiPriority w:val="34"/>
    <w:qFormat/>
    <w:rsid w:val="00A77754"/>
    <w:pPr>
      <w:spacing w:line="13.90pt" w:lineRule="auto"/>
      <w:ind w:start="36pt"/>
      <w:contextualSpacing/>
    </w:pPr>
    <w:rPr>
      <w:kern w:val="2"/>
      <w:sz w:val="24"/>
      <w:szCs w:val="24"/>
      <w:lang w:val="en-IN"/>
      <w14:ligatures w14:val="standardContextual"/>
    </w:rPr>
  </w:style>
  <w:style w:type="character" w:styleId="IntenseEmphasis">
    <w:name w:val="Intense Emphasis"/>
    <w:basedOn w:val="DefaultParagraphFont"/>
    <w:uiPriority w:val="21"/>
    <w:qFormat/>
    <w:rsid w:val="00A77754"/>
    <w:rPr>
      <w:i/>
      <w:iCs/>
      <w:color w:val="0F4761" w:themeColor="accent1" w:themeShade="BF"/>
    </w:rPr>
  </w:style>
  <w:style w:type="paragraph" w:styleId="IntenseQuote">
    <w:name w:val="Intense Quote"/>
    <w:basedOn w:val="Normal"/>
    <w:next w:val="Normal"/>
    <w:link w:val="IntenseQuoteChar"/>
    <w:uiPriority w:val="30"/>
    <w:qFormat/>
    <w:rsid w:val="00A77754"/>
    <w:pPr>
      <w:pBdr>
        <w:top w:val="single" w:sz="4" w:space="10" w:color="0F4761" w:themeColor="accent1" w:themeShade="BF"/>
        <w:bottom w:val="single" w:sz="4" w:space="10" w:color="0F4761" w:themeColor="accent1" w:themeShade="BF"/>
      </w:pBdr>
      <w:spacing w:before="18pt" w:after="18pt" w:line="13.90pt" w:lineRule="auto"/>
      <w:ind w:start="43.20pt" w:end="43.20pt"/>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A77754"/>
    <w:rPr>
      <w:i/>
      <w:iCs/>
      <w:color w:val="0F4761" w:themeColor="accent1" w:themeShade="BF"/>
    </w:rPr>
  </w:style>
  <w:style w:type="character" w:styleId="IntenseReference">
    <w:name w:val="Intense Reference"/>
    <w:basedOn w:val="DefaultParagraphFont"/>
    <w:uiPriority w:val="32"/>
    <w:qFormat/>
    <w:rsid w:val="00A77754"/>
    <w:rPr>
      <w:b/>
      <w:bCs/>
      <w:smallCaps/>
      <w:color w:val="0F4761" w:themeColor="accent1" w:themeShade="BF"/>
      <w:spacing w:val="5"/>
    </w:rPr>
  </w:style>
  <w:style w:type="character" w:customStyle="1" w:styleId="normaltextrun">
    <w:name w:val="normaltextrun"/>
    <w:basedOn w:val="DefaultParagraphFont"/>
    <w:rsid w:val="00A77754"/>
  </w:style>
  <w:style w:type="character" w:styleId="LineNumber">
    <w:name w:val="line number"/>
    <w:basedOn w:val="DefaultParagraphFont"/>
    <w:uiPriority w:val="99"/>
    <w:semiHidden/>
    <w:unhideWhenUsed/>
    <w:rsid w:val="00A77754"/>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purl.oclc.org/ooxml/officeDocument/relationships/webSettings" Target="webSettings.xml"/><Relationship Id="rId7" Type="http://purl.oclc.org/ooxml/officeDocument/relationships/theme" Target="theme/theme1.xml"/><Relationship Id="rId2" Type="http://purl.oclc.org/ooxml/officeDocument/relationships/settings" Target="settings.xml"/><Relationship Id="rId1" Type="http://purl.oclc.org/ooxml/officeDocument/relationships/styles" Target="styles.xml"/><Relationship Id="rId6" Type="http://purl.oclc.org/ooxml/officeDocument/relationships/fontTable" Target="fontTable.xml"/><Relationship Id="rId5" Type="http://purl.oclc.org/ooxml/officeDocument/relationships/chart" Target="charts/chart2.xml"/><Relationship Id="rId4" Type="http://purl.oclc.org/ooxml/officeDocument/relationships/chart" Target="charts/chart1.xml"/></Relationships>
</file>

<file path=word/charts/_rels/chart1.xml.rels><?xml version="1.0" encoding="UTF-8" standalone="yes"?>
<Relationships xmlns="http://schemas.openxmlformats.org/package/2006/relationships"><Relationship Id="rId3" Type="http://purl.oclc.org/ooxml/officeDocument/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purl.oclc.org/ooxml/officeDocument/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purl.oclc.org/ooxml/drawingml/chart" xmlns:a="http://purl.oclc.org/ooxml/drawingml/main" xmlns:r="http://purl.oclc.org/ooxml/officeDocument/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Sheet1!$B$2</c:f>
              <c:strCache>
                <c:ptCount val="1"/>
                <c:pt idx="0">
                  <c:v>2010</c:v>
                </c:pt>
              </c:strCache>
            </c:strRef>
          </c:tx>
          <c:spPr>
            <a:solidFill>
              <a:schemeClr val="accent2"/>
            </a:solidFill>
            <a:ln>
              <a:noFill/>
            </a:ln>
            <a:effectLst/>
          </c:spPr>
          <c:invertIfNegative val="0"/>
          <c:cat>
            <c:strRef>
              <c:f>Sheet1!$A$3:$A$16</c:f>
              <c:strCache>
                <c:ptCount val="14"/>
                <c:pt idx="0">
                  <c:v>Search literature</c:v>
                </c:pt>
                <c:pt idx="1">
                  <c:v>Review literature</c:v>
                </c:pt>
                <c:pt idx="2">
                  <c:v>Write literature review</c:v>
                </c:pt>
                <c:pt idx="3">
                  <c:v>Generate questions</c:v>
                </c:pt>
                <c:pt idx="4">
                  <c:v>Develop questions</c:v>
                </c:pt>
                <c:pt idx="5">
                  <c:v>Write protocol</c:v>
                </c:pt>
                <c:pt idx="6">
                  <c:v>Apply for funding</c:v>
                </c:pt>
                <c:pt idx="7">
                  <c:v>Apply for ethics</c:v>
                </c:pt>
                <c:pt idx="8">
                  <c:v>Qualitative</c:v>
                </c:pt>
                <c:pt idx="9">
                  <c:v>Quantitative</c:v>
                </c:pt>
                <c:pt idx="10">
                  <c:v>Analysis</c:v>
                </c:pt>
                <c:pt idx="11">
                  <c:v>Write research report</c:v>
                </c:pt>
                <c:pt idx="12">
                  <c:v>Present at conference</c:v>
                </c:pt>
                <c:pt idx="13">
                  <c:v>Publish</c:v>
                </c:pt>
              </c:strCache>
            </c:strRef>
          </c:cat>
          <c:val>
            <c:numRef>
              <c:f>Sheet1!$B$3:$B$16</c:f>
              <c:numCache>
                <c:formatCode>General</c:formatCode>
                <c:ptCount val="14"/>
                <c:pt idx="0">
                  <c:v>57</c:v>
                </c:pt>
                <c:pt idx="1">
                  <c:v>43</c:v>
                </c:pt>
                <c:pt idx="2">
                  <c:v>25</c:v>
                </c:pt>
                <c:pt idx="3">
                  <c:v>15</c:v>
                </c:pt>
                <c:pt idx="4">
                  <c:v>14</c:v>
                </c:pt>
                <c:pt idx="5">
                  <c:v>11</c:v>
                </c:pt>
                <c:pt idx="6">
                  <c:v>5</c:v>
                </c:pt>
                <c:pt idx="7">
                  <c:v>9</c:v>
                </c:pt>
                <c:pt idx="8">
                  <c:v>12</c:v>
                </c:pt>
                <c:pt idx="9">
                  <c:v>15</c:v>
                </c:pt>
                <c:pt idx="10">
                  <c:v>14</c:v>
                </c:pt>
                <c:pt idx="11">
                  <c:v>16</c:v>
                </c:pt>
                <c:pt idx="12">
                  <c:v>15</c:v>
                </c:pt>
                <c:pt idx="13">
                  <c:v>3</c:v>
                </c:pt>
              </c:numCache>
            </c:numRef>
          </c:val>
          <c:extLst>
            <c:ext xmlns:c16="http://schemas.microsoft.com/office/drawing/2014/chart" uri="{C3380CC4-5D6E-409C-BE32-E72D297353CC}">
              <c16:uniqueId val="{00000000-0688-4B4B-A8E9-A2195CE72D95}"/>
            </c:ext>
          </c:extLst>
        </c:ser>
        <c:ser>
          <c:idx val="1"/>
          <c:order val="1"/>
          <c:tx>
            <c:strRef>
              <c:f>Sheet1!$C$2</c:f>
              <c:strCache>
                <c:ptCount val="1"/>
                <c:pt idx="0">
                  <c:v>2015</c:v>
                </c:pt>
              </c:strCache>
            </c:strRef>
          </c:tx>
          <c:spPr>
            <a:solidFill>
              <a:schemeClr val="accent6"/>
            </a:solidFill>
            <a:ln>
              <a:noFill/>
            </a:ln>
            <a:effectLst/>
          </c:spPr>
          <c:invertIfNegative val="0"/>
          <c:cat>
            <c:strRef>
              <c:f>Sheet1!$A$3:$A$16</c:f>
              <c:strCache>
                <c:ptCount val="14"/>
                <c:pt idx="0">
                  <c:v>Search literature</c:v>
                </c:pt>
                <c:pt idx="1">
                  <c:v>Review literature</c:v>
                </c:pt>
                <c:pt idx="2">
                  <c:v>Write literature review</c:v>
                </c:pt>
                <c:pt idx="3">
                  <c:v>Generate questions</c:v>
                </c:pt>
                <c:pt idx="4">
                  <c:v>Develop questions</c:v>
                </c:pt>
                <c:pt idx="5">
                  <c:v>Write protocol</c:v>
                </c:pt>
                <c:pt idx="6">
                  <c:v>Apply for funding</c:v>
                </c:pt>
                <c:pt idx="7">
                  <c:v>Apply for ethics</c:v>
                </c:pt>
                <c:pt idx="8">
                  <c:v>Qualitative</c:v>
                </c:pt>
                <c:pt idx="9">
                  <c:v>Quantitative</c:v>
                </c:pt>
                <c:pt idx="10">
                  <c:v>Analysis</c:v>
                </c:pt>
                <c:pt idx="11">
                  <c:v>Write research report</c:v>
                </c:pt>
                <c:pt idx="12">
                  <c:v>Present at conference</c:v>
                </c:pt>
                <c:pt idx="13">
                  <c:v>Publish</c:v>
                </c:pt>
              </c:strCache>
            </c:strRef>
          </c:cat>
          <c:val>
            <c:numRef>
              <c:f>Sheet1!$C$3:$C$16</c:f>
              <c:numCache>
                <c:formatCode>General</c:formatCode>
                <c:ptCount val="14"/>
                <c:pt idx="0">
                  <c:v>60</c:v>
                </c:pt>
                <c:pt idx="1">
                  <c:v>44</c:v>
                </c:pt>
                <c:pt idx="2">
                  <c:v>33</c:v>
                </c:pt>
                <c:pt idx="3">
                  <c:v>24</c:v>
                </c:pt>
                <c:pt idx="4">
                  <c:v>20</c:v>
                </c:pt>
                <c:pt idx="5">
                  <c:v>16</c:v>
                </c:pt>
                <c:pt idx="6">
                  <c:v>10</c:v>
                </c:pt>
                <c:pt idx="7">
                  <c:v>12</c:v>
                </c:pt>
                <c:pt idx="8">
                  <c:v>13</c:v>
                </c:pt>
                <c:pt idx="9">
                  <c:v>21</c:v>
                </c:pt>
                <c:pt idx="10">
                  <c:v>20</c:v>
                </c:pt>
                <c:pt idx="11">
                  <c:v>20</c:v>
                </c:pt>
                <c:pt idx="12">
                  <c:v>21</c:v>
                </c:pt>
                <c:pt idx="13">
                  <c:v>7</c:v>
                </c:pt>
              </c:numCache>
            </c:numRef>
          </c:val>
          <c:extLst>
            <c:ext xmlns:c16="http://schemas.microsoft.com/office/drawing/2014/chart" uri="{C3380CC4-5D6E-409C-BE32-E72D297353CC}">
              <c16:uniqueId val="{00000001-0688-4B4B-A8E9-A2195CE72D95}"/>
            </c:ext>
          </c:extLst>
        </c:ser>
        <c:ser>
          <c:idx val="2"/>
          <c:order val="2"/>
          <c:tx>
            <c:strRef>
              <c:f>Sheet1!$D$2</c:f>
              <c:strCache>
                <c:ptCount val="1"/>
                <c:pt idx="0">
                  <c:v>2023</c:v>
                </c:pt>
              </c:strCache>
            </c:strRef>
          </c:tx>
          <c:spPr>
            <a:solidFill>
              <a:schemeClr val="accent1"/>
            </a:solidFill>
            <a:ln>
              <a:noFill/>
            </a:ln>
            <a:effectLst/>
          </c:spPr>
          <c:invertIfNegative val="0"/>
          <c:cat>
            <c:strRef>
              <c:f>Sheet1!$A$3:$A$16</c:f>
              <c:strCache>
                <c:ptCount val="14"/>
                <c:pt idx="0">
                  <c:v>Search literature</c:v>
                </c:pt>
                <c:pt idx="1">
                  <c:v>Review literature</c:v>
                </c:pt>
                <c:pt idx="2">
                  <c:v>Write literature review</c:v>
                </c:pt>
                <c:pt idx="3">
                  <c:v>Generate questions</c:v>
                </c:pt>
                <c:pt idx="4">
                  <c:v>Develop questions</c:v>
                </c:pt>
                <c:pt idx="5">
                  <c:v>Write protocol</c:v>
                </c:pt>
                <c:pt idx="6">
                  <c:v>Apply for funding</c:v>
                </c:pt>
                <c:pt idx="7">
                  <c:v>Apply for ethics</c:v>
                </c:pt>
                <c:pt idx="8">
                  <c:v>Qualitative</c:v>
                </c:pt>
                <c:pt idx="9">
                  <c:v>Quantitative</c:v>
                </c:pt>
                <c:pt idx="10">
                  <c:v>Analysis</c:v>
                </c:pt>
                <c:pt idx="11">
                  <c:v>Write research report</c:v>
                </c:pt>
                <c:pt idx="12">
                  <c:v>Present at conference</c:v>
                </c:pt>
                <c:pt idx="13">
                  <c:v>Publish</c:v>
                </c:pt>
              </c:strCache>
            </c:strRef>
          </c:cat>
          <c:val>
            <c:numRef>
              <c:f>Sheet1!$D$3:$D$16</c:f>
              <c:numCache>
                <c:formatCode>General</c:formatCode>
                <c:ptCount val="14"/>
                <c:pt idx="0">
                  <c:v>80</c:v>
                </c:pt>
                <c:pt idx="1">
                  <c:v>63</c:v>
                </c:pt>
                <c:pt idx="2">
                  <c:v>45</c:v>
                </c:pt>
                <c:pt idx="3">
                  <c:v>45</c:v>
                </c:pt>
                <c:pt idx="4">
                  <c:v>32</c:v>
                </c:pt>
                <c:pt idx="5">
                  <c:v>26</c:v>
                </c:pt>
                <c:pt idx="6">
                  <c:v>14</c:v>
                </c:pt>
                <c:pt idx="7">
                  <c:v>21</c:v>
                </c:pt>
                <c:pt idx="8">
                  <c:v>17</c:v>
                </c:pt>
                <c:pt idx="9">
                  <c:v>26</c:v>
                </c:pt>
                <c:pt idx="10">
                  <c:v>33</c:v>
                </c:pt>
                <c:pt idx="11">
                  <c:v>28</c:v>
                </c:pt>
                <c:pt idx="12">
                  <c:v>29</c:v>
                </c:pt>
                <c:pt idx="13">
                  <c:v>10</c:v>
                </c:pt>
              </c:numCache>
            </c:numRef>
          </c:val>
          <c:extLst>
            <c:ext xmlns:c16="http://schemas.microsoft.com/office/drawing/2014/chart" uri="{C3380CC4-5D6E-409C-BE32-E72D297353CC}">
              <c16:uniqueId val="{00000002-0688-4B4B-A8E9-A2195CE72D95}"/>
            </c:ext>
          </c:extLst>
        </c:ser>
        <c:dLbls>
          <c:showLegendKey val="0"/>
          <c:showVal val="0"/>
          <c:showCatName val="0"/>
          <c:showSerName val="0"/>
          <c:showPercent val="0"/>
          <c:showBubbleSize val="0"/>
        </c:dLbls>
        <c:gapWidth val="219"/>
        <c:overlap val="-27"/>
        <c:axId val="724517112"/>
        <c:axId val="724518424"/>
      </c:barChart>
      <c:catAx>
        <c:axId val="724517112"/>
        <c:scaling>
          <c:orientation val="minMax"/>
        </c:scaling>
        <c:delete val="0"/>
        <c:axPos val="b"/>
        <c:numFmt formatCode="General" sourceLinked="1"/>
        <c:majorTickMark val="none"/>
        <c:minorTickMark val="none"/>
        <c:tickLblPos val="nextTo"/>
        <c:spPr>
          <a:noFill/>
          <a:ln w="9525" cap="flat" cmpd="sng" algn="ctr">
            <a:solidFill>
              <a:schemeClr val="tx1">
                <a:lumMod val="15%"/>
                <a:lumOff val="85%"/>
              </a:schemeClr>
            </a:solidFill>
            <a:round/>
          </a:ln>
          <a:effectLst/>
        </c:spPr>
        <c:txPr>
          <a:bodyPr rot="-60000000" spcFirstLastPara="1" vertOverflow="ellipsis" vert="horz" wrap="square" anchor="ctr" anchorCtr="1"/>
          <a:lstStyle/>
          <a:p>
            <a:pPr>
              <a:defRPr sz="900" b="0" i="0" u="none" strike="noStrike" kern="1200" baseline="0%">
                <a:solidFill>
                  <a:schemeClr val="tx1">
                    <a:lumMod val="65%"/>
                    <a:lumOff val="35%"/>
                  </a:schemeClr>
                </a:solidFill>
                <a:latin typeface="+mn-lt"/>
                <a:ea typeface="+mn-ea"/>
                <a:cs typeface="+mn-cs"/>
              </a:defRPr>
            </a:pPr>
            <a:endParaRPr lang="en-US"/>
          </a:p>
        </c:txPr>
        <c:crossAx val="724518424"/>
        <c:crosses val="autoZero"/>
        <c:auto val="1"/>
        <c:lblAlgn val="ctr"/>
        <c:lblOffset val="100"/>
        <c:noMultiLvlLbl val="0"/>
      </c:catAx>
      <c:valAx>
        <c:axId val="724518424"/>
        <c:scaling>
          <c:orientation val="minMax"/>
        </c:scaling>
        <c:delete val="0"/>
        <c:axPos val="l"/>
        <c:majorGridlines>
          <c:spPr>
            <a:ln w="9525" cap="flat" cmpd="sng" algn="ctr">
              <a:solidFill>
                <a:schemeClr val="tx1">
                  <a:lumMod val="15%"/>
                  <a:lumOff val="85%"/>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
                    <a:lumOff val="35%"/>
                  </a:schemeClr>
                </a:solidFill>
                <a:latin typeface="+mn-lt"/>
                <a:ea typeface="+mn-ea"/>
                <a:cs typeface="+mn-cs"/>
              </a:defRPr>
            </a:pPr>
            <a:endParaRPr lang="en-US"/>
          </a:p>
        </c:txPr>
        <c:crossAx val="724517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
                  <a:lumOff val="35%"/>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
          <a:lumOff val="85%"/>
        </a:schemeClr>
      </a:solidFill>
      <a:round/>
    </a:ln>
    <a:effectLst/>
  </c:spPr>
  <c:txPr>
    <a:bodyPr/>
    <a:lstStyle/>
    <a:p>
      <a:pPr>
        <a:defRPr/>
      </a:pPr>
      <a:endParaRPr lang="en-US"/>
    </a:p>
  </c:txPr>
  <c:externalData r:id="rId3">
    <c:autoUpdate val="0"/>
  </c:externalData>
</c:chartSpace>
</file>

<file path=word/charts/chart2.xml><?xml version="1.0" encoding="utf-8"?>
<c:chartSpace xmlns:c="http://purl.oclc.org/ooxml/drawingml/chart" xmlns:a="http://purl.oclc.org/ooxml/drawingml/main" xmlns:r="http://purl.oclc.org/ooxml/officeDocument/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Sheet1!$B$21</c:f>
              <c:strCache>
                <c:ptCount val="1"/>
                <c:pt idx="0">
                  <c:v>2010</c:v>
                </c:pt>
              </c:strCache>
            </c:strRef>
          </c:tx>
          <c:spPr>
            <a:solidFill>
              <a:schemeClr val="accent2"/>
            </a:solidFill>
            <a:ln>
              <a:noFill/>
            </a:ln>
            <a:effectLst/>
          </c:spPr>
          <c:invertIfNegative val="0"/>
          <c:cat>
            <c:strRef>
              <c:f>Sheet1!$A$22:$A$35</c:f>
              <c:strCache>
                <c:ptCount val="14"/>
                <c:pt idx="0">
                  <c:v>Search literature</c:v>
                </c:pt>
                <c:pt idx="1">
                  <c:v>Review literature</c:v>
                </c:pt>
                <c:pt idx="2">
                  <c:v>Write literature review</c:v>
                </c:pt>
                <c:pt idx="3">
                  <c:v>Generate questions</c:v>
                </c:pt>
                <c:pt idx="4">
                  <c:v>Develop questions</c:v>
                </c:pt>
                <c:pt idx="5">
                  <c:v>Write protocol</c:v>
                </c:pt>
                <c:pt idx="6">
                  <c:v>Apply for funding</c:v>
                </c:pt>
                <c:pt idx="7">
                  <c:v>Apply for ethics</c:v>
                </c:pt>
                <c:pt idx="8">
                  <c:v>Qualitative</c:v>
                </c:pt>
                <c:pt idx="9">
                  <c:v>Quantitative</c:v>
                </c:pt>
                <c:pt idx="10">
                  <c:v>Analysis</c:v>
                </c:pt>
                <c:pt idx="11">
                  <c:v>Write research report</c:v>
                </c:pt>
                <c:pt idx="12">
                  <c:v>Present at conference</c:v>
                </c:pt>
                <c:pt idx="13">
                  <c:v>Publish</c:v>
                </c:pt>
              </c:strCache>
            </c:strRef>
          </c:cat>
          <c:val>
            <c:numRef>
              <c:f>Sheet1!$B$22:$B$35</c:f>
              <c:numCache>
                <c:formatCode>General</c:formatCode>
                <c:ptCount val="14"/>
                <c:pt idx="0">
                  <c:v>20</c:v>
                </c:pt>
                <c:pt idx="1">
                  <c:v>28</c:v>
                </c:pt>
                <c:pt idx="2">
                  <c:v>37</c:v>
                </c:pt>
                <c:pt idx="3">
                  <c:v>42</c:v>
                </c:pt>
                <c:pt idx="4">
                  <c:v>47</c:v>
                </c:pt>
                <c:pt idx="5">
                  <c:v>60</c:v>
                </c:pt>
                <c:pt idx="6">
                  <c:v>77</c:v>
                </c:pt>
                <c:pt idx="7">
                  <c:v>70</c:v>
                </c:pt>
                <c:pt idx="8">
                  <c:v>59</c:v>
                </c:pt>
                <c:pt idx="9">
                  <c:v>59</c:v>
                </c:pt>
                <c:pt idx="10">
                  <c:v>59</c:v>
                </c:pt>
                <c:pt idx="11">
                  <c:v>56</c:v>
                </c:pt>
                <c:pt idx="12">
                  <c:v>53</c:v>
                </c:pt>
                <c:pt idx="13">
                  <c:v>78</c:v>
                </c:pt>
              </c:numCache>
            </c:numRef>
          </c:val>
          <c:extLst>
            <c:ext xmlns:c16="http://schemas.microsoft.com/office/drawing/2014/chart" uri="{C3380CC4-5D6E-409C-BE32-E72D297353CC}">
              <c16:uniqueId val="{00000000-BF00-4BB6-884E-9FEE212582F2}"/>
            </c:ext>
          </c:extLst>
        </c:ser>
        <c:ser>
          <c:idx val="1"/>
          <c:order val="1"/>
          <c:tx>
            <c:strRef>
              <c:f>Sheet1!$C$21</c:f>
              <c:strCache>
                <c:ptCount val="1"/>
                <c:pt idx="0">
                  <c:v>2015</c:v>
                </c:pt>
              </c:strCache>
            </c:strRef>
          </c:tx>
          <c:spPr>
            <a:solidFill>
              <a:schemeClr val="accent6"/>
            </a:solidFill>
            <a:ln>
              <a:noFill/>
            </a:ln>
            <a:effectLst/>
          </c:spPr>
          <c:invertIfNegative val="0"/>
          <c:cat>
            <c:strRef>
              <c:f>Sheet1!$A$22:$A$35</c:f>
              <c:strCache>
                <c:ptCount val="14"/>
                <c:pt idx="0">
                  <c:v>Search literature</c:v>
                </c:pt>
                <c:pt idx="1">
                  <c:v>Review literature</c:v>
                </c:pt>
                <c:pt idx="2">
                  <c:v>Write literature review</c:v>
                </c:pt>
                <c:pt idx="3">
                  <c:v>Generate questions</c:v>
                </c:pt>
                <c:pt idx="4">
                  <c:v>Develop questions</c:v>
                </c:pt>
                <c:pt idx="5">
                  <c:v>Write protocol</c:v>
                </c:pt>
                <c:pt idx="6">
                  <c:v>Apply for funding</c:v>
                </c:pt>
                <c:pt idx="7">
                  <c:v>Apply for ethics</c:v>
                </c:pt>
                <c:pt idx="8">
                  <c:v>Qualitative</c:v>
                </c:pt>
                <c:pt idx="9">
                  <c:v>Quantitative</c:v>
                </c:pt>
                <c:pt idx="10">
                  <c:v>Analysis</c:v>
                </c:pt>
                <c:pt idx="11">
                  <c:v>Write research report</c:v>
                </c:pt>
                <c:pt idx="12">
                  <c:v>Present at conference</c:v>
                </c:pt>
                <c:pt idx="13">
                  <c:v>Publish</c:v>
                </c:pt>
              </c:strCache>
            </c:strRef>
          </c:cat>
          <c:val>
            <c:numRef>
              <c:f>Sheet1!$C$22:$C$35</c:f>
              <c:numCache>
                <c:formatCode>General</c:formatCode>
                <c:ptCount val="14"/>
                <c:pt idx="0">
                  <c:v>49</c:v>
                </c:pt>
                <c:pt idx="1">
                  <c:v>62</c:v>
                </c:pt>
                <c:pt idx="2">
                  <c:v>70</c:v>
                </c:pt>
                <c:pt idx="3">
                  <c:v>72</c:v>
                </c:pt>
                <c:pt idx="4">
                  <c:v>76</c:v>
                </c:pt>
                <c:pt idx="5">
                  <c:v>85</c:v>
                </c:pt>
                <c:pt idx="6">
                  <c:v>86</c:v>
                </c:pt>
                <c:pt idx="7">
                  <c:v>74</c:v>
                </c:pt>
                <c:pt idx="8">
                  <c:v>76</c:v>
                </c:pt>
                <c:pt idx="9">
                  <c:v>73</c:v>
                </c:pt>
                <c:pt idx="10">
                  <c:v>78</c:v>
                </c:pt>
                <c:pt idx="11">
                  <c:v>78</c:v>
                </c:pt>
                <c:pt idx="12">
                  <c:v>71</c:v>
                </c:pt>
                <c:pt idx="13">
                  <c:v>90</c:v>
                </c:pt>
              </c:numCache>
            </c:numRef>
          </c:val>
          <c:extLst>
            <c:ext xmlns:c16="http://schemas.microsoft.com/office/drawing/2014/chart" uri="{C3380CC4-5D6E-409C-BE32-E72D297353CC}">
              <c16:uniqueId val="{00000001-BF00-4BB6-884E-9FEE212582F2}"/>
            </c:ext>
          </c:extLst>
        </c:ser>
        <c:ser>
          <c:idx val="2"/>
          <c:order val="2"/>
          <c:tx>
            <c:strRef>
              <c:f>Sheet1!$D$21</c:f>
              <c:strCache>
                <c:ptCount val="1"/>
                <c:pt idx="0">
                  <c:v>2023</c:v>
                </c:pt>
              </c:strCache>
            </c:strRef>
          </c:tx>
          <c:spPr>
            <a:solidFill>
              <a:schemeClr val="accent5"/>
            </a:solidFill>
            <a:ln>
              <a:noFill/>
            </a:ln>
            <a:effectLst/>
          </c:spPr>
          <c:invertIfNegative val="0"/>
          <c:cat>
            <c:strRef>
              <c:f>Sheet1!$A$22:$A$35</c:f>
              <c:strCache>
                <c:ptCount val="14"/>
                <c:pt idx="0">
                  <c:v>Search literature</c:v>
                </c:pt>
                <c:pt idx="1">
                  <c:v>Review literature</c:v>
                </c:pt>
                <c:pt idx="2">
                  <c:v>Write literature review</c:v>
                </c:pt>
                <c:pt idx="3">
                  <c:v>Generate questions</c:v>
                </c:pt>
                <c:pt idx="4">
                  <c:v>Develop questions</c:v>
                </c:pt>
                <c:pt idx="5">
                  <c:v>Write protocol</c:v>
                </c:pt>
                <c:pt idx="6">
                  <c:v>Apply for funding</c:v>
                </c:pt>
                <c:pt idx="7">
                  <c:v>Apply for ethics</c:v>
                </c:pt>
                <c:pt idx="8">
                  <c:v>Qualitative</c:v>
                </c:pt>
                <c:pt idx="9">
                  <c:v>Quantitative</c:v>
                </c:pt>
                <c:pt idx="10">
                  <c:v>Analysis</c:v>
                </c:pt>
                <c:pt idx="11">
                  <c:v>Write research report</c:v>
                </c:pt>
                <c:pt idx="12">
                  <c:v>Present at conference</c:v>
                </c:pt>
                <c:pt idx="13">
                  <c:v>Publish</c:v>
                </c:pt>
              </c:strCache>
            </c:strRef>
          </c:cat>
          <c:val>
            <c:numRef>
              <c:f>Sheet1!$D$22:$D$35</c:f>
              <c:numCache>
                <c:formatCode>General</c:formatCode>
                <c:ptCount val="14"/>
                <c:pt idx="0">
                  <c:v>16</c:v>
                </c:pt>
                <c:pt idx="1">
                  <c:v>23</c:v>
                </c:pt>
                <c:pt idx="2">
                  <c:v>38</c:v>
                </c:pt>
                <c:pt idx="3">
                  <c:v>31</c:v>
                </c:pt>
                <c:pt idx="4">
                  <c:v>41</c:v>
                </c:pt>
                <c:pt idx="5">
                  <c:v>56</c:v>
                </c:pt>
                <c:pt idx="6">
                  <c:v>74</c:v>
                </c:pt>
                <c:pt idx="7">
                  <c:v>63</c:v>
                </c:pt>
                <c:pt idx="8">
                  <c:v>58</c:v>
                </c:pt>
                <c:pt idx="9">
                  <c:v>54</c:v>
                </c:pt>
                <c:pt idx="10">
                  <c:v>57</c:v>
                </c:pt>
                <c:pt idx="11">
                  <c:v>54</c:v>
                </c:pt>
                <c:pt idx="12">
                  <c:v>48</c:v>
                </c:pt>
                <c:pt idx="13">
                  <c:v>75</c:v>
                </c:pt>
              </c:numCache>
            </c:numRef>
          </c:val>
          <c:extLst>
            <c:ext xmlns:c16="http://schemas.microsoft.com/office/drawing/2014/chart" uri="{C3380CC4-5D6E-409C-BE32-E72D297353CC}">
              <c16:uniqueId val="{00000002-BF00-4BB6-884E-9FEE212582F2}"/>
            </c:ext>
          </c:extLst>
        </c:ser>
        <c:dLbls>
          <c:showLegendKey val="0"/>
          <c:showVal val="0"/>
          <c:showCatName val="0"/>
          <c:showSerName val="0"/>
          <c:showPercent val="0"/>
          <c:showBubbleSize val="0"/>
        </c:dLbls>
        <c:gapWidth val="219"/>
        <c:overlap val="-27"/>
        <c:axId val="565393608"/>
        <c:axId val="565393280"/>
      </c:barChart>
      <c:catAx>
        <c:axId val="565393608"/>
        <c:scaling>
          <c:orientation val="minMax"/>
        </c:scaling>
        <c:delete val="0"/>
        <c:axPos val="b"/>
        <c:numFmt formatCode="General" sourceLinked="1"/>
        <c:majorTickMark val="none"/>
        <c:minorTickMark val="none"/>
        <c:tickLblPos val="nextTo"/>
        <c:spPr>
          <a:noFill/>
          <a:ln w="9525" cap="flat" cmpd="sng" algn="ctr">
            <a:solidFill>
              <a:schemeClr val="tx1">
                <a:lumMod val="15%"/>
                <a:lumOff val="85%"/>
              </a:schemeClr>
            </a:solidFill>
            <a:round/>
          </a:ln>
          <a:effectLst/>
        </c:spPr>
        <c:txPr>
          <a:bodyPr rot="-60000000" spcFirstLastPara="1" vertOverflow="ellipsis" vert="horz" wrap="square" anchor="ctr" anchorCtr="1"/>
          <a:lstStyle/>
          <a:p>
            <a:pPr>
              <a:defRPr sz="900" b="0" i="0" u="none" strike="noStrike" kern="1200" baseline="0%">
                <a:solidFill>
                  <a:schemeClr val="tx1">
                    <a:lumMod val="65%"/>
                    <a:lumOff val="35%"/>
                  </a:schemeClr>
                </a:solidFill>
                <a:latin typeface="+mn-lt"/>
                <a:ea typeface="+mn-ea"/>
                <a:cs typeface="+mn-cs"/>
              </a:defRPr>
            </a:pPr>
            <a:endParaRPr lang="en-US"/>
          </a:p>
        </c:txPr>
        <c:crossAx val="565393280"/>
        <c:crosses val="autoZero"/>
        <c:auto val="1"/>
        <c:lblAlgn val="ctr"/>
        <c:lblOffset val="100"/>
        <c:noMultiLvlLbl val="0"/>
      </c:catAx>
      <c:valAx>
        <c:axId val="565393280"/>
        <c:scaling>
          <c:orientation val="minMax"/>
        </c:scaling>
        <c:delete val="0"/>
        <c:axPos val="l"/>
        <c:majorGridlines>
          <c:spPr>
            <a:ln w="9525" cap="flat" cmpd="sng" algn="ctr">
              <a:solidFill>
                <a:schemeClr val="tx1">
                  <a:lumMod val="15%"/>
                  <a:lumOff val="85%"/>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
                    <a:lumOff val="35%"/>
                  </a:schemeClr>
                </a:solidFill>
                <a:latin typeface="+mn-lt"/>
                <a:ea typeface="+mn-ea"/>
                <a:cs typeface="+mn-cs"/>
              </a:defRPr>
            </a:pPr>
            <a:endParaRPr lang="en-US"/>
          </a:p>
        </c:txPr>
        <c:crossAx val="5653936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
                  <a:lumOff val="35%"/>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
          <a:lumOff val="85%"/>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purl.oclc.org/ooxml/drawingml/main" meth="cycle" id="10">
  <a:schemeClr val="accent1"/>
  <a:schemeClr val="accent2"/>
  <a:schemeClr val="accent3"/>
  <a:schemeClr val="accent4"/>
  <a:schemeClr val="accent5"/>
  <a:schemeClr val="accent6"/>
  <cs:variation/>
  <cs:variation>
    <a:lumMod val="60%"/>
  </cs:variation>
  <cs:variation>
    <a:lumMod val="80%"/>
    <a:lumOff val="20%"/>
  </cs:variation>
  <cs:variation>
    <a:lumMod val="80%"/>
  </cs:variation>
  <cs:variation>
    <a:lumMod val="60%"/>
    <a:lumOff val="40%"/>
  </cs:variation>
  <cs:variation>
    <a:lumMod val="50%"/>
  </cs:variation>
  <cs:variation>
    <a:lumMod val="70%"/>
    <a:lumOff val="30%"/>
  </cs:variation>
  <cs:variation>
    <a:lumMod val="70%"/>
  </cs:variation>
  <cs:variation>
    <a:lumMod val="50%"/>
    <a:lumOff val="50%"/>
  </cs:variation>
</cs:colorStyle>
</file>

<file path=word/charts/colors2.xml><?xml version="1.0" encoding="utf-8"?>
<cs:colorStyle xmlns:cs="http://schemas.microsoft.com/office/drawing/2012/chartStyle" xmlns:a="http://purl.oclc.org/ooxml/drawingml/main" meth="cycle" id="10">
  <a:schemeClr val="accent1"/>
  <a:schemeClr val="accent2"/>
  <a:schemeClr val="accent3"/>
  <a:schemeClr val="accent4"/>
  <a:schemeClr val="accent5"/>
  <a:schemeClr val="accent6"/>
  <cs:variation/>
  <cs:variation>
    <a:lumMod val="60%"/>
  </cs:variation>
  <cs:variation>
    <a:lumMod val="80%"/>
    <a:lumOff val="20%"/>
  </cs:variation>
  <cs:variation>
    <a:lumMod val="80%"/>
  </cs:variation>
  <cs:variation>
    <a:lumMod val="60%"/>
    <a:lumOff val="40%"/>
  </cs:variation>
  <cs:variation>
    <a:lumMod val="50%"/>
  </cs:variation>
  <cs:variation>
    <a:lumMod val="70%"/>
    <a:lumOff val="30%"/>
  </cs:variation>
  <cs:variation>
    <a:lumMod val="70%"/>
  </cs:variation>
  <cs:variation>
    <a:lumMod val="50%"/>
    <a:lumOff val="50%"/>
  </cs:variation>
</cs:colorStyle>
</file>

<file path=word/charts/style1.xml><?xml version="1.0" encoding="utf-8"?>
<cs:chartStyle xmlns:cs="http://schemas.microsoft.com/office/drawing/2012/chartStyle" xmlns:a="http://purl.oclc.org/ooxml/drawingml/main" id="201">
  <cs:axisTitle>
    <cs:lnRef idx="0"/>
    <cs:fillRef idx="0"/>
    <cs:effectRef idx="0"/>
    <cs:fontRef idx="minor">
      <a:schemeClr val="tx1">
        <a:lumMod val="65%"/>
        <a:lumOff val="35%"/>
      </a:schemeClr>
    </cs:fontRef>
    <cs:defRPr sz="1000" kern="1200"/>
  </cs:axisTitle>
  <cs:categoryAxis>
    <cs:lnRef idx="0"/>
    <cs:fillRef idx="0"/>
    <cs:effectRef idx="0"/>
    <cs:fontRef idx="minor">
      <a:schemeClr val="tx1">
        <a:lumMod val="65%"/>
        <a:lumOff val="35%"/>
      </a:schemeClr>
    </cs:fontRef>
    <cs:spPr>
      <a:ln w="9525" cap="flat" cmpd="sng" algn="ctr">
        <a:solidFill>
          <a:schemeClr val="tx1">
            <a:lumMod val="15%"/>
            <a:lumOff val="85%"/>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
            <a:lumOff val="85%"/>
          </a:schemeClr>
        </a:solidFill>
        <a:round/>
      </a:ln>
    </cs:spPr>
    <cs:defRPr sz="1000" kern="1200"/>
  </cs:chartArea>
  <cs:dataLabel>
    <cs:lnRef idx="0"/>
    <cs:fillRef idx="0"/>
    <cs:effectRef idx="0"/>
    <cs:fontRef idx="minor">
      <a:schemeClr val="tx1">
        <a:lumMod val="75%"/>
        <a:lumOff val="25%"/>
      </a:schemeClr>
    </cs:fontRef>
    <cs:defRPr sz="900" kern="1200"/>
  </cs:dataLabel>
  <cs:dataLabelCallout>
    <cs:lnRef idx="0"/>
    <cs:fillRef idx="0"/>
    <cs:effectRef idx="0"/>
    <cs:fontRef idx="minor">
      <a:schemeClr val="dk1">
        <a:lumMod val="65%"/>
        <a:lumOff val="35%"/>
      </a:schemeClr>
    </cs:fontRef>
    <cs:spPr>
      <a:solidFill>
        <a:schemeClr val="lt1"/>
      </a:solidFill>
      <a:ln>
        <a:solidFill>
          <a:schemeClr val="dk1">
            <a:lumMod val="25%"/>
            <a:lumOff val="75%"/>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
        <a:lumOff val="35%"/>
      </a:schemeClr>
    </cs:fontRef>
    <cs:spPr>
      <a:noFill/>
      <a:ln w="9525" cap="flat" cmpd="sng" algn="ctr">
        <a:solidFill>
          <a:schemeClr val="tx1">
            <a:lumMod val="15%"/>
            <a:lumOff val="85%"/>
          </a:schemeClr>
        </a:solidFill>
        <a:round/>
      </a:ln>
    </cs:spPr>
    <cs:defRPr sz="900" kern="1200"/>
  </cs:dataTable>
  <cs:downBar>
    <cs:lnRef idx="0"/>
    <cs:fillRef idx="0"/>
    <cs:effectRef idx="0"/>
    <cs:fontRef idx="minor">
      <a:schemeClr val="dk1"/>
    </cs:fontRef>
    <cs:spPr>
      <a:solidFill>
        <a:schemeClr val="dk1">
          <a:lumMod val="65%"/>
          <a:lumOff val="35%"/>
        </a:schemeClr>
      </a:solidFill>
      <a:ln w="9525">
        <a:solidFill>
          <a:schemeClr val="tx1">
            <a:lumMod val="65%"/>
            <a:lumOff val="35%"/>
          </a:schemeClr>
        </a:solidFill>
      </a:ln>
    </cs:spPr>
  </cs:downBar>
  <cs:dropLine>
    <cs:lnRef idx="0"/>
    <cs:fillRef idx="0"/>
    <cs:effectRef idx="0"/>
    <cs:fontRef idx="minor">
      <a:schemeClr val="tx1"/>
    </cs:fontRef>
    <cs:spPr>
      <a:ln w="9525" cap="flat" cmpd="sng" algn="ctr">
        <a:solidFill>
          <a:schemeClr val="tx1">
            <a:lumMod val="35%"/>
            <a:lumOff val="65%"/>
          </a:schemeClr>
        </a:solidFill>
        <a:round/>
      </a:ln>
    </cs:spPr>
  </cs:dropLine>
  <cs:errorBar>
    <cs:lnRef idx="0"/>
    <cs:fillRef idx="0"/>
    <cs:effectRef idx="0"/>
    <cs:fontRef idx="minor">
      <a:schemeClr val="tx1"/>
    </cs:fontRef>
    <cs:spPr>
      <a:ln w="9525" cap="flat" cmpd="sng" algn="ctr">
        <a:solidFill>
          <a:schemeClr val="tx1">
            <a:lumMod val="65%"/>
            <a:lumOff val="35%"/>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
            <a:lumOff val="85%"/>
          </a:schemeClr>
        </a:solidFill>
        <a:round/>
      </a:ln>
    </cs:spPr>
  </cs:gridlineMajor>
  <cs:gridlineMinor>
    <cs:lnRef idx="0"/>
    <cs:fillRef idx="0"/>
    <cs:effectRef idx="0"/>
    <cs:fontRef idx="minor">
      <a:schemeClr val="tx1"/>
    </cs:fontRef>
    <cs:spPr>
      <a:ln w="9525" cap="flat" cmpd="sng" algn="ctr">
        <a:solidFill>
          <a:schemeClr val="tx1">
            <a:lumMod val="5%"/>
            <a:lumOff val="95%"/>
          </a:schemeClr>
        </a:solidFill>
        <a:round/>
      </a:ln>
    </cs:spPr>
  </cs:gridlineMinor>
  <cs:hiLoLine>
    <cs:lnRef idx="0"/>
    <cs:fillRef idx="0"/>
    <cs:effectRef idx="0"/>
    <cs:fontRef idx="minor">
      <a:schemeClr val="tx1"/>
    </cs:fontRef>
    <cs:spPr>
      <a:ln w="9525" cap="flat" cmpd="sng" algn="ctr">
        <a:solidFill>
          <a:schemeClr val="tx1">
            <a:lumMod val="75%"/>
            <a:lumOff val="25%"/>
          </a:schemeClr>
        </a:solidFill>
        <a:round/>
      </a:ln>
    </cs:spPr>
  </cs:hiLoLine>
  <cs:leaderLine>
    <cs:lnRef idx="0"/>
    <cs:fillRef idx="0"/>
    <cs:effectRef idx="0"/>
    <cs:fontRef idx="minor">
      <a:schemeClr val="tx1"/>
    </cs:fontRef>
    <cs:spPr>
      <a:ln w="9525" cap="flat" cmpd="sng" algn="ctr">
        <a:solidFill>
          <a:schemeClr val="tx1">
            <a:lumMod val="35%"/>
            <a:lumOff val="65%"/>
          </a:schemeClr>
        </a:solidFill>
        <a:round/>
      </a:ln>
    </cs:spPr>
  </cs:leaderLine>
  <cs:legend>
    <cs:lnRef idx="0"/>
    <cs:fillRef idx="0"/>
    <cs:effectRef idx="0"/>
    <cs:fontRef idx="minor">
      <a:schemeClr val="tx1">
        <a:lumMod val="65%"/>
        <a:lumOff val="35%"/>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
        <a:lumOff val="35%"/>
      </a:schemeClr>
    </cs:fontRef>
    <cs:defRPr sz="900" kern="1200"/>
  </cs:seriesAxis>
  <cs:seriesLine>
    <cs:lnRef idx="0"/>
    <cs:fillRef idx="0"/>
    <cs:effectRef idx="0"/>
    <cs:fontRef idx="minor">
      <a:schemeClr val="tx1"/>
    </cs:fontRef>
    <cs:spPr>
      <a:ln w="9525" cap="flat" cmpd="sng" algn="ctr">
        <a:solidFill>
          <a:schemeClr val="tx1">
            <a:lumMod val="35%"/>
            <a:lumOff val="65%"/>
          </a:schemeClr>
        </a:solidFill>
        <a:round/>
      </a:ln>
    </cs:spPr>
  </cs:seriesLine>
  <cs:title>
    <cs:lnRef idx="0"/>
    <cs:fillRef idx="0"/>
    <cs:effectRef idx="0"/>
    <cs:fontRef idx="minor">
      <a:schemeClr val="tx1">
        <a:lumMod val="65%"/>
        <a:lumOff val="35%"/>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
        <a:lumOff val="35%"/>
      </a:schemeClr>
    </cs:fontRef>
    <cs:defRPr sz="900" kern="1200"/>
  </cs:trendlineLabel>
  <cs:upBar>
    <cs:lnRef idx="0"/>
    <cs:fillRef idx="0"/>
    <cs:effectRef idx="0"/>
    <cs:fontRef idx="minor">
      <a:schemeClr val="dk1"/>
    </cs:fontRef>
    <cs:spPr>
      <a:solidFill>
        <a:schemeClr val="lt1"/>
      </a:solidFill>
      <a:ln w="9525">
        <a:solidFill>
          <a:schemeClr val="tx1">
            <a:lumMod val="15%"/>
            <a:lumOff val="85%"/>
          </a:schemeClr>
        </a:solidFill>
      </a:ln>
    </cs:spPr>
  </cs:upBar>
  <cs:valueAxis>
    <cs:lnRef idx="0"/>
    <cs:fillRef idx="0"/>
    <cs:effectRef idx="0"/>
    <cs:fontRef idx="minor">
      <a:schemeClr val="tx1">
        <a:lumMod val="65%"/>
        <a:lumOff val="35%"/>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purl.oclc.org/ooxml/drawingml/main" id="201">
  <cs:axisTitle>
    <cs:lnRef idx="0"/>
    <cs:fillRef idx="0"/>
    <cs:effectRef idx="0"/>
    <cs:fontRef idx="minor">
      <a:schemeClr val="tx1">
        <a:lumMod val="65%"/>
        <a:lumOff val="35%"/>
      </a:schemeClr>
    </cs:fontRef>
    <cs:defRPr sz="1000" kern="1200"/>
  </cs:axisTitle>
  <cs:categoryAxis>
    <cs:lnRef idx="0"/>
    <cs:fillRef idx="0"/>
    <cs:effectRef idx="0"/>
    <cs:fontRef idx="minor">
      <a:schemeClr val="tx1">
        <a:lumMod val="65%"/>
        <a:lumOff val="35%"/>
      </a:schemeClr>
    </cs:fontRef>
    <cs:spPr>
      <a:ln w="9525" cap="flat" cmpd="sng" algn="ctr">
        <a:solidFill>
          <a:schemeClr val="tx1">
            <a:lumMod val="15%"/>
            <a:lumOff val="85%"/>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
            <a:lumOff val="85%"/>
          </a:schemeClr>
        </a:solidFill>
        <a:round/>
      </a:ln>
    </cs:spPr>
    <cs:defRPr sz="1000" kern="1200"/>
  </cs:chartArea>
  <cs:dataLabel>
    <cs:lnRef idx="0"/>
    <cs:fillRef idx="0"/>
    <cs:effectRef idx="0"/>
    <cs:fontRef idx="minor">
      <a:schemeClr val="tx1">
        <a:lumMod val="75%"/>
        <a:lumOff val="25%"/>
      </a:schemeClr>
    </cs:fontRef>
    <cs:defRPr sz="900" kern="1200"/>
  </cs:dataLabel>
  <cs:dataLabelCallout>
    <cs:lnRef idx="0"/>
    <cs:fillRef idx="0"/>
    <cs:effectRef idx="0"/>
    <cs:fontRef idx="minor">
      <a:schemeClr val="dk1">
        <a:lumMod val="65%"/>
        <a:lumOff val="35%"/>
      </a:schemeClr>
    </cs:fontRef>
    <cs:spPr>
      <a:solidFill>
        <a:schemeClr val="lt1"/>
      </a:solidFill>
      <a:ln>
        <a:solidFill>
          <a:schemeClr val="dk1">
            <a:lumMod val="25%"/>
            <a:lumOff val="75%"/>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
        <a:lumOff val="35%"/>
      </a:schemeClr>
    </cs:fontRef>
    <cs:spPr>
      <a:noFill/>
      <a:ln w="9525" cap="flat" cmpd="sng" algn="ctr">
        <a:solidFill>
          <a:schemeClr val="tx1">
            <a:lumMod val="15%"/>
            <a:lumOff val="85%"/>
          </a:schemeClr>
        </a:solidFill>
        <a:round/>
      </a:ln>
    </cs:spPr>
    <cs:defRPr sz="900" kern="1200"/>
  </cs:dataTable>
  <cs:downBar>
    <cs:lnRef idx="0"/>
    <cs:fillRef idx="0"/>
    <cs:effectRef idx="0"/>
    <cs:fontRef idx="minor">
      <a:schemeClr val="dk1"/>
    </cs:fontRef>
    <cs:spPr>
      <a:solidFill>
        <a:schemeClr val="dk1">
          <a:lumMod val="65%"/>
          <a:lumOff val="35%"/>
        </a:schemeClr>
      </a:solidFill>
      <a:ln w="9525">
        <a:solidFill>
          <a:schemeClr val="tx1">
            <a:lumMod val="65%"/>
            <a:lumOff val="35%"/>
          </a:schemeClr>
        </a:solidFill>
      </a:ln>
    </cs:spPr>
  </cs:downBar>
  <cs:dropLine>
    <cs:lnRef idx="0"/>
    <cs:fillRef idx="0"/>
    <cs:effectRef idx="0"/>
    <cs:fontRef idx="minor">
      <a:schemeClr val="tx1"/>
    </cs:fontRef>
    <cs:spPr>
      <a:ln w="9525" cap="flat" cmpd="sng" algn="ctr">
        <a:solidFill>
          <a:schemeClr val="tx1">
            <a:lumMod val="35%"/>
            <a:lumOff val="65%"/>
          </a:schemeClr>
        </a:solidFill>
        <a:round/>
      </a:ln>
    </cs:spPr>
  </cs:dropLine>
  <cs:errorBar>
    <cs:lnRef idx="0"/>
    <cs:fillRef idx="0"/>
    <cs:effectRef idx="0"/>
    <cs:fontRef idx="minor">
      <a:schemeClr val="tx1"/>
    </cs:fontRef>
    <cs:spPr>
      <a:ln w="9525" cap="flat" cmpd="sng" algn="ctr">
        <a:solidFill>
          <a:schemeClr val="tx1">
            <a:lumMod val="65%"/>
            <a:lumOff val="35%"/>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
            <a:lumOff val="85%"/>
          </a:schemeClr>
        </a:solidFill>
        <a:round/>
      </a:ln>
    </cs:spPr>
  </cs:gridlineMajor>
  <cs:gridlineMinor>
    <cs:lnRef idx="0"/>
    <cs:fillRef idx="0"/>
    <cs:effectRef idx="0"/>
    <cs:fontRef idx="minor">
      <a:schemeClr val="tx1"/>
    </cs:fontRef>
    <cs:spPr>
      <a:ln w="9525" cap="flat" cmpd="sng" algn="ctr">
        <a:solidFill>
          <a:schemeClr val="tx1">
            <a:lumMod val="5%"/>
            <a:lumOff val="95%"/>
          </a:schemeClr>
        </a:solidFill>
        <a:round/>
      </a:ln>
    </cs:spPr>
  </cs:gridlineMinor>
  <cs:hiLoLine>
    <cs:lnRef idx="0"/>
    <cs:fillRef idx="0"/>
    <cs:effectRef idx="0"/>
    <cs:fontRef idx="minor">
      <a:schemeClr val="tx1"/>
    </cs:fontRef>
    <cs:spPr>
      <a:ln w="9525" cap="flat" cmpd="sng" algn="ctr">
        <a:solidFill>
          <a:schemeClr val="tx1">
            <a:lumMod val="75%"/>
            <a:lumOff val="25%"/>
          </a:schemeClr>
        </a:solidFill>
        <a:round/>
      </a:ln>
    </cs:spPr>
  </cs:hiLoLine>
  <cs:leaderLine>
    <cs:lnRef idx="0"/>
    <cs:fillRef idx="0"/>
    <cs:effectRef idx="0"/>
    <cs:fontRef idx="minor">
      <a:schemeClr val="tx1"/>
    </cs:fontRef>
    <cs:spPr>
      <a:ln w="9525" cap="flat" cmpd="sng" algn="ctr">
        <a:solidFill>
          <a:schemeClr val="tx1">
            <a:lumMod val="35%"/>
            <a:lumOff val="65%"/>
          </a:schemeClr>
        </a:solidFill>
        <a:round/>
      </a:ln>
    </cs:spPr>
  </cs:leaderLine>
  <cs:legend>
    <cs:lnRef idx="0"/>
    <cs:fillRef idx="0"/>
    <cs:effectRef idx="0"/>
    <cs:fontRef idx="minor">
      <a:schemeClr val="tx1">
        <a:lumMod val="65%"/>
        <a:lumOff val="35%"/>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
        <a:lumOff val="35%"/>
      </a:schemeClr>
    </cs:fontRef>
    <cs:defRPr sz="900" kern="1200"/>
  </cs:seriesAxis>
  <cs:seriesLine>
    <cs:lnRef idx="0"/>
    <cs:fillRef idx="0"/>
    <cs:effectRef idx="0"/>
    <cs:fontRef idx="minor">
      <a:schemeClr val="tx1"/>
    </cs:fontRef>
    <cs:spPr>
      <a:ln w="9525" cap="flat" cmpd="sng" algn="ctr">
        <a:solidFill>
          <a:schemeClr val="tx1">
            <a:lumMod val="35%"/>
            <a:lumOff val="65%"/>
          </a:schemeClr>
        </a:solidFill>
        <a:round/>
      </a:ln>
    </cs:spPr>
  </cs:seriesLine>
  <cs:title>
    <cs:lnRef idx="0"/>
    <cs:fillRef idx="0"/>
    <cs:effectRef idx="0"/>
    <cs:fontRef idx="minor">
      <a:schemeClr val="tx1">
        <a:lumMod val="65%"/>
        <a:lumOff val="35%"/>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
        <a:lumOff val="35%"/>
      </a:schemeClr>
    </cs:fontRef>
    <cs:defRPr sz="900" kern="1200"/>
  </cs:trendlineLabel>
  <cs:upBar>
    <cs:lnRef idx="0"/>
    <cs:fillRef idx="0"/>
    <cs:effectRef idx="0"/>
    <cs:fontRef idx="minor">
      <a:schemeClr val="dk1"/>
    </cs:fontRef>
    <cs:spPr>
      <a:solidFill>
        <a:schemeClr val="lt1"/>
      </a:solidFill>
      <a:ln w="9525">
        <a:solidFill>
          <a:schemeClr val="tx1">
            <a:lumMod val="15%"/>
            <a:lumOff val="85%"/>
          </a:schemeClr>
        </a:solidFill>
      </a:ln>
    </cs:spPr>
  </cs:upBar>
  <cs:valueAxis>
    <cs:lnRef idx="0"/>
    <cs:fillRef idx="0"/>
    <cs:effectRef idx="0"/>
    <cs:fontRef idx="minor">
      <a:schemeClr val="tx1">
        <a:lumMod val="65%"/>
        <a:lumOff val="35%"/>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12700" cap="flat" cmpd="sng" algn="ctr">
          <a:solidFill>
            <a:schemeClr val="phClr"/>
          </a:solidFill>
          <a:prstDash val="solid"/>
          <a:miter lim="800%"/>
        </a:ln>
        <a:ln w="19050" cap="flat" cmpd="sng" algn="ctr">
          <a:solidFill>
            <a:schemeClr val="phClr"/>
          </a:solidFill>
          <a:prstDash val="solid"/>
          <a:miter lim="800%"/>
        </a:ln>
        <a:ln w="2540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purl.oclc.org/ooxml/officeDocument/extendedProperties" xmlns:vt="http://purl.oclc.org/ooxml/officeDocument/docPropsVTypes">
  <Template>Normal.dotm</Template>
  <TotalTime>0</TotalTime>
  <Pages>4</Pages>
  <Words>481</Words>
  <Characters>2744</Characters>
  <Application>Microsoft Office Word</Application>
  <DocSecurity>0</DocSecurity>
  <Lines>22</Lines>
  <Paragraphs>6</Paragraphs>
  <ScaleCrop>false</ScaleCrop>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2025-04-21T20:43:00Z</dcterms:created>
  <dcterms:modified xsi:type="dcterms:W3CDTF">2025-04-21T20:43:00Z</dcterms:modified>
</cp:coreProperties>
</file>