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DA9EF">
      <w:pPr>
        <w:jc w:val="center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85695" cy="1447800"/>
            <wp:effectExtent l="0" t="0" r="14605" b="0"/>
            <wp:docPr id="1508820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2034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rcRect t="6576" b="7575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93925" cy="1427480"/>
            <wp:effectExtent l="0" t="0" r="15875" b="1270"/>
            <wp:docPr id="125020683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06835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6495D4">
      <w:pPr>
        <w:pStyle w:val="2"/>
        <w:spacing w:line="360" w:lineRule="auto"/>
        <w:ind w:firstLine="0"/>
        <w:jc w:val="center"/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(a) Negative ion mode.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(b) Positive ion mode.</w:t>
      </w:r>
    </w:p>
    <w:p w14:paraId="353D2F0F">
      <w:pPr>
        <w:spacing w:line="360" w:lineRule="auto"/>
        <w:jc w:val="center"/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Fig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ure S1</w:t>
      </w:r>
      <w:r>
        <w:rPr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Total ion chromatograms in positive and negative ion modes were obtained by </w:t>
      </w:r>
      <w:r>
        <w:rPr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Liquid Chromatograph Mass Spectrometer</w:t>
      </w: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LC-MS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).</w:t>
      </w:r>
      <w:r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ifferent colored peaks represent detected metabolites (horizontal axis represents retention time (Rt) of metabolite detection and vertical axis represents ion signal intensity (CPS).</w:t>
      </w:r>
    </w:p>
    <w:p w14:paraId="1A82A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61126"/>
    <w:rsid w:val="120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</w:pPr>
    <w:rPr>
      <w:rFonts w:ascii="Times New Roman" w:hAnsi="Times New Roman" w:eastAsia="宋体" w:cs="Times New Roman"/>
      <w:lang w:val="de-DE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2025-01-08T06:02:00Z</dcterms:created>
  <dc:creator>fenix</dc:creator>
  <cp:lastModifiedBy>fenix</cp:lastModifiedBy>
  <dcterms:modified xsi:type="dcterms:W3CDTF">2025-01-08T06:03:56Z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E4EFAEA3D79941CB951322C4FC74D93F_11</vt:lpwstr>
  </property>
  <property fmtid="{D5CDD505-2E9C-101B-9397-08002B2CF9AE}" pid="4" name="KSOTemplateDocerSaveRecord">
    <vt:lpwstr>eyJoZGlkIjoiMjZjYWJlZGFkMmE1NzJjNjIxOGUzMjlmN2VhYzYyMGEiLCJ1c2VySWQiOiI3OTM2NDgyMzcifQ==</vt:lpwstr>
  </property>
</Properties>
</file>