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B624" w14:textId="77777777" w:rsidR="00AB7C5D" w:rsidRPr="006B04F3" w:rsidRDefault="00AB7C5D" w:rsidP="00AB7C5D">
      <w:pPr>
        <w:pStyle w:val="Heading1"/>
        <w:rPr>
          <w:rFonts w:eastAsia="Times New Roman"/>
        </w:rPr>
      </w:pPr>
      <w:r>
        <w:rPr>
          <w:rFonts w:eastAsia="Times New Roman"/>
        </w:rPr>
        <w:t>Supplement</w:t>
      </w:r>
      <w:bookmarkStart w:id="0" w:name="_Toc124147703"/>
      <w:r>
        <w:rPr>
          <w:rFonts w:eastAsia="Times New Roman"/>
        </w:rPr>
        <w:t xml:space="preserve">al materials for: </w:t>
      </w:r>
      <w:r w:rsidRPr="006B04F3">
        <w:rPr>
          <w:rFonts w:eastAsia="Times New Roman"/>
        </w:rPr>
        <w:t>Assessing low-dose copper treatment for dreissenid mussels: effects on nontarget organisms</w:t>
      </w:r>
    </w:p>
    <w:p w14:paraId="5FDB1B1A" w14:textId="213ACC43" w:rsidR="00AB7C5D" w:rsidRPr="00AB7C5D" w:rsidRDefault="00AB7C5D" w:rsidP="00AB7C5D">
      <w:pPr>
        <w:rPr>
          <w:rFonts w:ascii="Times New Roman" w:hAnsi="Times New Roman" w:cs="Times New Roman"/>
          <w:sz w:val="24"/>
          <w:szCs w:val="24"/>
        </w:rPr>
      </w:pPr>
      <w:r w:rsidRPr="00AB7C5D">
        <w:rPr>
          <w:rFonts w:ascii="Times New Roman" w:hAnsi="Times New Roman" w:cs="Times New Roman"/>
          <w:sz w:val="24"/>
          <w:szCs w:val="24"/>
        </w:rPr>
        <w:t>Dahlberg et al., 2025</w:t>
      </w:r>
    </w:p>
    <w:p w14:paraId="73ABAEF3" w14:textId="77777777" w:rsidR="00AB7C5D" w:rsidRPr="006B04F3" w:rsidRDefault="00AB7C5D" w:rsidP="00AB7C5D">
      <w:pPr>
        <w:spacing w:after="0" w:line="480" w:lineRule="auto"/>
        <w:rPr>
          <w:rFonts w:ascii="Times New Roman" w:hAnsi="Times New Roman" w:cs="Times New Roman"/>
          <w:b/>
          <w:bCs/>
          <w:sz w:val="24"/>
          <w:szCs w:val="24"/>
        </w:rPr>
      </w:pPr>
      <w:r w:rsidRPr="006B04F3">
        <w:rPr>
          <w:rFonts w:ascii="Times New Roman" w:hAnsi="Times New Roman" w:cs="Times New Roman"/>
          <w:b/>
          <w:bCs/>
          <w:sz w:val="24"/>
          <w:szCs w:val="24"/>
        </w:rPr>
        <w:t>RMB Environmental Laboratory, Inc.</w:t>
      </w:r>
      <w:bookmarkEnd w:id="0"/>
    </w:p>
    <w:p w14:paraId="1C639FCF" w14:textId="77777777" w:rsidR="00AB7C5D" w:rsidRPr="006B04F3" w:rsidRDefault="00AB7C5D" w:rsidP="00AB7C5D">
      <w:pPr>
        <w:spacing w:after="0" w:line="480" w:lineRule="auto"/>
        <w:rPr>
          <w:rStyle w:val="normaltextrun"/>
          <w:rFonts w:ascii="Times New Roman" w:hAnsi="Times New Roman" w:cs="Times New Roman"/>
          <w:b/>
          <w:bCs/>
          <w:sz w:val="24"/>
          <w:szCs w:val="24"/>
        </w:rPr>
      </w:pPr>
      <w:r w:rsidRPr="006B04F3">
        <w:rPr>
          <w:rStyle w:val="normaltextrun"/>
          <w:rFonts w:ascii="Times New Roman" w:hAnsi="Times New Roman" w:cs="Times New Roman"/>
          <w:b/>
          <w:bCs/>
          <w:sz w:val="24"/>
          <w:szCs w:val="24"/>
        </w:rPr>
        <w:t>220 W 95th Street, Bloomington, MN 55431, USA</w:t>
      </w:r>
    </w:p>
    <w:p w14:paraId="34F681AC" w14:textId="77777777" w:rsidR="00AB7C5D" w:rsidRPr="006B04F3" w:rsidRDefault="00AB7C5D" w:rsidP="00AB7C5D">
      <w:pPr>
        <w:spacing w:after="0" w:line="480" w:lineRule="auto"/>
        <w:rPr>
          <w:rFonts w:ascii="Times New Roman" w:hAnsi="Times New Roman" w:cs="Times New Roman"/>
          <w:i/>
          <w:iCs/>
          <w:sz w:val="24"/>
          <w:szCs w:val="24"/>
        </w:rPr>
      </w:pPr>
      <w:bookmarkStart w:id="1" w:name="_Toc124147704"/>
      <w:r w:rsidRPr="006B04F3">
        <w:rPr>
          <w:rFonts w:ascii="Times New Roman" w:hAnsi="Times New Roman" w:cs="Times New Roman"/>
          <w:i/>
          <w:iCs/>
          <w:sz w:val="24"/>
          <w:szCs w:val="24"/>
        </w:rPr>
        <w:t>Chlorophyll-</w:t>
      </w:r>
      <w:r w:rsidRPr="006B04F3">
        <w:rPr>
          <w:rFonts w:ascii="Times New Roman" w:hAnsi="Times New Roman" w:cs="Times New Roman"/>
          <w:sz w:val="24"/>
          <w:szCs w:val="24"/>
        </w:rPr>
        <w:t>a</w:t>
      </w:r>
      <w:bookmarkEnd w:id="1"/>
    </w:p>
    <w:p w14:paraId="6FD9632C" w14:textId="77777777" w:rsidR="00AB7C5D" w:rsidRPr="006B04F3" w:rsidRDefault="00AB7C5D" w:rsidP="00AB7C5D">
      <w:pPr>
        <w:spacing w:after="0" w:line="480" w:lineRule="auto"/>
        <w:ind w:firstLine="720"/>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Chlorophyll-</w:t>
      </w:r>
      <w:r w:rsidRPr="006B04F3">
        <w:rPr>
          <w:rStyle w:val="normaltextrun"/>
          <w:rFonts w:ascii="Times New Roman" w:hAnsi="Times New Roman" w:cs="Times New Roman"/>
          <w:i/>
          <w:iCs/>
          <w:sz w:val="24"/>
          <w:szCs w:val="24"/>
        </w:rPr>
        <w:t>a</w:t>
      </w:r>
      <w:r w:rsidRPr="006B04F3">
        <w:rPr>
          <w:rStyle w:val="normaltextrun"/>
          <w:rFonts w:ascii="Times New Roman" w:hAnsi="Times New Roman" w:cs="Times New Roman"/>
          <w:sz w:val="24"/>
          <w:szCs w:val="24"/>
        </w:rPr>
        <w:t xml:space="preserve"> was analyzed according to APHA method 10200 H.3 with correction for pheophytin (APHA</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2012).</w:t>
      </w:r>
    </w:p>
    <w:p w14:paraId="01BE77F7" w14:textId="77777777" w:rsidR="00AB7C5D" w:rsidRPr="006B04F3" w:rsidRDefault="00AB7C5D" w:rsidP="00AB7C5D">
      <w:pPr>
        <w:spacing w:after="0" w:line="480" w:lineRule="auto"/>
        <w:rPr>
          <w:rFonts w:ascii="Times New Roman" w:hAnsi="Times New Roman" w:cs="Times New Roman"/>
          <w:sz w:val="24"/>
          <w:szCs w:val="24"/>
        </w:rPr>
      </w:pPr>
      <w:r w:rsidRPr="006B04F3">
        <w:rPr>
          <w:rFonts w:ascii="Times New Roman" w:hAnsi="Times New Roman" w:cs="Times New Roman"/>
          <w:sz w:val="24"/>
          <w:szCs w:val="24"/>
        </w:rPr>
        <w:t>References</w:t>
      </w:r>
    </w:p>
    <w:p w14:paraId="030CDE48" w14:textId="77777777" w:rsidR="00AB7C5D" w:rsidRPr="006B04F3" w:rsidRDefault="00AB7C5D" w:rsidP="00AB7C5D">
      <w:pPr>
        <w:spacing w:after="0" w:line="480" w:lineRule="auto"/>
        <w:ind w:left="720" w:hanging="720"/>
        <w:rPr>
          <w:rStyle w:val="normaltextrun"/>
          <w:rFonts w:ascii="Times New Roman" w:hAnsi="Times New Roman" w:cs="Times New Roman"/>
          <w:sz w:val="24"/>
          <w:szCs w:val="24"/>
        </w:rPr>
      </w:pPr>
      <w:r w:rsidRPr="006B04F3">
        <w:rPr>
          <w:rFonts w:ascii="Times New Roman" w:hAnsi="Times New Roman" w:cs="Times New Roman"/>
          <w:sz w:val="24"/>
          <w:szCs w:val="24"/>
        </w:rPr>
        <w:t xml:space="preserve">[APHA] American Public Health Association, American Water Works Association, Water Environment Federation. 2012. Standard methods for the examination of water and wastewater. 22nd ed. Rice EW, Baird RB, Eaton AD, </w:t>
      </w:r>
      <w:proofErr w:type="spellStart"/>
      <w:r w:rsidRPr="006B04F3">
        <w:rPr>
          <w:rFonts w:ascii="Times New Roman" w:hAnsi="Times New Roman" w:cs="Times New Roman"/>
          <w:sz w:val="24"/>
          <w:szCs w:val="24"/>
        </w:rPr>
        <w:t>Clesceri</w:t>
      </w:r>
      <w:proofErr w:type="spellEnd"/>
      <w:r w:rsidRPr="006B04F3">
        <w:rPr>
          <w:rFonts w:ascii="Times New Roman" w:hAnsi="Times New Roman" w:cs="Times New Roman"/>
          <w:sz w:val="24"/>
          <w:szCs w:val="24"/>
        </w:rPr>
        <w:t xml:space="preserve"> LS, Bridgewater L, editors. Washington, DC: American Public Health Association.</w:t>
      </w:r>
    </w:p>
    <w:p w14:paraId="1FB80F55" w14:textId="77777777" w:rsidR="00AB7C5D" w:rsidRDefault="00AB7C5D" w:rsidP="00AB7C5D">
      <w:pPr>
        <w:spacing w:after="0" w:line="480" w:lineRule="auto"/>
        <w:rPr>
          <w:rFonts w:ascii="Times New Roman" w:hAnsi="Times New Roman" w:cs="Times New Roman"/>
          <w:i/>
          <w:iCs/>
          <w:sz w:val="24"/>
          <w:szCs w:val="24"/>
        </w:rPr>
      </w:pPr>
      <w:bookmarkStart w:id="2" w:name="_Toc124147705"/>
    </w:p>
    <w:p w14:paraId="7330E991" w14:textId="77777777" w:rsidR="00AB7C5D" w:rsidRPr="006B04F3" w:rsidRDefault="00AB7C5D" w:rsidP="00AB7C5D">
      <w:pPr>
        <w:spacing w:after="0" w:line="480" w:lineRule="auto"/>
        <w:rPr>
          <w:rFonts w:ascii="Times New Roman" w:hAnsi="Times New Roman" w:cs="Times New Roman"/>
          <w:i/>
          <w:iCs/>
          <w:sz w:val="24"/>
          <w:szCs w:val="24"/>
        </w:rPr>
      </w:pPr>
      <w:r w:rsidRPr="006B04F3">
        <w:rPr>
          <w:rFonts w:ascii="Times New Roman" w:hAnsi="Times New Roman" w:cs="Times New Roman"/>
          <w:i/>
          <w:iCs/>
          <w:sz w:val="24"/>
          <w:szCs w:val="24"/>
        </w:rPr>
        <w:t>Zooplankton and veligers</w:t>
      </w:r>
      <w:bookmarkEnd w:id="2"/>
    </w:p>
    <w:p w14:paraId="367D52FE" w14:textId="77777777" w:rsidR="00AB7C5D" w:rsidRDefault="00AB7C5D" w:rsidP="00AB7C5D">
      <w:pPr>
        <w:spacing w:after="0" w:line="480" w:lineRule="auto"/>
        <w:ind w:firstLine="720"/>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RMB Environmental Laboratories uses the following protocol to analyze lake zooplankton samples based on Minnesota Department of Natural Resources lab</w:t>
      </w:r>
      <w:r>
        <w:rPr>
          <w:rStyle w:val="normaltextrun"/>
          <w:rFonts w:ascii="Times New Roman" w:hAnsi="Times New Roman" w:cs="Times New Roman"/>
          <w:sz w:val="24"/>
          <w:szCs w:val="24"/>
        </w:rPr>
        <w:t>oratory</w:t>
      </w:r>
      <w:r w:rsidRPr="006B04F3">
        <w:rPr>
          <w:rStyle w:val="normaltextrun"/>
          <w:rFonts w:ascii="Times New Roman" w:hAnsi="Times New Roman" w:cs="Times New Roman"/>
          <w:sz w:val="24"/>
          <w:szCs w:val="24"/>
        </w:rPr>
        <w:t xml:space="preserve"> procedures. Each zooplankton sample was filtered through an 80-μm mesh sieve, with the original alcohol retained for future sample preservation. Specimens were rinsed into a graduated beaker</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and water was added to dilute the sample to a known volume. An aliquot of 1 mL was withdrawn from each sample using a pipette and transferred to a Sedgewick-Rafter counting cell. Specimens from each aliquot were enumerated and identified to family or genus level where possible. In the copepod group, only mature calanoid specimens and mature female cyclopoid </w:t>
      </w:r>
      <w:r w:rsidRPr="006B04F3">
        <w:rPr>
          <w:rStyle w:val="normaltextrun"/>
          <w:rFonts w:ascii="Times New Roman" w:hAnsi="Times New Roman" w:cs="Times New Roman"/>
          <w:sz w:val="24"/>
          <w:szCs w:val="24"/>
        </w:rPr>
        <w:lastRenderedPageBreak/>
        <w:t xml:space="preserve">specimens could be identified beyond family level. Each cell was also analyzed for zebra mussel veligers using cross-polarized light sources. Veligers were enumerated and grouped into the following size classes: D-hinge (&lt;112 </w:t>
      </w:r>
      <w:proofErr w:type="spellStart"/>
      <w:r w:rsidRPr="006B04F3">
        <w:rPr>
          <w:rStyle w:val="normaltextrun"/>
          <w:rFonts w:ascii="Times New Roman" w:hAnsi="Times New Roman" w:cs="Times New Roman"/>
          <w:sz w:val="24"/>
          <w:szCs w:val="24"/>
        </w:rPr>
        <w:t>μm</w:t>
      </w:r>
      <w:proofErr w:type="spellEnd"/>
      <w:r w:rsidRPr="006B04F3">
        <w:rPr>
          <w:rStyle w:val="normaltextrun"/>
          <w:rFonts w:ascii="Times New Roman" w:hAnsi="Times New Roman" w:cs="Times New Roman"/>
          <w:sz w:val="24"/>
          <w:szCs w:val="24"/>
        </w:rPr>
        <w:t xml:space="preserve">), umbonal (112-231 </w:t>
      </w:r>
      <w:proofErr w:type="spellStart"/>
      <w:r w:rsidRPr="006B04F3">
        <w:rPr>
          <w:rStyle w:val="normaltextrun"/>
          <w:rFonts w:ascii="Times New Roman" w:hAnsi="Times New Roman" w:cs="Times New Roman"/>
          <w:sz w:val="24"/>
          <w:szCs w:val="24"/>
        </w:rPr>
        <w:t>μm</w:t>
      </w:r>
      <w:proofErr w:type="spellEnd"/>
      <w:r w:rsidRPr="006B04F3">
        <w:rPr>
          <w:rStyle w:val="normaltextrun"/>
          <w:rFonts w:ascii="Times New Roman" w:hAnsi="Times New Roman" w:cs="Times New Roman"/>
          <w:sz w:val="24"/>
          <w:szCs w:val="24"/>
        </w:rPr>
        <w:t xml:space="preserve">), and pediveliger (&gt;231 </w:t>
      </w:r>
      <w:proofErr w:type="spellStart"/>
      <w:r w:rsidRPr="006B04F3">
        <w:rPr>
          <w:rStyle w:val="normaltextrun"/>
          <w:rFonts w:ascii="Times New Roman" w:hAnsi="Times New Roman" w:cs="Times New Roman"/>
          <w:sz w:val="24"/>
          <w:szCs w:val="24"/>
        </w:rPr>
        <w:t>μm</w:t>
      </w:r>
      <w:proofErr w:type="spellEnd"/>
      <w:r w:rsidRPr="006B04F3">
        <w:rPr>
          <w:rStyle w:val="normaltextrun"/>
          <w:rFonts w:ascii="Times New Roman" w:hAnsi="Times New Roman" w:cs="Times New Roman"/>
          <w:sz w:val="24"/>
          <w:szCs w:val="24"/>
        </w:rPr>
        <w:t xml:space="preserve">). Measurements were taken using digital imaging software to confirm specimen lengths where needed. Additional 1-mL aliquot subsamples were analyzed until a minimum of 150 zooplankton specimens were identified. The sample was then condensed into glass Petri dishes for a large/rare scan. Samples were analyzed under a dissecting microscope for large organisms such as </w:t>
      </w:r>
      <w:proofErr w:type="spellStart"/>
      <w:r w:rsidRPr="006B04F3">
        <w:rPr>
          <w:rStyle w:val="normaltextrun"/>
          <w:rFonts w:ascii="Times New Roman" w:hAnsi="Times New Roman" w:cs="Times New Roman"/>
          <w:i/>
          <w:iCs/>
          <w:sz w:val="24"/>
          <w:szCs w:val="24"/>
        </w:rPr>
        <w:t>Leptodora</w:t>
      </w:r>
      <w:proofErr w:type="spellEnd"/>
      <w:r w:rsidRPr="006B04F3">
        <w:rPr>
          <w:rStyle w:val="normaltextrun"/>
          <w:rFonts w:ascii="Times New Roman" w:hAnsi="Times New Roman" w:cs="Times New Roman"/>
          <w:sz w:val="24"/>
          <w:szCs w:val="24"/>
        </w:rPr>
        <w:t xml:space="preserve"> or </w:t>
      </w:r>
      <w:proofErr w:type="spellStart"/>
      <w:r w:rsidRPr="006B04F3">
        <w:rPr>
          <w:rStyle w:val="normaltextrun"/>
          <w:rFonts w:ascii="Times New Roman" w:hAnsi="Times New Roman" w:cs="Times New Roman"/>
          <w:i/>
          <w:iCs/>
          <w:sz w:val="24"/>
          <w:szCs w:val="24"/>
        </w:rPr>
        <w:t>Bythotrephes</w:t>
      </w:r>
      <w:proofErr w:type="spellEnd"/>
      <w:r w:rsidRPr="006B04F3">
        <w:rPr>
          <w:rStyle w:val="normaltextrun"/>
          <w:rFonts w:ascii="Times New Roman" w:hAnsi="Times New Roman" w:cs="Times New Roman"/>
          <w:sz w:val="24"/>
          <w:szCs w:val="24"/>
        </w:rPr>
        <w:t xml:space="preserve">, which are not collected as readily through subsampling methods. Densities (individuals per </w:t>
      </w:r>
      <w:r>
        <w:rPr>
          <w:rStyle w:val="normaltextrun"/>
          <w:rFonts w:ascii="Times New Roman" w:hAnsi="Times New Roman" w:cs="Times New Roman"/>
          <w:sz w:val="24"/>
          <w:szCs w:val="24"/>
        </w:rPr>
        <w:t>liter</w:t>
      </w:r>
      <w:r w:rsidRPr="006B04F3">
        <w:rPr>
          <w:rStyle w:val="normaltextrun"/>
          <w:rFonts w:ascii="Times New Roman" w:hAnsi="Times New Roman" w:cs="Times New Roman"/>
          <w:sz w:val="24"/>
          <w:szCs w:val="24"/>
        </w:rPr>
        <w:t>) and total counts for each taxonomic group identified were calculated for each sample.</w:t>
      </w:r>
    </w:p>
    <w:p w14:paraId="00E5A2BC" w14:textId="77777777" w:rsidR="00AB7C5D" w:rsidRPr="006B04F3" w:rsidRDefault="00AB7C5D" w:rsidP="00AB7C5D">
      <w:pPr>
        <w:spacing w:after="0" w:line="480" w:lineRule="auto"/>
        <w:ind w:firstLine="720"/>
        <w:rPr>
          <w:rStyle w:val="normaltextrun"/>
          <w:rFonts w:ascii="Times New Roman" w:hAnsi="Times New Roman" w:cs="Times New Roman"/>
          <w:sz w:val="24"/>
          <w:szCs w:val="24"/>
        </w:rPr>
      </w:pPr>
    </w:p>
    <w:p w14:paraId="04A0AC37" w14:textId="77777777" w:rsidR="00AB7C5D" w:rsidRPr="006B04F3" w:rsidRDefault="00AB7C5D" w:rsidP="00AB7C5D">
      <w:pPr>
        <w:spacing w:after="0" w:line="480" w:lineRule="auto"/>
        <w:rPr>
          <w:rFonts w:ascii="Times New Roman" w:hAnsi="Times New Roman" w:cs="Times New Roman"/>
          <w:sz w:val="24"/>
          <w:szCs w:val="24"/>
        </w:rPr>
      </w:pPr>
      <w:r>
        <w:rPr>
          <w:rFonts w:ascii="Times New Roman" w:hAnsi="Times New Roman" w:cs="Times New Roman"/>
          <w:sz w:val="24"/>
          <w:szCs w:val="24"/>
        </w:rPr>
        <w:t>Guides used in zooplankton identification:</w:t>
      </w:r>
    </w:p>
    <w:p w14:paraId="22FB6A03" w14:textId="77777777" w:rsidR="00AB7C5D" w:rsidRPr="006B04F3" w:rsidRDefault="00AB7C5D" w:rsidP="00AB7C5D">
      <w:pPr>
        <w:spacing w:after="0" w:line="480" w:lineRule="auto"/>
        <w:ind w:left="720" w:hanging="720"/>
        <w:rPr>
          <w:rFonts w:ascii="Times New Roman" w:hAnsi="Times New Roman" w:cs="Times New Roman"/>
          <w:sz w:val="24"/>
          <w:szCs w:val="24"/>
        </w:rPr>
      </w:pPr>
      <w:bookmarkStart w:id="3" w:name="_Hlk74738830"/>
      <w:proofErr w:type="spellStart"/>
      <w:r w:rsidRPr="006B04F3">
        <w:rPr>
          <w:rFonts w:ascii="Times New Roman" w:hAnsi="Times New Roman" w:cs="Times New Roman"/>
          <w:sz w:val="24"/>
          <w:szCs w:val="24"/>
        </w:rPr>
        <w:t>Balcer</w:t>
      </w:r>
      <w:proofErr w:type="spellEnd"/>
      <w:r w:rsidRPr="006B04F3">
        <w:rPr>
          <w:rFonts w:ascii="Times New Roman" w:hAnsi="Times New Roman" w:cs="Times New Roman"/>
          <w:sz w:val="24"/>
          <w:szCs w:val="24"/>
        </w:rPr>
        <w:t xml:space="preserve">, M. D., N. L. </w:t>
      </w:r>
      <w:proofErr w:type="spellStart"/>
      <w:r w:rsidRPr="006B04F3">
        <w:rPr>
          <w:rFonts w:ascii="Times New Roman" w:hAnsi="Times New Roman" w:cs="Times New Roman"/>
          <w:sz w:val="24"/>
          <w:szCs w:val="24"/>
        </w:rPr>
        <w:t>Korda</w:t>
      </w:r>
      <w:proofErr w:type="spellEnd"/>
      <w:r w:rsidRPr="006B04F3">
        <w:rPr>
          <w:rFonts w:ascii="Times New Roman" w:hAnsi="Times New Roman" w:cs="Times New Roman"/>
          <w:sz w:val="24"/>
          <w:szCs w:val="24"/>
        </w:rPr>
        <w:t>, and S. I. Dodson. 1984. Zooplankton of the Great Lakes: A Guide to the Identification and Ecology of the Common Crustacean Species. University of Wisconsin Press, Madison, WI.</w:t>
      </w:r>
      <w:bookmarkEnd w:id="3"/>
    </w:p>
    <w:p w14:paraId="221EC4A0"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 xml:space="preserve">Smith, D. G. 2001. </w:t>
      </w:r>
      <w:proofErr w:type="spellStart"/>
      <w:r w:rsidRPr="006B04F3">
        <w:rPr>
          <w:rFonts w:ascii="Times New Roman" w:hAnsi="Times New Roman" w:cs="Times New Roman"/>
          <w:sz w:val="24"/>
          <w:szCs w:val="24"/>
        </w:rPr>
        <w:t>Pennak’s</w:t>
      </w:r>
      <w:proofErr w:type="spellEnd"/>
      <w:r w:rsidRPr="006B04F3">
        <w:rPr>
          <w:rFonts w:ascii="Times New Roman" w:hAnsi="Times New Roman" w:cs="Times New Roman"/>
          <w:sz w:val="24"/>
          <w:szCs w:val="24"/>
        </w:rPr>
        <w:t xml:space="preserve"> Freshwater Invertebrates of the United States: Porifera to Crustacea. 4th edition. John Wiley and Sons, Inc., Hoboken, NJ.</w:t>
      </w:r>
    </w:p>
    <w:p w14:paraId="1169E5EA" w14:textId="77777777" w:rsidR="00AB7C5D" w:rsidRPr="006B04F3" w:rsidRDefault="00AB7C5D" w:rsidP="00AB7C5D">
      <w:pPr>
        <w:spacing w:after="0" w:line="480" w:lineRule="auto"/>
        <w:ind w:left="720" w:hanging="720"/>
        <w:rPr>
          <w:rFonts w:ascii="Times New Roman" w:hAnsi="Times New Roman" w:cs="Times New Roman"/>
          <w:sz w:val="24"/>
          <w:szCs w:val="24"/>
        </w:rPr>
      </w:pPr>
      <w:proofErr w:type="spellStart"/>
      <w:r w:rsidRPr="006B04F3">
        <w:rPr>
          <w:rFonts w:ascii="Times New Roman" w:hAnsi="Times New Roman" w:cs="Times New Roman"/>
          <w:sz w:val="24"/>
          <w:szCs w:val="24"/>
        </w:rPr>
        <w:t>Torke</w:t>
      </w:r>
      <w:proofErr w:type="spellEnd"/>
      <w:r w:rsidRPr="006B04F3">
        <w:rPr>
          <w:rFonts w:ascii="Times New Roman" w:hAnsi="Times New Roman" w:cs="Times New Roman"/>
          <w:sz w:val="24"/>
          <w:szCs w:val="24"/>
        </w:rPr>
        <w:t>, B. G. 1979. A key to the identification of the cyclopoid copepods of Wisconsin, with notes on their distribution and ecology. Wisconsin Department of Natural Resources.</w:t>
      </w:r>
    </w:p>
    <w:p w14:paraId="26A5EB2F" w14:textId="77777777" w:rsidR="00AB7C5D" w:rsidRDefault="00AB7C5D" w:rsidP="00AB7C5D">
      <w:pPr>
        <w:spacing w:after="0" w:line="480" w:lineRule="auto"/>
        <w:rPr>
          <w:rFonts w:ascii="Times New Roman" w:hAnsi="Times New Roman" w:cs="Times New Roman"/>
          <w:i/>
          <w:iCs/>
          <w:sz w:val="24"/>
          <w:szCs w:val="24"/>
        </w:rPr>
      </w:pPr>
      <w:bookmarkStart w:id="4" w:name="_Toc124147706"/>
    </w:p>
    <w:p w14:paraId="463C2980" w14:textId="77777777" w:rsidR="00AB7C5D" w:rsidRPr="006B04F3" w:rsidRDefault="00AB7C5D" w:rsidP="00AB7C5D">
      <w:pPr>
        <w:spacing w:after="0" w:line="480" w:lineRule="auto"/>
        <w:rPr>
          <w:rFonts w:ascii="Times New Roman" w:hAnsi="Times New Roman" w:cs="Times New Roman"/>
          <w:i/>
          <w:iCs/>
          <w:sz w:val="24"/>
          <w:szCs w:val="24"/>
        </w:rPr>
      </w:pPr>
      <w:r w:rsidRPr="006B04F3">
        <w:rPr>
          <w:rFonts w:ascii="Times New Roman" w:hAnsi="Times New Roman" w:cs="Times New Roman"/>
          <w:i/>
          <w:iCs/>
          <w:sz w:val="24"/>
          <w:szCs w:val="24"/>
        </w:rPr>
        <w:t>Benthic invertebrates</w:t>
      </w:r>
      <w:bookmarkEnd w:id="4"/>
    </w:p>
    <w:p w14:paraId="0D10F745" w14:textId="77777777" w:rsidR="00AB7C5D" w:rsidRDefault="00AB7C5D" w:rsidP="00AB7C5D">
      <w:pPr>
        <w:spacing w:after="0" w:line="480" w:lineRule="auto"/>
        <w:ind w:firstLine="720"/>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RMB Environmental Laboratories uses the following protocol to analyze lake macroinvertebrate samples based on Minnesota Pollution Control Agency lab</w:t>
      </w:r>
      <w:r>
        <w:rPr>
          <w:rStyle w:val="normaltextrun"/>
          <w:rFonts w:ascii="Times New Roman" w:hAnsi="Times New Roman" w:cs="Times New Roman"/>
          <w:sz w:val="24"/>
          <w:szCs w:val="24"/>
        </w:rPr>
        <w:t>oratory</w:t>
      </w:r>
      <w:r w:rsidRPr="006B04F3">
        <w:rPr>
          <w:rStyle w:val="normaltextrun"/>
          <w:rFonts w:ascii="Times New Roman" w:hAnsi="Times New Roman" w:cs="Times New Roman"/>
          <w:sz w:val="24"/>
          <w:szCs w:val="24"/>
        </w:rPr>
        <w:t xml:space="preserve"> procedures. </w:t>
      </w:r>
      <w:r w:rsidRPr="006B04F3">
        <w:rPr>
          <w:rStyle w:val="normaltextrun"/>
          <w:rFonts w:ascii="Times New Roman" w:hAnsi="Times New Roman" w:cs="Times New Roman"/>
          <w:sz w:val="24"/>
          <w:szCs w:val="24"/>
        </w:rPr>
        <w:lastRenderedPageBreak/>
        <w:t xml:space="preserve">Each macroinvertebrate sample was filtered through an 80-µm mesh sieve, with the original alcohol retained for future sample preservation. The sample was rinsed into a series of glass </w:t>
      </w:r>
      <w:r>
        <w:rPr>
          <w:rStyle w:val="normaltextrun"/>
          <w:rFonts w:ascii="Times New Roman" w:hAnsi="Times New Roman" w:cs="Times New Roman"/>
          <w:sz w:val="24"/>
          <w:szCs w:val="24"/>
        </w:rPr>
        <w:t>P</w:t>
      </w:r>
      <w:r w:rsidRPr="006B04F3">
        <w:rPr>
          <w:rStyle w:val="normaltextrun"/>
          <w:rFonts w:ascii="Times New Roman" w:hAnsi="Times New Roman" w:cs="Times New Roman"/>
          <w:sz w:val="24"/>
          <w:szCs w:val="24"/>
        </w:rPr>
        <w:t xml:space="preserve">etri dishes with water to allow the detritus to be easily moved around and searched for organisms. Samples were searched under a dissecting scope at low power (7–10x) to locate all macroinvertebrate specimens, which were stored in a vial with 80% ethanol. Samples with macroinvertebrates far exceeding the 300-count target were to be subsampled; however, none of the samples in this project reached densities that high. The remaining debris was returned to the original sample container and preserved with the original alcohol. Each sample was identified to genus level where possible using current published taxonomic references. Taxonomically challenging specimens were </w:t>
      </w:r>
      <w:proofErr w:type="gramStart"/>
      <w:r w:rsidRPr="006B04F3">
        <w:rPr>
          <w:rStyle w:val="normaltextrun"/>
          <w:rFonts w:ascii="Times New Roman" w:hAnsi="Times New Roman" w:cs="Times New Roman"/>
          <w:sz w:val="24"/>
          <w:szCs w:val="24"/>
        </w:rPr>
        <w:t>photographed</w:t>
      </w:r>
      <w:proofErr w:type="gramEnd"/>
      <w:r w:rsidRPr="006B04F3">
        <w:rPr>
          <w:rStyle w:val="normaltextrun"/>
          <w:rFonts w:ascii="Times New Roman" w:hAnsi="Times New Roman" w:cs="Times New Roman"/>
          <w:sz w:val="24"/>
          <w:szCs w:val="24"/>
        </w:rPr>
        <w:t xml:space="preserve"> and other taxonomists were consulted to determine designations. All identifications were recorded on original data sheets and entered in a spreadsheet for the project.</w:t>
      </w:r>
    </w:p>
    <w:p w14:paraId="5EEAD31A" w14:textId="77777777" w:rsidR="00AB7C5D" w:rsidRPr="006B04F3" w:rsidRDefault="00AB7C5D" w:rsidP="00AB7C5D">
      <w:pPr>
        <w:spacing w:after="0" w:line="480" w:lineRule="auto"/>
        <w:ind w:firstLine="720"/>
        <w:rPr>
          <w:rStyle w:val="normaltextrun"/>
          <w:rFonts w:ascii="Times New Roman" w:hAnsi="Times New Roman" w:cs="Times New Roman"/>
          <w:sz w:val="24"/>
          <w:szCs w:val="24"/>
        </w:rPr>
      </w:pPr>
    </w:p>
    <w:p w14:paraId="71B17FC2" w14:textId="77777777" w:rsidR="00AB7C5D" w:rsidRPr="006B04F3" w:rsidRDefault="00AB7C5D" w:rsidP="00AB7C5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Guides used in </w:t>
      </w:r>
      <w:proofErr w:type="spellStart"/>
      <w:r>
        <w:rPr>
          <w:rFonts w:ascii="Times New Roman" w:hAnsi="Times New Roman" w:cs="Times New Roman"/>
          <w:sz w:val="24"/>
          <w:szCs w:val="24"/>
        </w:rPr>
        <w:t>benthi</w:t>
      </w:r>
      <w:proofErr w:type="spellEnd"/>
      <w:r>
        <w:rPr>
          <w:rFonts w:ascii="Times New Roman" w:hAnsi="Times New Roman" w:cs="Times New Roman"/>
          <w:sz w:val="24"/>
          <w:szCs w:val="24"/>
        </w:rPr>
        <w:t xml:space="preserve"> invertebrate identification:</w:t>
      </w:r>
    </w:p>
    <w:p w14:paraId="417F2439"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Burch, J. B. 1989. North American freshwater snails. Malacological Publications, Hamburg, MI.</w:t>
      </w:r>
    </w:p>
    <w:p w14:paraId="459D642A"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 xml:space="preserve">Burch, J. P. 1972. Freshwater </w:t>
      </w:r>
      <w:proofErr w:type="spellStart"/>
      <w:r w:rsidRPr="006B04F3">
        <w:rPr>
          <w:rFonts w:ascii="Times New Roman" w:hAnsi="Times New Roman" w:cs="Times New Roman"/>
          <w:sz w:val="24"/>
          <w:szCs w:val="24"/>
        </w:rPr>
        <w:t>sphaeriacean</w:t>
      </w:r>
      <w:proofErr w:type="spellEnd"/>
      <w:r w:rsidRPr="006B04F3">
        <w:rPr>
          <w:rFonts w:ascii="Times New Roman" w:hAnsi="Times New Roman" w:cs="Times New Roman"/>
          <w:sz w:val="24"/>
          <w:szCs w:val="24"/>
        </w:rPr>
        <w:t xml:space="preserve"> clams (Mollusca: </w:t>
      </w:r>
      <w:proofErr w:type="spellStart"/>
      <w:r w:rsidRPr="006B04F3">
        <w:rPr>
          <w:rFonts w:ascii="Times New Roman" w:hAnsi="Times New Roman" w:cs="Times New Roman"/>
          <w:sz w:val="24"/>
          <w:szCs w:val="24"/>
        </w:rPr>
        <w:t>Pelecypoda</w:t>
      </w:r>
      <w:proofErr w:type="spellEnd"/>
      <w:r w:rsidRPr="006B04F3">
        <w:rPr>
          <w:rFonts w:ascii="Times New Roman" w:hAnsi="Times New Roman" w:cs="Times New Roman"/>
          <w:sz w:val="24"/>
          <w:szCs w:val="24"/>
        </w:rPr>
        <w:t>) of North America. University of Michigan Library, Ann Arbor, MI.</w:t>
      </w:r>
    </w:p>
    <w:p w14:paraId="421887B5" w14:textId="77777777" w:rsidR="00AB7C5D" w:rsidRPr="006B04F3" w:rsidRDefault="00AB7C5D" w:rsidP="00AB7C5D">
      <w:pPr>
        <w:spacing w:after="0" w:line="480" w:lineRule="auto"/>
        <w:ind w:left="720" w:hanging="720"/>
        <w:rPr>
          <w:rFonts w:ascii="Times New Roman" w:hAnsi="Times New Roman" w:cs="Times New Roman"/>
          <w:sz w:val="24"/>
          <w:szCs w:val="24"/>
        </w:rPr>
      </w:pPr>
      <w:proofErr w:type="spellStart"/>
      <w:r w:rsidRPr="006B04F3">
        <w:rPr>
          <w:rFonts w:ascii="Times New Roman" w:hAnsi="Times New Roman" w:cs="Times New Roman"/>
          <w:sz w:val="24"/>
          <w:szCs w:val="24"/>
        </w:rPr>
        <w:t>Hilsenhoff</w:t>
      </w:r>
      <w:proofErr w:type="spellEnd"/>
      <w:r w:rsidRPr="006B04F3">
        <w:rPr>
          <w:rFonts w:ascii="Times New Roman" w:hAnsi="Times New Roman" w:cs="Times New Roman"/>
          <w:sz w:val="24"/>
          <w:szCs w:val="24"/>
        </w:rPr>
        <w:t>, W. L. 1995. Aquatic insects of Wisconsin: keys to Wisconsin genera and notes on biology, habitat, distribution and species</w:t>
      </w:r>
      <w:r>
        <w:rPr>
          <w:rFonts w:ascii="Times New Roman" w:hAnsi="Times New Roman" w:cs="Times New Roman"/>
          <w:sz w:val="24"/>
          <w:szCs w:val="24"/>
        </w:rPr>
        <w:t>,</w:t>
      </w:r>
      <w:r w:rsidRPr="006B04F3">
        <w:rPr>
          <w:rFonts w:ascii="Times New Roman" w:hAnsi="Times New Roman" w:cs="Times New Roman"/>
          <w:sz w:val="24"/>
          <w:szCs w:val="24"/>
        </w:rPr>
        <w:t xml:space="preserve"> no. 3</w:t>
      </w:r>
      <w:r>
        <w:rPr>
          <w:rFonts w:ascii="Times New Roman" w:hAnsi="Times New Roman" w:cs="Times New Roman"/>
          <w:sz w:val="24"/>
          <w:szCs w:val="24"/>
        </w:rPr>
        <w:t>.</w:t>
      </w:r>
      <w:r w:rsidRPr="006B04F3">
        <w:rPr>
          <w:rFonts w:ascii="Times New Roman" w:hAnsi="Times New Roman" w:cs="Times New Roman"/>
          <w:sz w:val="24"/>
          <w:szCs w:val="24"/>
        </w:rPr>
        <w:t xml:space="preserve"> Natural History Museums Council, University of Wisconsin-Madison, Madison, WI.</w:t>
      </w:r>
    </w:p>
    <w:p w14:paraId="421B0C89"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 xml:space="preserve">Holsinger, J. R., Oceanography and Limnology Program (Smithsonian Institution), and U.S. Environmental Protection Agency. 1972. The freshwater amphipod crustaceans </w:t>
      </w:r>
      <w:r w:rsidRPr="006B04F3">
        <w:rPr>
          <w:rFonts w:ascii="Times New Roman" w:hAnsi="Times New Roman" w:cs="Times New Roman"/>
          <w:sz w:val="24"/>
          <w:szCs w:val="24"/>
        </w:rPr>
        <w:lastRenderedPageBreak/>
        <w:t>(Gammaridae) of North America. Biota of freshwater ecosystems identification manual no. 5, U.S. Environmental Protection Agency, Washington, DC.</w:t>
      </w:r>
    </w:p>
    <w:p w14:paraId="22BCBF2F" w14:textId="77777777" w:rsidR="00AB7C5D" w:rsidRPr="006B04F3" w:rsidRDefault="00AB7C5D" w:rsidP="00AB7C5D">
      <w:pPr>
        <w:spacing w:after="0" w:line="480" w:lineRule="auto"/>
        <w:ind w:left="720" w:hanging="720"/>
        <w:rPr>
          <w:rFonts w:ascii="Times New Roman" w:hAnsi="Times New Roman" w:cs="Times New Roman"/>
          <w:sz w:val="24"/>
          <w:szCs w:val="24"/>
        </w:rPr>
      </w:pPr>
      <w:proofErr w:type="spellStart"/>
      <w:r w:rsidRPr="006B04F3">
        <w:rPr>
          <w:rFonts w:ascii="Times New Roman" w:hAnsi="Times New Roman" w:cs="Times New Roman"/>
          <w:sz w:val="24"/>
          <w:szCs w:val="24"/>
        </w:rPr>
        <w:t>Kathman</w:t>
      </w:r>
      <w:proofErr w:type="spellEnd"/>
      <w:r w:rsidRPr="006B04F3">
        <w:rPr>
          <w:rFonts w:ascii="Times New Roman" w:hAnsi="Times New Roman" w:cs="Times New Roman"/>
          <w:sz w:val="24"/>
          <w:szCs w:val="24"/>
        </w:rPr>
        <w:t xml:space="preserve">, R. D., and R. O. </w:t>
      </w:r>
      <w:proofErr w:type="spellStart"/>
      <w:r w:rsidRPr="006B04F3">
        <w:rPr>
          <w:rFonts w:ascii="Times New Roman" w:hAnsi="Times New Roman" w:cs="Times New Roman"/>
          <w:sz w:val="24"/>
          <w:szCs w:val="24"/>
        </w:rPr>
        <w:t>Binkhurst</w:t>
      </w:r>
      <w:proofErr w:type="spellEnd"/>
      <w:r w:rsidRPr="006B04F3">
        <w:rPr>
          <w:rFonts w:ascii="Times New Roman" w:hAnsi="Times New Roman" w:cs="Times New Roman"/>
          <w:sz w:val="24"/>
          <w:szCs w:val="24"/>
        </w:rPr>
        <w:t>. 1998. Guide to the freshwater oligochaetes of North America. Aquatic Resources Center, College Grove, TN.</w:t>
      </w:r>
    </w:p>
    <w:p w14:paraId="3DFF38A1"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 xml:space="preserve">Klemm, D. J. 1985. A </w:t>
      </w:r>
      <w:r>
        <w:rPr>
          <w:rFonts w:ascii="Times New Roman" w:hAnsi="Times New Roman" w:cs="Times New Roman"/>
          <w:sz w:val="24"/>
          <w:szCs w:val="24"/>
        </w:rPr>
        <w:t>g</w:t>
      </w:r>
      <w:r w:rsidRPr="006B04F3">
        <w:rPr>
          <w:rFonts w:ascii="Times New Roman" w:hAnsi="Times New Roman" w:cs="Times New Roman"/>
          <w:sz w:val="24"/>
          <w:szCs w:val="24"/>
        </w:rPr>
        <w:t>uide to the freshwater Annelida (Polychaeta, naidid and tubificid Oligochaeta, and Hirudinea) of North America. Kendal Hunt Publishing Company, Dubuque, IA.</w:t>
      </w:r>
    </w:p>
    <w:p w14:paraId="032C4811"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Klemm, D. J. 1991. Taxonomy and pollution ecology of the Great Lakes region leeches (Annelida: Hirudinea). Michigan Academy of Science, Arts, and Letters, Alma, MI.</w:t>
      </w:r>
    </w:p>
    <w:p w14:paraId="54D563E7" w14:textId="77777777" w:rsidR="00AB7C5D" w:rsidRPr="006B04F3" w:rsidRDefault="00AB7C5D" w:rsidP="00AB7C5D">
      <w:pPr>
        <w:spacing w:after="0" w:line="480" w:lineRule="auto"/>
        <w:ind w:left="720" w:hanging="720"/>
        <w:rPr>
          <w:rFonts w:ascii="Times New Roman" w:hAnsi="Times New Roman" w:cs="Times New Roman"/>
          <w:sz w:val="24"/>
          <w:szCs w:val="24"/>
        </w:rPr>
      </w:pPr>
      <w:proofErr w:type="spellStart"/>
      <w:r w:rsidRPr="006B04F3">
        <w:rPr>
          <w:rFonts w:ascii="Times New Roman" w:hAnsi="Times New Roman" w:cs="Times New Roman"/>
          <w:sz w:val="24"/>
          <w:szCs w:val="24"/>
        </w:rPr>
        <w:t>Klubertanz</w:t>
      </w:r>
      <w:proofErr w:type="spellEnd"/>
      <w:r w:rsidRPr="006B04F3">
        <w:rPr>
          <w:rFonts w:ascii="Times New Roman" w:hAnsi="Times New Roman" w:cs="Times New Roman"/>
          <w:sz w:val="24"/>
          <w:szCs w:val="24"/>
        </w:rPr>
        <w:t>, T. H. 2016. Mayfly larvae of Wisconsin. University of Wisconsin-Extension, Madison, WI.</w:t>
      </w:r>
    </w:p>
    <w:p w14:paraId="196689D0"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Merritt, R. W., K. W. Cummins, and M. B. Berg, editors. 2019. An Introduction to the Aquatic Insects of North America. 5th edition. Kendal Hunt Publishing Company, Dubuque, IA.</w:t>
      </w:r>
    </w:p>
    <w:p w14:paraId="0DC1A278"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Needham, J. G., M. J. Westfall, and M. L. May. 2000. Dragonflies of North America. Revised. Scientific Publishers, Gainesville, FL.</w:t>
      </w:r>
    </w:p>
    <w:p w14:paraId="58828805" w14:textId="77777777" w:rsidR="00AB7C5D" w:rsidRPr="006B04F3" w:rsidRDefault="00AB7C5D" w:rsidP="00AB7C5D">
      <w:pPr>
        <w:spacing w:after="0" w:line="480" w:lineRule="auto"/>
        <w:ind w:left="720" w:hanging="720"/>
        <w:rPr>
          <w:rFonts w:ascii="Times New Roman" w:hAnsi="Times New Roman" w:cs="Times New Roman"/>
          <w:sz w:val="24"/>
          <w:szCs w:val="24"/>
        </w:rPr>
      </w:pPr>
      <w:proofErr w:type="spellStart"/>
      <w:r w:rsidRPr="006B04F3">
        <w:rPr>
          <w:rFonts w:ascii="Times New Roman" w:hAnsi="Times New Roman" w:cs="Times New Roman"/>
          <w:sz w:val="24"/>
          <w:szCs w:val="24"/>
        </w:rPr>
        <w:t>Peckarsky</w:t>
      </w:r>
      <w:proofErr w:type="spellEnd"/>
      <w:r w:rsidRPr="006B04F3">
        <w:rPr>
          <w:rFonts w:ascii="Times New Roman" w:hAnsi="Times New Roman" w:cs="Times New Roman"/>
          <w:sz w:val="24"/>
          <w:szCs w:val="24"/>
        </w:rPr>
        <w:t xml:space="preserve">, B. L., P. R. </w:t>
      </w:r>
      <w:proofErr w:type="spellStart"/>
      <w:r w:rsidRPr="006B04F3">
        <w:rPr>
          <w:rFonts w:ascii="Times New Roman" w:hAnsi="Times New Roman" w:cs="Times New Roman"/>
          <w:sz w:val="24"/>
          <w:szCs w:val="24"/>
        </w:rPr>
        <w:t>Fraissnet</w:t>
      </w:r>
      <w:proofErr w:type="spellEnd"/>
      <w:r w:rsidRPr="006B04F3">
        <w:rPr>
          <w:rFonts w:ascii="Times New Roman" w:hAnsi="Times New Roman" w:cs="Times New Roman"/>
          <w:sz w:val="24"/>
          <w:szCs w:val="24"/>
        </w:rPr>
        <w:t>, M. Penton, and D. J. Conklin. 1990. Freshwater Macroinvertebrates of Northeastern North America. New Books, Inc., Portland, OR.</w:t>
      </w:r>
    </w:p>
    <w:p w14:paraId="22A90B06" w14:textId="77777777" w:rsidR="00AB7C5D" w:rsidRPr="006B04F3" w:rsidRDefault="00AB7C5D" w:rsidP="00AB7C5D">
      <w:pPr>
        <w:spacing w:after="0" w:line="480" w:lineRule="auto"/>
        <w:ind w:left="720" w:hanging="720"/>
        <w:rPr>
          <w:rFonts w:ascii="Times New Roman" w:hAnsi="Times New Roman" w:cs="Times New Roman"/>
          <w:sz w:val="24"/>
          <w:szCs w:val="24"/>
        </w:rPr>
      </w:pPr>
      <w:bookmarkStart w:id="5" w:name="_Hlk74738842"/>
      <w:r w:rsidRPr="006B04F3">
        <w:rPr>
          <w:rFonts w:ascii="Times New Roman" w:hAnsi="Times New Roman" w:cs="Times New Roman"/>
          <w:sz w:val="24"/>
          <w:szCs w:val="24"/>
        </w:rPr>
        <w:t xml:space="preserve">Smith, D. G. 2001. </w:t>
      </w:r>
      <w:proofErr w:type="spellStart"/>
      <w:r w:rsidRPr="006B04F3">
        <w:rPr>
          <w:rFonts w:ascii="Times New Roman" w:hAnsi="Times New Roman" w:cs="Times New Roman"/>
          <w:sz w:val="24"/>
          <w:szCs w:val="24"/>
        </w:rPr>
        <w:t>Pennak’s</w:t>
      </w:r>
      <w:proofErr w:type="spellEnd"/>
      <w:r w:rsidRPr="006B04F3">
        <w:rPr>
          <w:rFonts w:ascii="Times New Roman" w:hAnsi="Times New Roman" w:cs="Times New Roman"/>
          <w:sz w:val="24"/>
          <w:szCs w:val="24"/>
        </w:rPr>
        <w:t xml:space="preserve"> Freshwater Invertebrates of the United States: Porifera to Crustacea. 4th edition. John Wiley and Sons, Inc., Hoboken, NJ.</w:t>
      </w:r>
    </w:p>
    <w:bookmarkEnd w:id="5"/>
    <w:p w14:paraId="4A18AB89"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Wiggins, G. B. 1996. Larvae of the North American caddisfly genera (</w:t>
      </w:r>
      <w:proofErr w:type="spellStart"/>
      <w:r w:rsidRPr="006B04F3">
        <w:rPr>
          <w:rFonts w:ascii="Times New Roman" w:hAnsi="Times New Roman" w:cs="Times New Roman"/>
          <w:sz w:val="24"/>
          <w:szCs w:val="24"/>
        </w:rPr>
        <w:t>Trichoptera</w:t>
      </w:r>
      <w:proofErr w:type="spellEnd"/>
      <w:r w:rsidRPr="006B04F3">
        <w:rPr>
          <w:rFonts w:ascii="Times New Roman" w:hAnsi="Times New Roman" w:cs="Times New Roman"/>
          <w:sz w:val="24"/>
          <w:szCs w:val="24"/>
        </w:rPr>
        <w:t xml:space="preserve">). 2nd edition. University of Toronto Press, </w:t>
      </w:r>
      <w:proofErr w:type="spellStart"/>
      <w:r w:rsidRPr="006B04F3">
        <w:rPr>
          <w:rFonts w:ascii="Times New Roman" w:hAnsi="Times New Roman" w:cs="Times New Roman"/>
          <w:sz w:val="24"/>
          <w:szCs w:val="24"/>
        </w:rPr>
        <w:t>Ottowa</w:t>
      </w:r>
      <w:proofErr w:type="spellEnd"/>
      <w:r w:rsidRPr="006B04F3">
        <w:rPr>
          <w:rFonts w:ascii="Times New Roman" w:hAnsi="Times New Roman" w:cs="Times New Roman"/>
          <w:sz w:val="24"/>
          <w:szCs w:val="24"/>
        </w:rPr>
        <w:t>, ON.</w:t>
      </w:r>
    </w:p>
    <w:p w14:paraId="2F79961D" w14:textId="77777777" w:rsidR="00AB7C5D" w:rsidRPr="006B04F3" w:rsidRDefault="00AB7C5D" w:rsidP="00AB7C5D">
      <w:pPr>
        <w:spacing w:after="0" w:line="480" w:lineRule="auto"/>
        <w:ind w:left="720" w:hanging="720"/>
        <w:rPr>
          <w:rFonts w:ascii="Times New Roman" w:hAnsi="Times New Roman" w:cs="Times New Roman"/>
          <w:sz w:val="24"/>
          <w:szCs w:val="24"/>
        </w:rPr>
      </w:pPr>
      <w:r w:rsidRPr="006B04F3">
        <w:rPr>
          <w:rFonts w:ascii="Times New Roman" w:hAnsi="Times New Roman" w:cs="Times New Roman"/>
          <w:sz w:val="24"/>
          <w:szCs w:val="24"/>
        </w:rPr>
        <w:t>Williams, W. D., Oceanography and Limnology Program (Smithsonian Institution), and U.S. Environmental Protection Agency. 1972. Freshwater isopods (</w:t>
      </w:r>
      <w:proofErr w:type="spellStart"/>
      <w:r w:rsidRPr="006B04F3">
        <w:rPr>
          <w:rFonts w:ascii="Times New Roman" w:hAnsi="Times New Roman" w:cs="Times New Roman"/>
          <w:sz w:val="24"/>
          <w:szCs w:val="24"/>
        </w:rPr>
        <w:t>Asellidae</w:t>
      </w:r>
      <w:proofErr w:type="spellEnd"/>
      <w:r w:rsidRPr="006B04F3">
        <w:rPr>
          <w:rFonts w:ascii="Times New Roman" w:hAnsi="Times New Roman" w:cs="Times New Roman"/>
          <w:sz w:val="24"/>
          <w:szCs w:val="24"/>
        </w:rPr>
        <w:t xml:space="preserve">) of North </w:t>
      </w:r>
      <w:r w:rsidRPr="006B04F3">
        <w:rPr>
          <w:rFonts w:ascii="Times New Roman" w:hAnsi="Times New Roman" w:cs="Times New Roman"/>
          <w:sz w:val="24"/>
          <w:szCs w:val="24"/>
        </w:rPr>
        <w:lastRenderedPageBreak/>
        <w:t>America. Biota of freshwater ecosystems identification manual no. 7, U.S. Environmental Protection Agency, Washington, DC.</w:t>
      </w:r>
      <w:bookmarkStart w:id="6" w:name="_Toc124147707"/>
    </w:p>
    <w:p w14:paraId="6680AD3A" w14:textId="77777777" w:rsidR="00AB7C5D" w:rsidRPr="006B04F3" w:rsidRDefault="00AB7C5D" w:rsidP="00AB7C5D">
      <w:pPr>
        <w:spacing w:after="0" w:line="480" w:lineRule="auto"/>
        <w:rPr>
          <w:rFonts w:ascii="Times New Roman" w:hAnsi="Times New Roman" w:cs="Times New Roman"/>
          <w:b/>
          <w:bCs/>
          <w:sz w:val="24"/>
          <w:szCs w:val="24"/>
        </w:rPr>
      </w:pPr>
      <w:r w:rsidRPr="006B04F3">
        <w:rPr>
          <w:rFonts w:ascii="Times New Roman" w:hAnsi="Times New Roman" w:cs="Times New Roman"/>
          <w:b/>
          <w:bCs/>
          <w:sz w:val="24"/>
          <w:szCs w:val="24"/>
        </w:rPr>
        <w:t>Iowa State University – Veterinary Diagnostics Laboratory</w:t>
      </w:r>
      <w:bookmarkEnd w:id="6"/>
    </w:p>
    <w:p w14:paraId="718269FA" w14:textId="77777777" w:rsidR="00AB7C5D" w:rsidRPr="006B04F3" w:rsidRDefault="00AB7C5D" w:rsidP="00AB7C5D">
      <w:pPr>
        <w:spacing w:after="0" w:line="480" w:lineRule="auto"/>
        <w:rPr>
          <w:rFonts w:ascii="Times New Roman" w:hAnsi="Times New Roman" w:cs="Times New Roman"/>
          <w:b/>
          <w:bCs/>
          <w:sz w:val="24"/>
          <w:szCs w:val="24"/>
        </w:rPr>
      </w:pPr>
      <w:r w:rsidRPr="006B04F3">
        <w:rPr>
          <w:rFonts w:ascii="Times New Roman" w:hAnsi="Times New Roman" w:cs="Times New Roman"/>
          <w:b/>
          <w:bCs/>
          <w:sz w:val="24"/>
          <w:szCs w:val="24"/>
        </w:rPr>
        <w:t xml:space="preserve">1850 Christensen </w:t>
      </w:r>
      <w:proofErr w:type="spellStart"/>
      <w:r w:rsidRPr="006B04F3">
        <w:rPr>
          <w:rFonts w:ascii="Times New Roman" w:hAnsi="Times New Roman" w:cs="Times New Roman"/>
          <w:b/>
          <w:bCs/>
          <w:sz w:val="24"/>
          <w:szCs w:val="24"/>
        </w:rPr>
        <w:t>Drice</w:t>
      </w:r>
      <w:proofErr w:type="spellEnd"/>
      <w:r w:rsidRPr="006B04F3">
        <w:rPr>
          <w:rFonts w:ascii="Times New Roman" w:hAnsi="Times New Roman" w:cs="Times New Roman"/>
          <w:b/>
          <w:bCs/>
          <w:sz w:val="24"/>
          <w:szCs w:val="24"/>
        </w:rPr>
        <w:t>, Ames, IA 50011, USA</w:t>
      </w:r>
      <w:bookmarkStart w:id="7" w:name="_Toc124147708"/>
    </w:p>
    <w:p w14:paraId="332888D8" w14:textId="77777777" w:rsidR="00AB7C5D" w:rsidRPr="006B04F3" w:rsidRDefault="00AB7C5D" w:rsidP="00AB7C5D">
      <w:pPr>
        <w:spacing w:after="0" w:line="480" w:lineRule="auto"/>
        <w:rPr>
          <w:rFonts w:ascii="Times New Roman" w:hAnsi="Times New Roman" w:cs="Times New Roman"/>
          <w:i/>
          <w:iCs/>
          <w:sz w:val="24"/>
          <w:szCs w:val="24"/>
        </w:rPr>
      </w:pPr>
      <w:r w:rsidRPr="006B04F3">
        <w:rPr>
          <w:rFonts w:ascii="Times New Roman" w:hAnsi="Times New Roman" w:cs="Times New Roman"/>
          <w:i/>
          <w:iCs/>
          <w:sz w:val="24"/>
          <w:szCs w:val="24"/>
        </w:rPr>
        <w:t>Tissue copper</w:t>
      </w:r>
      <w:bookmarkEnd w:id="7"/>
    </w:p>
    <w:p w14:paraId="35168509" w14:textId="77777777" w:rsidR="00AB7C5D" w:rsidRPr="006B04F3" w:rsidRDefault="00AB7C5D" w:rsidP="00AB7C5D">
      <w:pPr>
        <w:spacing w:after="0" w:line="480" w:lineRule="auto"/>
        <w:ind w:firstLine="720"/>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 xml:space="preserve">All samples were analyzed for copper (Cu) using Inductively Coupled Plasma Mass Spectrometry (ICP-MS; </w:t>
      </w:r>
      <w:proofErr w:type="spellStart"/>
      <w:r w:rsidRPr="006B04F3">
        <w:rPr>
          <w:rStyle w:val="normaltextrun"/>
          <w:rFonts w:ascii="Times New Roman" w:hAnsi="Times New Roman" w:cs="Times New Roman"/>
          <w:sz w:val="24"/>
          <w:szCs w:val="24"/>
        </w:rPr>
        <w:t>Analytik</w:t>
      </w:r>
      <w:proofErr w:type="spellEnd"/>
      <w:r w:rsidRPr="006B04F3">
        <w:rPr>
          <w:rStyle w:val="normaltextrun"/>
          <w:rFonts w:ascii="Times New Roman" w:hAnsi="Times New Roman" w:cs="Times New Roman"/>
          <w:sz w:val="24"/>
          <w:szCs w:val="24"/>
        </w:rPr>
        <w:t xml:space="preserve"> Jena Inc. Woburn, M</w:t>
      </w:r>
      <w:r>
        <w:rPr>
          <w:rStyle w:val="normaltextrun"/>
          <w:rFonts w:ascii="Times New Roman" w:hAnsi="Times New Roman" w:cs="Times New Roman"/>
          <w:sz w:val="24"/>
          <w:szCs w:val="24"/>
        </w:rPr>
        <w:t>assachusetts</w:t>
      </w:r>
      <w:r w:rsidRPr="006B04F3">
        <w:rPr>
          <w:rStyle w:val="normaltextrun"/>
          <w:rFonts w:ascii="Times New Roman" w:hAnsi="Times New Roman" w:cs="Times New Roman"/>
          <w:sz w:val="24"/>
          <w:szCs w:val="24"/>
        </w:rPr>
        <w:t>, USA) in CRI mode with hydrogen as the skimmer gas. Standards for elemental analyses were obtained from Inorganic Ventures (Christiansburg, V</w:t>
      </w:r>
      <w:r>
        <w:rPr>
          <w:rStyle w:val="normaltextrun"/>
          <w:rFonts w:ascii="Times New Roman" w:hAnsi="Times New Roman" w:cs="Times New Roman"/>
          <w:sz w:val="24"/>
          <w:szCs w:val="24"/>
        </w:rPr>
        <w:t>irginia</w:t>
      </w:r>
      <w:r w:rsidRPr="006B04F3">
        <w:rPr>
          <w:rStyle w:val="normaltextrun"/>
          <w:rFonts w:ascii="Times New Roman" w:hAnsi="Times New Roman" w:cs="Times New Roman"/>
          <w:sz w:val="24"/>
          <w:szCs w:val="24"/>
        </w:rPr>
        <w:t>), while digestion vessels, trace mineral grade nitric acid and hydrochloric acid were obtained from Fisher Scientific (Pittsburgh, P</w:t>
      </w:r>
      <w:r>
        <w:rPr>
          <w:rStyle w:val="normaltextrun"/>
          <w:rFonts w:ascii="Times New Roman" w:hAnsi="Times New Roman" w:cs="Times New Roman"/>
          <w:sz w:val="24"/>
          <w:szCs w:val="24"/>
        </w:rPr>
        <w:t>ennsylvania</w:t>
      </w:r>
      <w:r w:rsidRPr="006B04F3">
        <w:rPr>
          <w:rStyle w:val="normaltextrun"/>
          <w:rFonts w:ascii="Times New Roman" w:hAnsi="Times New Roman" w:cs="Times New Roman"/>
          <w:sz w:val="24"/>
          <w:szCs w:val="24"/>
        </w:rPr>
        <w:t>). Following thawing at room temperature, samples were processed and analyzed following Iowa State University-Veterinary Diagnostic Laboratory</w:t>
      </w:r>
      <w:r>
        <w:rPr>
          <w:rStyle w:val="normaltextrun"/>
          <w:rFonts w:ascii="Times New Roman" w:hAnsi="Times New Roman" w:cs="Times New Roman"/>
          <w:sz w:val="24"/>
          <w:szCs w:val="24"/>
        </w:rPr>
        <w:t xml:space="preserve"> (</w:t>
      </w:r>
      <w:r w:rsidRPr="006B04F3">
        <w:rPr>
          <w:rStyle w:val="normaltextrun"/>
          <w:rFonts w:ascii="Times New Roman" w:hAnsi="Times New Roman" w:cs="Times New Roman"/>
          <w:sz w:val="24"/>
          <w:szCs w:val="24"/>
        </w:rPr>
        <w:t>ISU-VDL</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Standard Operating Procedures for Cu analysis. Both the fish and the mussel samples were analyzed on a wet weight basis. Briefly, samples were digested in 70% nitric acid at 70 </w:t>
      </w:r>
      <w:r w:rsidRPr="00873C3A">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C in a dry bath overnight. For the fish analysis, the entire sample was weighed into a 50</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mL digestion tube</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and 5 mL of 70% nitric acid was </w:t>
      </w:r>
      <w:proofErr w:type="gramStart"/>
      <w:r w:rsidRPr="006B04F3">
        <w:rPr>
          <w:rStyle w:val="normaltextrun"/>
          <w:rFonts w:ascii="Times New Roman" w:hAnsi="Times New Roman" w:cs="Times New Roman"/>
          <w:sz w:val="24"/>
          <w:szCs w:val="24"/>
        </w:rPr>
        <w:t>added</w:t>
      </w:r>
      <w:r>
        <w:rPr>
          <w:rStyle w:val="normaltextrun"/>
          <w:rFonts w:ascii="Times New Roman" w:hAnsi="Times New Roman" w:cs="Times New Roman"/>
          <w:sz w:val="24"/>
          <w:szCs w:val="24"/>
        </w:rPr>
        <w:t>;</w:t>
      </w:r>
      <w:proofErr w:type="gramEnd"/>
      <w:r w:rsidRPr="006B04F3">
        <w:rPr>
          <w:rStyle w:val="normaltextrun"/>
          <w:rFonts w:ascii="Times New Roman" w:hAnsi="Times New Roman" w:cs="Times New Roman"/>
          <w:sz w:val="24"/>
          <w:szCs w:val="24"/>
        </w:rPr>
        <w:t xml:space="preserve"> as needed additional acid was added 1</w:t>
      </w:r>
      <w:r>
        <w:rPr>
          <w:rStyle w:val="normaltextrun"/>
          <w:rFonts w:ascii="Times New Roman" w:hAnsi="Times New Roman" w:cs="Times New Roman"/>
          <w:sz w:val="24"/>
          <w:szCs w:val="24"/>
        </w:rPr>
        <w:t xml:space="preserve"> </w:t>
      </w:r>
      <w:r w:rsidRPr="006B04F3">
        <w:rPr>
          <w:rStyle w:val="normaltextrun"/>
          <w:rFonts w:ascii="Times New Roman" w:hAnsi="Times New Roman" w:cs="Times New Roman"/>
          <w:sz w:val="24"/>
          <w:szCs w:val="24"/>
        </w:rPr>
        <w:t>mL at a time until the fish was submersed in the acid. The average fish weight was 2.72 g with a low value of 0.11 g and a high value of 10.36 g. After digestion, all samples were diluted to 25 mL using 1% nitric acid. An additional a 1:10 dilution was made using 1% nitric acid and analyzed by ICP-MS. The nitric acid percentage in the final digest was from 2–4% for the fish samples. For the mussel analysis, the entire sample was weighed into a 15</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mL digestion tube</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and 0.5 mL of 70% nitric acid was added prior to the digestion. After digestion, all samples were diluted to 5 mL using 1% nitric acid. </w:t>
      </w:r>
      <w:proofErr w:type="gramStart"/>
      <w:r w:rsidRPr="006B04F3">
        <w:rPr>
          <w:rStyle w:val="normaltextrun"/>
          <w:rFonts w:ascii="Times New Roman" w:hAnsi="Times New Roman" w:cs="Times New Roman"/>
          <w:sz w:val="24"/>
          <w:szCs w:val="24"/>
        </w:rPr>
        <w:t>Mussels</w:t>
      </w:r>
      <w:proofErr w:type="gramEnd"/>
      <w:r w:rsidRPr="006B04F3">
        <w:rPr>
          <w:rStyle w:val="normaltextrun"/>
          <w:rFonts w:ascii="Times New Roman" w:hAnsi="Times New Roman" w:cs="Times New Roman"/>
          <w:sz w:val="24"/>
          <w:szCs w:val="24"/>
        </w:rPr>
        <w:t xml:space="preserve"> digests were directly analyzed by ICP-MS. The average mussel weigh was 0.23 g with a low value of </w:t>
      </w:r>
      <w:r w:rsidRPr="006B04F3">
        <w:rPr>
          <w:rStyle w:val="normaltextrun"/>
          <w:rFonts w:ascii="Times New Roman" w:hAnsi="Times New Roman" w:cs="Times New Roman"/>
          <w:sz w:val="24"/>
          <w:szCs w:val="24"/>
        </w:rPr>
        <w:lastRenderedPageBreak/>
        <w:t>0.10 g and a high value of 0.51 g. However, occasionally samples with elevated Cu needed an additional dilution made using 1% nitric acid and were analyzed by ICP-MS after the dilution. The nitric acid percentage in the final digest was from 2–14% for the mussel samples. For Cu we used Yttrium (Y) as internal standard for the ICP-MS</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the </w:t>
      </w:r>
      <w:r w:rsidRPr="006B04F3">
        <w:rPr>
          <w:rStyle w:val="normaltextrun"/>
          <w:rFonts w:ascii="Times New Roman" w:hAnsi="Times New Roman" w:cs="Times New Roman"/>
          <w:sz w:val="24"/>
          <w:szCs w:val="24"/>
        </w:rPr>
        <w:t>acceptable criteri</w:t>
      </w:r>
      <w:r>
        <w:rPr>
          <w:rStyle w:val="normaltextrun"/>
          <w:rFonts w:ascii="Times New Roman" w:hAnsi="Times New Roman" w:cs="Times New Roman"/>
          <w:sz w:val="24"/>
          <w:szCs w:val="24"/>
        </w:rPr>
        <w:t>on</w:t>
      </w:r>
      <w:r w:rsidRPr="006B04F3">
        <w:rPr>
          <w:rStyle w:val="normaltextrun"/>
          <w:rFonts w:ascii="Times New Roman" w:hAnsi="Times New Roman" w:cs="Times New Roman"/>
          <w:sz w:val="24"/>
          <w:szCs w:val="24"/>
        </w:rPr>
        <w:t xml:space="preserve"> for the internal standard was a ratio of 0.7 to 1.2. Quality control samples ran with each analysis include a NIST liver as well as an “inhouse” control liver created at ISU-VDL.</w:t>
      </w:r>
    </w:p>
    <w:p w14:paraId="3BFA7772" w14:textId="77777777" w:rsidR="00AB7C5D" w:rsidRPr="006B04F3" w:rsidRDefault="00AB7C5D" w:rsidP="00AB7C5D">
      <w:pPr>
        <w:spacing w:after="0" w:line="480" w:lineRule="auto"/>
        <w:ind w:firstLine="720"/>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Standards are prepared from a 1000</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parts</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per</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million (ppm) stock solution of ICP</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MS grade. The 1000</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ppm stock solution is initially diluted 1:10 to make an intermediate standard at a 100</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ppm concentration. The 100</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ppm standard is further diluted to make 2</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and 1</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ppm standards. These standards are diluted to make 0.2</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and 0.1</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ppm standards. A final dilution of the 2</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and 1</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ppm standards is performed to obtain 0.02</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 xml:space="preserve"> and 0.01</w:t>
      </w:r>
      <w:r>
        <w:rPr>
          <w:rStyle w:val="normaltextrun"/>
          <w:rFonts w:ascii="Times New Roman" w:hAnsi="Times New Roman" w:cs="Times New Roman"/>
          <w:sz w:val="24"/>
          <w:szCs w:val="24"/>
        </w:rPr>
        <w:t>-</w:t>
      </w:r>
      <w:r w:rsidRPr="006B04F3">
        <w:rPr>
          <w:rStyle w:val="normaltextrun"/>
          <w:rFonts w:ascii="Times New Roman" w:hAnsi="Times New Roman" w:cs="Times New Roman"/>
          <w:sz w:val="24"/>
          <w:szCs w:val="24"/>
        </w:rPr>
        <w:t>ppm standards. All dilutions were performed with 1% nitric acid as the diluent.</w:t>
      </w:r>
    </w:p>
    <w:p w14:paraId="12C52DB4" w14:textId="77777777" w:rsidR="00AB7C5D" w:rsidRDefault="00AB7C5D" w:rsidP="00AB7C5D">
      <w:pPr>
        <w:spacing w:after="0" w:line="480" w:lineRule="auto"/>
        <w:ind w:firstLine="720"/>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The acceptable ranges reflect the expected results +/- 2 standard deviation. The expected value for the NIST Control Liver is 142.5 ppm with a standard deviation of 14.1 ppm, which gives a percent relative standard deviation of 9.9% (Table 2.1). The expected value for In House Control Liver is 57.0 ppm with a standard deviation of 6.6 ppm, which gives a percent relative standard deviation of 11.6%.</w:t>
      </w:r>
      <w:bookmarkStart w:id="8" w:name="_Toc124147816"/>
    </w:p>
    <w:p w14:paraId="31770B56" w14:textId="77777777" w:rsidR="00AB7C5D" w:rsidRPr="006B04F3" w:rsidRDefault="00AB7C5D" w:rsidP="00AB7C5D">
      <w:pPr>
        <w:spacing w:after="0" w:line="480" w:lineRule="auto"/>
        <w:ind w:firstLine="720"/>
        <w:rPr>
          <w:rStyle w:val="normaltextrun"/>
          <w:rFonts w:ascii="Times New Roman" w:hAnsi="Times New Roman" w:cs="Times New Roman"/>
          <w:sz w:val="24"/>
          <w:szCs w:val="24"/>
        </w:rPr>
      </w:pPr>
    </w:p>
    <w:p w14:paraId="3EFABDE1" w14:textId="77777777" w:rsidR="00AB7C5D" w:rsidRPr="006B04F3" w:rsidRDefault="00AB7C5D" w:rsidP="00AB7C5D">
      <w:pPr>
        <w:spacing w:after="0" w:line="480" w:lineRule="auto"/>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Table 2.1. Quality control summary of tissue copper analysis performed by Iowa State University-Veterinary Diagnostic Laboratory</w:t>
      </w:r>
      <w:r>
        <w:rPr>
          <w:rStyle w:val="normaltextrun"/>
          <w:rFonts w:ascii="Times New Roman" w:hAnsi="Times New Roman" w:cs="Times New Roman"/>
          <w:sz w:val="24"/>
          <w:szCs w:val="24"/>
        </w:rPr>
        <w:t xml:space="preserve"> (ISU-VDL)</w:t>
      </w:r>
      <w:r w:rsidRPr="006B04F3">
        <w:rPr>
          <w:rStyle w:val="normaltextrun"/>
          <w:rFonts w:ascii="Times New Roman" w:hAnsi="Times New Roman" w:cs="Times New Roman"/>
          <w:sz w:val="24"/>
          <w:szCs w:val="24"/>
        </w:rPr>
        <w:t>.</w:t>
      </w:r>
      <w:bookmarkEnd w:id="8"/>
    </w:p>
    <w:tbl>
      <w:tblPr>
        <w:tblStyle w:val="TableGrid"/>
        <w:tblW w:w="0" w:type="auto"/>
        <w:tblLook w:val="04A0" w:firstRow="1" w:lastRow="0" w:firstColumn="1" w:lastColumn="0" w:noHBand="0" w:noVBand="1"/>
      </w:tblPr>
      <w:tblGrid>
        <w:gridCol w:w="1623"/>
        <w:gridCol w:w="1777"/>
        <w:gridCol w:w="1672"/>
      </w:tblGrid>
      <w:tr w:rsidR="00AB7C5D" w:rsidRPr="006B04F3" w14:paraId="07FB7A02" w14:textId="77777777" w:rsidTr="00A43F50">
        <w:trPr>
          <w:trHeight w:val="242"/>
        </w:trPr>
        <w:tc>
          <w:tcPr>
            <w:tcW w:w="0" w:type="auto"/>
            <w:tcBorders>
              <w:top w:val="single" w:sz="4" w:space="0" w:color="auto"/>
              <w:left w:val="nil"/>
              <w:bottom w:val="single" w:sz="4" w:space="0" w:color="auto"/>
              <w:right w:val="nil"/>
            </w:tcBorders>
            <w:vAlign w:val="bottom"/>
            <w:hideMark/>
          </w:tcPr>
          <w:p w14:paraId="34534033" w14:textId="77777777" w:rsidR="00AB7C5D" w:rsidRPr="006B04F3" w:rsidRDefault="00AB7C5D" w:rsidP="00A43F50">
            <w:pPr>
              <w:pStyle w:val="TableHead"/>
              <w:rPr>
                <w:rFonts w:ascii="Times New Roman" w:hAnsi="Times New Roman"/>
                <w:sz w:val="24"/>
              </w:rPr>
            </w:pPr>
            <w:r w:rsidRPr="006B04F3">
              <w:rPr>
                <w:rFonts w:ascii="Times New Roman" w:hAnsi="Times New Roman"/>
                <w:sz w:val="24"/>
              </w:rPr>
              <w:t>Analysis Date</w:t>
            </w:r>
          </w:p>
        </w:tc>
        <w:tc>
          <w:tcPr>
            <w:tcW w:w="0" w:type="auto"/>
            <w:tcBorders>
              <w:top w:val="single" w:sz="4" w:space="0" w:color="auto"/>
              <w:left w:val="nil"/>
              <w:bottom w:val="single" w:sz="4" w:space="0" w:color="auto"/>
              <w:right w:val="nil"/>
            </w:tcBorders>
            <w:hideMark/>
          </w:tcPr>
          <w:p w14:paraId="78D2A7BC" w14:textId="77777777" w:rsidR="00AB7C5D" w:rsidRPr="006B04F3" w:rsidRDefault="00AB7C5D" w:rsidP="00A43F50">
            <w:pPr>
              <w:pStyle w:val="TableHead"/>
              <w:rPr>
                <w:rFonts w:ascii="Times New Roman" w:hAnsi="Times New Roman"/>
                <w:sz w:val="24"/>
              </w:rPr>
            </w:pPr>
            <w:r w:rsidRPr="006B04F3">
              <w:rPr>
                <w:rFonts w:ascii="Times New Roman" w:hAnsi="Times New Roman"/>
                <w:sz w:val="24"/>
              </w:rPr>
              <w:t xml:space="preserve"> NIST </w:t>
            </w:r>
            <w:proofErr w:type="spellStart"/>
            <w:r w:rsidRPr="006B04F3">
              <w:rPr>
                <w:rFonts w:ascii="Times New Roman" w:hAnsi="Times New Roman"/>
                <w:sz w:val="24"/>
              </w:rPr>
              <w:t>Control</w:t>
            </w:r>
            <w:r w:rsidRPr="006B04F3">
              <w:rPr>
                <w:rFonts w:ascii="Times New Roman" w:hAnsi="Times New Roman"/>
                <w:sz w:val="24"/>
                <w:vertAlign w:val="superscript"/>
              </w:rPr>
              <w:t>a</w:t>
            </w:r>
            <w:proofErr w:type="spellEnd"/>
          </w:p>
          <w:p w14:paraId="4479D4E0" w14:textId="77777777" w:rsidR="00AB7C5D" w:rsidRPr="006B04F3" w:rsidRDefault="00AB7C5D" w:rsidP="00A43F50">
            <w:pPr>
              <w:pStyle w:val="TableHead"/>
              <w:rPr>
                <w:rFonts w:ascii="Times New Roman" w:hAnsi="Times New Roman"/>
                <w:sz w:val="24"/>
              </w:rPr>
            </w:pPr>
            <w:r w:rsidRPr="006B04F3">
              <w:rPr>
                <w:rFonts w:ascii="Times New Roman" w:hAnsi="Times New Roman"/>
                <w:sz w:val="24"/>
              </w:rPr>
              <w:t>(Cu ppm)</w:t>
            </w:r>
          </w:p>
        </w:tc>
        <w:tc>
          <w:tcPr>
            <w:tcW w:w="0" w:type="auto"/>
            <w:tcBorders>
              <w:top w:val="single" w:sz="4" w:space="0" w:color="auto"/>
              <w:left w:val="nil"/>
              <w:bottom w:val="single" w:sz="4" w:space="0" w:color="auto"/>
              <w:right w:val="nil"/>
            </w:tcBorders>
            <w:hideMark/>
          </w:tcPr>
          <w:p w14:paraId="10E87FB4" w14:textId="77777777" w:rsidR="00AB7C5D" w:rsidRPr="006B04F3" w:rsidRDefault="00AB7C5D" w:rsidP="00A43F50">
            <w:pPr>
              <w:pStyle w:val="TableHead"/>
              <w:rPr>
                <w:rFonts w:ascii="Times New Roman" w:hAnsi="Times New Roman"/>
                <w:sz w:val="24"/>
              </w:rPr>
            </w:pPr>
            <w:r w:rsidRPr="006B04F3">
              <w:rPr>
                <w:rFonts w:ascii="Times New Roman" w:hAnsi="Times New Roman"/>
                <w:sz w:val="24"/>
              </w:rPr>
              <w:t xml:space="preserve">VDL </w:t>
            </w:r>
            <w:proofErr w:type="spellStart"/>
            <w:r w:rsidRPr="006B04F3">
              <w:rPr>
                <w:rFonts w:ascii="Times New Roman" w:hAnsi="Times New Roman"/>
                <w:sz w:val="24"/>
              </w:rPr>
              <w:t>Control</w:t>
            </w:r>
            <w:r w:rsidRPr="006B04F3">
              <w:rPr>
                <w:rFonts w:ascii="Times New Roman" w:hAnsi="Times New Roman"/>
                <w:sz w:val="24"/>
                <w:vertAlign w:val="superscript"/>
              </w:rPr>
              <w:t>b</w:t>
            </w:r>
            <w:proofErr w:type="spellEnd"/>
          </w:p>
          <w:p w14:paraId="4277C633" w14:textId="77777777" w:rsidR="00AB7C5D" w:rsidRPr="006B04F3" w:rsidRDefault="00AB7C5D" w:rsidP="00A43F50">
            <w:pPr>
              <w:pStyle w:val="TableHead"/>
              <w:rPr>
                <w:rFonts w:ascii="Times New Roman" w:hAnsi="Times New Roman"/>
                <w:sz w:val="24"/>
              </w:rPr>
            </w:pPr>
            <w:r w:rsidRPr="006B04F3">
              <w:rPr>
                <w:rFonts w:ascii="Times New Roman" w:hAnsi="Times New Roman"/>
                <w:sz w:val="24"/>
              </w:rPr>
              <w:t>(Cu ppm)</w:t>
            </w:r>
          </w:p>
        </w:tc>
      </w:tr>
      <w:tr w:rsidR="00AB7C5D" w:rsidRPr="006B04F3" w14:paraId="0E4AB69A" w14:textId="77777777" w:rsidTr="00A43F50">
        <w:trPr>
          <w:trHeight w:val="80"/>
        </w:trPr>
        <w:tc>
          <w:tcPr>
            <w:tcW w:w="0" w:type="auto"/>
            <w:tcBorders>
              <w:top w:val="single" w:sz="4" w:space="0" w:color="auto"/>
              <w:left w:val="nil"/>
              <w:bottom w:val="nil"/>
              <w:right w:val="nil"/>
            </w:tcBorders>
            <w:noWrap/>
            <w:vAlign w:val="bottom"/>
            <w:hideMark/>
          </w:tcPr>
          <w:p w14:paraId="55844C48" w14:textId="77777777" w:rsidR="00AB7C5D" w:rsidRPr="006B04F3" w:rsidRDefault="00AB7C5D" w:rsidP="00A43F50">
            <w:pPr>
              <w:pStyle w:val="TableBody"/>
              <w:rPr>
                <w:sz w:val="24"/>
              </w:rPr>
            </w:pPr>
            <w:r w:rsidRPr="006B04F3">
              <w:rPr>
                <w:sz w:val="24"/>
              </w:rPr>
              <w:t>14-Aug-19</w:t>
            </w:r>
          </w:p>
        </w:tc>
        <w:tc>
          <w:tcPr>
            <w:tcW w:w="0" w:type="auto"/>
            <w:tcBorders>
              <w:top w:val="single" w:sz="4" w:space="0" w:color="auto"/>
              <w:left w:val="nil"/>
              <w:bottom w:val="nil"/>
              <w:right w:val="nil"/>
            </w:tcBorders>
            <w:noWrap/>
            <w:vAlign w:val="bottom"/>
            <w:hideMark/>
          </w:tcPr>
          <w:p w14:paraId="4F6F50C7" w14:textId="77777777" w:rsidR="00AB7C5D" w:rsidRPr="006B04F3" w:rsidRDefault="00AB7C5D" w:rsidP="00A43F50">
            <w:pPr>
              <w:pStyle w:val="TableBody"/>
              <w:tabs>
                <w:tab w:val="decimal" w:pos="705"/>
              </w:tabs>
              <w:rPr>
                <w:sz w:val="24"/>
              </w:rPr>
            </w:pPr>
            <w:r w:rsidRPr="006B04F3">
              <w:rPr>
                <w:sz w:val="24"/>
              </w:rPr>
              <w:t>127.0</w:t>
            </w:r>
          </w:p>
        </w:tc>
        <w:tc>
          <w:tcPr>
            <w:tcW w:w="0" w:type="auto"/>
            <w:tcBorders>
              <w:top w:val="single" w:sz="4" w:space="0" w:color="auto"/>
              <w:left w:val="nil"/>
              <w:bottom w:val="nil"/>
              <w:right w:val="nil"/>
            </w:tcBorders>
            <w:noWrap/>
            <w:vAlign w:val="bottom"/>
            <w:hideMark/>
          </w:tcPr>
          <w:p w14:paraId="7C7ACE56" w14:textId="77777777" w:rsidR="00AB7C5D" w:rsidRPr="006B04F3" w:rsidRDefault="00AB7C5D" w:rsidP="00A43F50">
            <w:pPr>
              <w:pStyle w:val="TableBody"/>
              <w:tabs>
                <w:tab w:val="decimal" w:pos="705"/>
              </w:tabs>
              <w:rPr>
                <w:sz w:val="24"/>
              </w:rPr>
            </w:pPr>
            <w:r w:rsidRPr="006B04F3">
              <w:rPr>
                <w:sz w:val="24"/>
              </w:rPr>
              <w:t>47.8</w:t>
            </w:r>
          </w:p>
        </w:tc>
      </w:tr>
      <w:tr w:rsidR="00AB7C5D" w:rsidRPr="006B04F3" w14:paraId="7A9EEB05" w14:textId="77777777" w:rsidTr="00A43F50">
        <w:trPr>
          <w:trHeight w:val="125"/>
        </w:trPr>
        <w:tc>
          <w:tcPr>
            <w:tcW w:w="0" w:type="auto"/>
            <w:tcBorders>
              <w:top w:val="nil"/>
              <w:left w:val="nil"/>
              <w:bottom w:val="nil"/>
              <w:right w:val="nil"/>
            </w:tcBorders>
            <w:noWrap/>
            <w:vAlign w:val="bottom"/>
            <w:hideMark/>
          </w:tcPr>
          <w:p w14:paraId="634BE113" w14:textId="77777777" w:rsidR="00AB7C5D" w:rsidRPr="006B04F3" w:rsidRDefault="00AB7C5D" w:rsidP="00A43F50">
            <w:pPr>
              <w:pStyle w:val="TableBody"/>
              <w:rPr>
                <w:sz w:val="24"/>
              </w:rPr>
            </w:pPr>
            <w:r w:rsidRPr="006B04F3">
              <w:rPr>
                <w:sz w:val="24"/>
              </w:rPr>
              <w:t>21-Aug-19</w:t>
            </w:r>
          </w:p>
        </w:tc>
        <w:tc>
          <w:tcPr>
            <w:tcW w:w="0" w:type="auto"/>
            <w:tcBorders>
              <w:top w:val="nil"/>
              <w:left w:val="nil"/>
              <w:bottom w:val="nil"/>
              <w:right w:val="nil"/>
            </w:tcBorders>
            <w:noWrap/>
            <w:vAlign w:val="bottom"/>
            <w:hideMark/>
          </w:tcPr>
          <w:p w14:paraId="71067968" w14:textId="77777777" w:rsidR="00AB7C5D" w:rsidRPr="006B04F3" w:rsidRDefault="00AB7C5D" w:rsidP="00A43F50">
            <w:pPr>
              <w:pStyle w:val="TableBody"/>
              <w:tabs>
                <w:tab w:val="decimal" w:pos="705"/>
              </w:tabs>
              <w:rPr>
                <w:sz w:val="24"/>
              </w:rPr>
            </w:pPr>
            <w:r w:rsidRPr="006B04F3">
              <w:rPr>
                <w:sz w:val="24"/>
              </w:rPr>
              <w:t>119.3</w:t>
            </w:r>
          </w:p>
        </w:tc>
        <w:tc>
          <w:tcPr>
            <w:tcW w:w="0" w:type="auto"/>
            <w:tcBorders>
              <w:top w:val="nil"/>
              <w:left w:val="nil"/>
              <w:bottom w:val="nil"/>
              <w:right w:val="nil"/>
            </w:tcBorders>
            <w:noWrap/>
            <w:vAlign w:val="bottom"/>
            <w:hideMark/>
          </w:tcPr>
          <w:p w14:paraId="206C6D04" w14:textId="77777777" w:rsidR="00AB7C5D" w:rsidRPr="006B04F3" w:rsidRDefault="00AB7C5D" w:rsidP="00A43F50">
            <w:pPr>
              <w:pStyle w:val="TableBody"/>
              <w:tabs>
                <w:tab w:val="decimal" w:pos="705"/>
              </w:tabs>
              <w:rPr>
                <w:sz w:val="24"/>
              </w:rPr>
            </w:pPr>
            <w:r w:rsidRPr="006B04F3">
              <w:rPr>
                <w:sz w:val="24"/>
              </w:rPr>
              <w:t>45.1</w:t>
            </w:r>
          </w:p>
        </w:tc>
      </w:tr>
      <w:tr w:rsidR="00AB7C5D" w:rsidRPr="006B04F3" w14:paraId="4E96D0E0" w14:textId="77777777" w:rsidTr="00A43F50">
        <w:trPr>
          <w:trHeight w:val="300"/>
        </w:trPr>
        <w:tc>
          <w:tcPr>
            <w:tcW w:w="0" w:type="auto"/>
            <w:tcBorders>
              <w:top w:val="nil"/>
              <w:left w:val="nil"/>
              <w:bottom w:val="nil"/>
              <w:right w:val="nil"/>
            </w:tcBorders>
            <w:noWrap/>
            <w:vAlign w:val="bottom"/>
            <w:hideMark/>
          </w:tcPr>
          <w:p w14:paraId="3DAB2457" w14:textId="77777777" w:rsidR="00AB7C5D" w:rsidRPr="006B04F3" w:rsidRDefault="00AB7C5D" w:rsidP="00A43F50">
            <w:pPr>
              <w:pStyle w:val="TableBody"/>
              <w:rPr>
                <w:sz w:val="24"/>
              </w:rPr>
            </w:pPr>
            <w:r w:rsidRPr="006B04F3">
              <w:rPr>
                <w:sz w:val="24"/>
              </w:rPr>
              <w:t>23-Aug-19</w:t>
            </w:r>
          </w:p>
        </w:tc>
        <w:tc>
          <w:tcPr>
            <w:tcW w:w="0" w:type="auto"/>
            <w:tcBorders>
              <w:top w:val="nil"/>
              <w:left w:val="nil"/>
              <w:bottom w:val="nil"/>
              <w:right w:val="nil"/>
            </w:tcBorders>
            <w:noWrap/>
            <w:vAlign w:val="bottom"/>
            <w:hideMark/>
          </w:tcPr>
          <w:p w14:paraId="699DEB74" w14:textId="77777777" w:rsidR="00AB7C5D" w:rsidRPr="006B04F3" w:rsidRDefault="00AB7C5D" w:rsidP="00A43F50">
            <w:pPr>
              <w:pStyle w:val="TableBody"/>
              <w:tabs>
                <w:tab w:val="decimal" w:pos="705"/>
              </w:tabs>
              <w:rPr>
                <w:sz w:val="24"/>
              </w:rPr>
            </w:pPr>
            <w:r w:rsidRPr="006B04F3">
              <w:rPr>
                <w:sz w:val="24"/>
              </w:rPr>
              <w:t>128.2</w:t>
            </w:r>
          </w:p>
        </w:tc>
        <w:tc>
          <w:tcPr>
            <w:tcW w:w="0" w:type="auto"/>
            <w:tcBorders>
              <w:top w:val="nil"/>
              <w:left w:val="nil"/>
              <w:bottom w:val="nil"/>
              <w:right w:val="nil"/>
            </w:tcBorders>
            <w:noWrap/>
            <w:vAlign w:val="bottom"/>
            <w:hideMark/>
          </w:tcPr>
          <w:p w14:paraId="6A5EB6C7" w14:textId="77777777" w:rsidR="00AB7C5D" w:rsidRPr="006B04F3" w:rsidRDefault="00AB7C5D" w:rsidP="00A43F50">
            <w:pPr>
              <w:pStyle w:val="TableBody"/>
              <w:tabs>
                <w:tab w:val="decimal" w:pos="705"/>
              </w:tabs>
              <w:rPr>
                <w:sz w:val="24"/>
              </w:rPr>
            </w:pPr>
            <w:r w:rsidRPr="006B04F3">
              <w:rPr>
                <w:sz w:val="24"/>
              </w:rPr>
              <w:t>48.9</w:t>
            </w:r>
          </w:p>
        </w:tc>
      </w:tr>
      <w:tr w:rsidR="00AB7C5D" w:rsidRPr="006B04F3" w14:paraId="4E8EB9AA" w14:textId="77777777" w:rsidTr="00A43F50">
        <w:trPr>
          <w:trHeight w:val="300"/>
        </w:trPr>
        <w:tc>
          <w:tcPr>
            <w:tcW w:w="0" w:type="auto"/>
            <w:tcBorders>
              <w:top w:val="nil"/>
              <w:left w:val="nil"/>
              <w:bottom w:val="single" w:sz="4" w:space="0" w:color="auto"/>
              <w:right w:val="nil"/>
            </w:tcBorders>
            <w:noWrap/>
            <w:vAlign w:val="bottom"/>
            <w:hideMark/>
          </w:tcPr>
          <w:p w14:paraId="0AD80063" w14:textId="77777777" w:rsidR="00AB7C5D" w:rsidRPr="006B04F3" w:rsidRDefault="00AB7C5D" w:rsidP="00A43F50">
            <w:pPr>
              <w:pStyle w:val="TableBody"/>
              <w:rPr>
                <w:sz w:val="24"/>
              </w:rPr>
            </w:pPr>
            <w:r w:rsidRPr="006B04F3">
              <w:rPr>
                <w:sz w:val="24"/>
              </w:rPr>
              <w:t>27-Aug-19</w:t>
            </w:r>
          </w:p>
        </w:tc>
        <w:tc>
          <w:tcPr>
            <w:tcW w:w="0" w:type="auto"/>
            <w:tcBorders>
              <w:top w:val="nil"/>
              <w:left w:val="nil"/>
              <w:bottom w:val="single" w:sz="4" w:space="0" w:color="auto"/>
              <w:right w:val="nil"/>
            </w:tcBorders>
            <w:noWrap/>
            <w:vAlign w:val="bottom"/>
            <w:hideMark/>
          </w:tcPr>
          <w:p w14:paraId="1B9395BB" w14:textId="77777777" w:rsidR="00AB7C5D" w:rsidRPr="006B04F3" w:rsidRDefault="00AB7C5D" w:rsidP="00A43F50">
            <w:pPr>
              <w:pStyle w:val="TableBody"/>
              <w:tabs>
                <w:tab w:val="decimal" w:pos="705"/>
              </w:tabs>
              <w:rPr>
                <w:sz w:val="24"/>
              </w:rPr>
            </w:pPr>
            <w:r w:rsidRPr="006B04F3">
              <w:rPr>
                <w:sz w:val="24"/>
              </w:rPr>
              <w:t>130.8</w:t>
            </w:r>
          </w:p>
        </w:tc>
        <w:tc>
          <w:tcPr>
            <w:tcW w:w="0" w:type="auto"/>
            <w:tcBorders>
              <w:top w:val="nil"/>
              <w:left w:val="nil"/>
              <w:bottom w:val="single" w:sz="4" w:space="0" w:color="auto"/>
              <w:right w:val="nil"/>
            </w:tcBorders>
            <w:noWrap/>
            <w:vAlign w:val="bottom"/>
            <w:hideMark/>
          </w:tcPr>
          <w:p w14:paraId="07E3F084" w14:textId="77777777" w:rsidR="00AB7C5D" w:rsidRPr="006B04F3" w:rsidRDefault="00AB7C5D" w:rsidP="00A43F50">
            <w:pPr>
              <w:pStyle w:val="TableBody"/>
              <w:tabs>
                <w:tab w:val="decimal" w:pos="705"/>
              </w:tabs>
              <w:rPr>
                <w:sz w:val="24"/>
              </w:rPr>
            </w:pPr>
            <w:r w:rsidRPr="006B04F3">
              <w:rPr>
                <w:sz w:val="24"/>
              </w:rPr>
              <w:t>48.6</w:t>
            </w:r>
          </w:p>
        </w:tc>
      </w:tr>
      <w:tr w:rsidR="00AB7C5D" w:rsidRPr="006B04F3" w14:paraId="3DBDF378" w14:textId="77777777" w:rsidTr="00A43F50">
        <w:trPr>
          <w:trHeight w:val="300"/>
        </w:trPr>
        <w:tc>
          <w:tcPr>
            <w:tcW w:w="0" w:type="auto"/>
            <w:gridSpan w:val="3"/>
            <w:tcBorders>
              <w:top w:val="single" w:sz="4" w:space="0" w:color="auto"/>
              <w:left w:val="nil"/>
              <w:bottom w:val="nil"/>
              <w:right w:val="nil"/>
            </w:tcBorders>
            <w:noWrap/>
            <w:hideMark/>
          </w:tcPr>
          <w:p w14:paraId="5475940F" w14:textId="77777777" w:rsidR="00AB7C5D" w:rsidRPr="006B04F3" w:rsidRDefault="00AB7C5D" w:rsidP="00A43F50">
            <w:pPr>
              <w:pStyle w:val="TableFootnote"/>
              <w:spacing w:before="0"/>
              <w:ind w:firstLine="0"/>
              <w:rPr>
                <w:sz w:val="24"/>
              </w:rPr>
            </w:pPr>
            <w:proofErr w:type="spellStart"/>
            <w:r w:rsidRPr="006B04F3">
              <w:rPr>
                <w:sz w:val="24"/>
                <w:vertAlign w:val="superscript"/>
              </w:rPr>
              <w:lastRenderedPageBreak/>
              <w:t>a</w:t>
            </w:r>
            <w:r w:rsidRPr="006B04F3">
              <w:rPr>
                <w:sz w:val="24"/>
              </w:rPr>
              <w:t>NIST</w:t>
            </w:r>
            <w:proofErr w:type="spellEnd"/>
            <w:r w:rsidRPr="006B04F3">
              <w:rPr>
                <w:sz w:val="24"/>
              </w:rPr>
              <w:t xml:space="preserve"> acceptable range 114.4–170.6 ppm</w:t>
            </w:r>
            <w:r>
              <w:rPr>
                <w:sz w:val="24"/>
              </w:rPr>
              <w:t>.</w:t>
            </w:r>
          </w:p>
        </w:tc>
      </w:tr>
      <w:tr w:rsidR="00AB7C5D" w:rsidRPr="006B04F3" w14:paraId="09E75D9E" w14:textId="77777777" w:rsidTr="00A43F50">
        <w:trPr>
          <w:trHeight w:val="300"/>
        </w:trPr>
        <w:tc>
          <w:tcPr>
            <w:tcW w:w="0" w:type="auto"/>
            <w:gridSpan w:val="3"/>
            <w:tcBorders>
              <w:top w:val="nil"/>
              <w:left w:val="nil"/>
              <w:bottom w:val="nil"/>
              <w:right w:val="nil"/>
            </w:tcBorders>
            <w:noWrap/>
            <w:hideMark/>
          </w:tcPr>
          <w:p w14:paraId="3B320B46" w14:textId="77777777" w:rsidR="00AB7C5D" w:rsidRPr="006B04F3" w:rsidRDefault="00AB7C5D" w:rsidP="00A43F50">
            <w:pPr>
              <w:pStyle w:val="TableFootnote"/>
              <w:spacing w:before="0"/>
              <w:ind w:firstLine="0"/>
              <w:rPr>
                <w:sz w:val="24"/>
              </w:rPr>
            </w:pPr>
            <w:proofErr w:type="spellStart"/>
            <w:r w:rsidRPr="006B04F3">
              <w:rPr>
                <w:sz w:val="24"/>
                <w:vertAlign w:val="superscript"/>
              </w:rPr>
              <w:t>b</w:t>
            </w:r>
            <w:r w:rsidRPr="006B04F3">
              <w:rPr>
                <w:sz w:val="24"/>
              </w:rPr>
              <w:t>VDL</w:t>
            </w:r>
            <w:proofErr w:type="spellEnd"/>
            <w:r w:rsidRPr="006B04F3">
              <w:rPr>
                <w:sz w:val="24"/>
              </w:rPr>
              <w:t xml:space="preserve"> acceptable range 43.8–70.3 ppm</w:t>
            </w:r>
            <w:r>
              <w:rPr>
                <w:sz w:val="24"/>
              </w:rPr>
              <w:t>.</w:t>
            </w:r>
          </w:p>
        </w:tc>
      </w:tr>
    </w:tbl>
    <w:p w14:paraId="0BFF1A11" w14:textId="77777777" w:rsidR="00AB7C5D" w:rsidRDefault="00AB7C5D" w:rsidP="00AB7C5D">
      <w:pPr>
        <w:spacing w:after="0" w:line="480" w:lineRule="auto"/>
        <w:rPr>
          <w:rStyle w:val="normaltextrun"/>
          <w:rFonts w:ascii="Times New Roman" w:hAnsi="Times New Roman" w:cs="Times New Roman"/>
          <w:sz w:val="24"/>
          <w:szCs w:val="24"/>
        </w:rPr>
      </w:pPr>
      <w:bookmarkStart w:id="9" w:name="_Toc124147817"/>
    </w:p>
    <w:p w14:paraId="5497C355" w14:textId="77777777" w:rsidR="00AB7C5D" w:rsidRPr="006B04F3" w:rsidRDefault="00AB7C5D" w:rsidP="00AB7C5D">
      <w:pPr>
        <w:spacing w:after="0" w:line="480" w:lineRule="auto"/>
        <w:rPr>
          <w:rStyle w:val="normaltextrun"/>
          <w:rFonts w:ascii="Times New Roman" w:hAnsi="Times New Roman" w:cs="Times New Roman"/>
          <w:sz w:val="24"/>
          <w:szCs w:val="24"/>
        </w:rPr>
      </w:pPr>
      <w:r w:rsidRPr="006B04F3">
        <w:rPr>
          <w:rStyle w:val="normaltextrun"/>
          <w:rFonts w:ascii="Times New Roman" w:hAnsi="Times New Roman" w:cs="Times New Roman"/>
          <w:sz w:val="24"/>
          <w:szCs w:val="24"/>
        </w:rPr>
        <w:t>Table 2.2. Instrument parameters for Inductively Coupled Plasma-Mass Spectroscopy analysis of tissue copper performed by Iowa State University-Veterinary Diagnostic Laboratory.</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861"/>
      </w:tblGrid>
      <w:tr w:rsidR="00AB7C5D" w:rsidRPr="006B04F3" w14:paraId="4AED1BB7" w14:textId="77777777" w:rsidTr="00A43F50">
        <w:trPr>
          <w:trHeight w:val="300"/>
        </w:trPr>
        <w:tc>
          <w:tcPr>
            <w:tcW w:w="0" w:type="auto"/>
            <w:tcBorders>
              <w:top w:val="single" w:sz="4" w:space="0" w:color="auto"/>
              <w:left w:val="nil"/>
              <w:bottom w:val="single" w:sz="4" w:space="0" w:color="auto"/>
              <w:right w:val="nil"/>
            </w:tcBorders>
            <w:noWrap/>
            <w:vAlign w:val="bottom"/>
            <w:hideMark/>
          </w:tcPr>
          <w:p w14:paraId="5D2D86D1" w14:textId="77777777" w:rsidR="00AB7C5D" w:rsidRPr="006B04F3" w:rsidRDefault="00AB7C5D" w:rsidP="00A43F50">
            <w:pPr>
              <w:pStyle w:val="TableHead"/>
              <w:rPr>
                <w:rFonts w:ascii="Times New Roman" w:hAnsi="Times New Roman"/>
                <w:sz w:val="24"/>
              </w:rPr>
            </w:pPr>
            <w:r w:rsidRPr="006B04F3">
              <w:rPr>
                <w:rFonts w:ascii="Times New Roman" w:hAnsi="Times New Roman"/>
                <w:sz w:val="24"/>
              </w:rPr>
              <w:t>Parameter</w:t>
            </w:r>
          </w:p>
        </w:tc>
        <w:tc>
          <w:tcPr>
            <w:tcW w:w="0" w:type="auto"/>
            <w:tcBorders>
              <w:top w:val="single" w:sz="4" w:space="0" w:color="auto"/>
              <w:left w:val="nil"/>
              <w:bottom w:val="single" w:sz="4" w:space="0" w:color="auto"/>
              <w:right w:val="nil"/>
            </w:tcBorders>
            <w:noWrap/>
            <w:vAlign w:val="bottom"/>
            <w:hideMark/>
          </w:tcPr>
          <w:p w14:paraId="3699F231" w14:textId="77777777" w:rsidR="00AB7C5D" w:rsidRPr="006B04F3" w:rsidRDefault="00AB7C5D" w:rsidP="00A43F50">
            <w:pPr>
              <w:pStyle w:val="TableHead"/>
              <w:rPr>
                <w:rFonts w:ascii="Times New Roman" w:hAnsi="Times New Roman"/>
                <w:sz w:val="24"/>
              </w:rPr>
            </w:pPr>
            <w:r w:rsidRPr="006B04F3">
              <w:rPr>
                <w:rFonts w:ascii="Times New Roman" w:hAnsi="Times New Roman"/>
                <w:sz w:val="24"/>
              </w:rPr>
              <w:t>Value</w:t>
            </w:r>
          </w:p>
        </w:tc>
      </w:tr>
      <w:tr w:rsidR="00AB7C5D" w:rsidRPr="006B04F3" w14:paraId="7909BE87" w14:textId="77777777" w:rsidTr="00A43F50">
        <w:trPr>
          <w:trHeight w:val="300"/>
        </w:trPr>
        <w:tc>
          <w:tcPr>
            <w:tcW w:w="0" w:type="auto"/>
            <w:gridSpan w:val="2"/>
            <w:tcBorders>
              <w:top w:val="single" w:sz="4" w:space="0" w:color="auto"/>
              <w:left w:val="nil"/>
              <w:bottom w:val="nil"/>
              <w:right w:val="nil"/>
            </w:tcBorders>
            <w:noWrap/>
            <w:vAlign w:val="bottom"/>
            <w:hideMark/>
          </w:tcPr>
          <w:p w14:paraId="054D1420" w14:textId="77777777" w:rsidR="00AB7C5D" w:rsidRPr="006B04F3" w:rsidRDefault="00AB7C5D" w:rsidP="00A43F50">
            <w:pPr>
              <w:pStyle w:val="TableSpanner"/>
              <w:rPr>
                <w:rFonts w:ascii="Times New Roman" w:eastAsia="Times New Roman" w:hAnsi="Times New Roman"/>
                <w:i/>
                <w:iCs/>
                <w:sz w:val="24"/>
                <w:szCs w:val="24"/>
              </w:rPr>
            </w:pPr>
            <w:r w:rsidRPr="006B04F3">
              <w:rPr>
                <w:rFonts w:ascii="Times New Roman" w:hAnsi="Times New Roman"/>
                <w:sz w:val="24"/>
                <w:szCs w:val="24"/>
              </w:rPr>
              <w:t>Flow parameters (L/min)</w:t>
            </w:r>
          </w:p>
        </w:tc>
      </w:tr>
      <w:tr w:rsidR="00AB7C5D" w:rsidRPr="006B04F3" w14:paraId="110C1E9D" w14:textId="77777777" w:rsidTr="00A43F50">
        <w:trPr>
          <w:trHeight w:val="300"/>
        </w:trPr>
        <w:tc>
          <w:tcPr>
            <w:tcW w:w="0" w:type="auto"/>
            <w:tcBorders>
              <w:top w:val="nil"/>
              <w:left w:val="nil"/>
              <w:bottom w:val="nil"/>
              <w:right w:val="nil"/>
            </w:tcBorders>
            <w:noWrap/>
            <w:vAlign w:val="bottom"/>
            <w:hideMark/>
          </w:tcPr>
          <w:p w14:paraId="05DF3603" w14:textId="77777777" w:rsidR="00AB7C5D" w:rsidRPr="006B04F3" w:rsidRDefault="00AB7C5D" w:rsidP="00A43F50">
            <w:pPr>
              <w:pStyle w:val="TableBody"/>
              <w:rPr>
                <w:sz w:val="24"/>
              </w:rPr>
            </w:pPr>
            <w:r w:rsidRPr="006B04F3">
              <w:rPr>
                <w:sz w:val="24"/>
              </w:rPr>
              <w:t>Plasma flow</w:t>
            </w:r>
          </w:p>
        </w:tc>
        <w:tc>
          <w:tcPr>
            <w:tcW w:w="0" w:type="auto"/>
            <w:tcBorders>
              <w:top w:val="nil"/>
              <w:left w:val="nil"/>
              <w:bottom w:val="nil"/>
              <w:right w:val="nil"/>
            </w:tcBorders>
            <w:noWrap/>
            <w:vAlign w:val="bottom"/>
            <w:hideMark/>
          </w:tcPr>
          <w:p w14:paraId="5F27B308" w14:textId="77777777" w:rsidR="00AB7C5D" w:rsidRPr="006B04F3" w:rsidRDefault="00AB7C5D" w:rsidP="00A43F50">
            <w:pPr>
              <w:pStyle w:val="TableBody"/>
              <w:tabs>
                <w:tab w:val="decimal" w:pos="345"/>
              </w:tabs>
              <w:rPr>
                <w:sz w:val="24"/>
              </w:rPr>
            </w:pPr>
            <w:r w:rsidRPr="006B04F3">
              <w:rPr>
                <w:sz w:val="24"/>
              </w:rPr>
              <w:t>16.5</w:t>
            </w:r>
          </w:p>
        </w:tc>
      </w:tr>
      <w:tr w:rsidR="00AB7C5D" w:rsidRPr="006B04F3" w14:paraId="337D43BC" w14:textId="77777777" w:rsidTr="00A43F50">
        <w:trPr>
          <w:trHeight w:val="300"/>
        </w:trPr>
        <w:tc>
          <w:tcPr>
            <w:tcW w:w="0" w:type="auto"/>
            <w:tcBorders>
              <w:top w:val="nil"/>
              <w:left w:val="nil"/>
              <w:bottom w:val="nil"/>
              <w:right w:val="nil"/>
            </w:tcBorders>
            <w:noWrap/>
            <w:vAlign w:val="bottom"/>
            <w:hideMark/>
          </w:tcPr>
          <w:p w14:paraId="18FF254F" w14:textId="77777777" w:rsidR="00AB7C5D" w:rsidRPr="006B04F3" w:rsidRDefault="00AB7C5D" w:rsidP="00A43F50">
            <w:pPr>
              <w:pStyle w:val="TableBody"/>
              <w:rPr>
                <w:sz w:val="24"/>
              </w:rPr>
            </w:pPr>
            <w:r w:rsidRPr="006B04F3">
              <w:rPr>
                <w:sz w:val="24"/>
              </w:rPr>
              <w:t>Auxiliary flow</w:t>
            </w:r>
          </w:p>
        </w:tc>
        <w:tc>
          <w:tcPr>
            <w:tcW w:w="0" w:type="auto"/>
            <w:tcBorders>
              <w:top w:val="nil"/>
              <w:left w:val="nil"/>
              <w:bottom w:val="nil"/>
              <w:right w:val="nil"/>
            </w:tcBorders>
            <w:noWrap/>
            <w:vAlign w:val="bottom"/>
            <w:hideMark/>
          </w:tcPr>
          <w:p w14:paraId="0F470AFD" w14:textId="77777777" w:rsidR="00AB7C5D" w:rsidRPr="006B04F3" w:rsidRDefault="00AB7C5D" w:rsidP="00A43F50">
            <w:pPr>
              <w:pStyle w:val="TableBody"/>
              <w:tabs>
                <w:tab w:val="decimal" w:pos="345"/>
              </w:tabs>
              <w:rPr>
                <w:sz w:val="24"/>
              </w:rPr>
            </w:pPr>
            <w:r w:rsidRPr="006B04F3">
              <w:rPr>
                <w:sz w:val="24"/>
              </w:rPr>
              <w:t>1.65</w:t>
            </w:r>
          </w:p>
        </w:tc>
      </w:tr>
      <w:tr w:rsidR="00AB7C5D" w:rsidRPr="006B04F3" w14:paraId="5307FC4B" w14:textId="77777777" w:rsidTr="00A43F50">
        <w:trPr>
          <w:trHeight w:val="300"/>
        </w:trPr>
        <w:tc>
          <w:tcPr>
            <w:tcW w:w="0" w:type="auto"/>
            <w:tcBorders>
              <w:top w:val="nil"/>
              <w:left w:val="nil"/>
              <w:bottom w:val="nil"/>
              <w:right w:val="nil"/>
            </w:tcBorders>
            <w:noWrap/>
            <w:vAlign w:val="bottom"/>
            <w:hideMark/>
          </w:tcPr>
          <w:p w14:paraId="679C4322" w14:textId="77777777" w:rsidR="00AB7C5D" w:rsidRPr="006B04F3" w:rsidRDefault="00AB7C5D" w:rsidP="00A43F50">
            <w:pPr>
              <w:pStyle w:val="TableBody"/>
              <w:rPr>
                <w:sz w:val="24"/>
              </w:rPr>
            </w:pPr>
            <w:r w:rsidRPr="006B04F3">
              <w:rPr>
                <w:sz w:val="24"/>
              </w:rPr>
              <w:t>Sheath gas</w:t>
            </w:r>
          </w:p>
        </w:tc>
        <w:tc>
          <w:tcPr>
            <w:tcW w:w="0" w:type="auto"/>
            <w:tcBorders>
              <w:top w:val="nil"/>
              <w:left w:val="nil"/>
              <w:bottom w:val="nil"/>
              <w:right w:val="nil"/>
            </w:tcBorders>
            <w:noWrap/>
            <w:vAlign w:val="bottom"/>
            <w:hideMark/>
          </w:tcPr>
          <w:p w14:paraId="70C86643" w14:textId="77777777" w:rsidR="00AB7C5D" w:rsidRPr="006B04F3" w:rsidRDefault="00AB7C5D" w:rsidP="00A43F50">
            <w:pPr>
              <w:pStyle w:val="TableBody"/>
              <w:tabs>
                <w:tab w:val="decimal" w:pos="345"/>
              </w:tabs>
              <w:rPr>
                <w:sz w:val="24"/>
              </w:rPr>
            </w:pPr>
            <w:r w:rsidRPr="006B04F3">
              <w:rPr>
                <w:sz w:val="24"/>
              </w:rPr>
              <w:t>0.10</w:t>
            </w:r>
          </w:p>
        </w:tc>
      </w:tr>
      <w:tr w:rsidR="00AB7C5D" w:rsidRPr="006B04F3" w14:paraId="083E05CF" w14:textId="77777777" w:rsidTr="00A43F50">
        <w:trPr>
          <w:trHeight w:val="300"/>
        </w:trPr>
        <w:tc>
          <w:tcPr>
            <w:tcW w:w="0" w:type="auto"/>
            <w:tcBorders>
              <w:top w:val="nil"/>
              <w:left w:val="nil"/>
              <w:bottom w:val="nil"/>
              <w:right w:val="nil"/>
            </w:tcBorders>
            <w:noWrap/>
            <w:vAlign w:val="bottom"/>
            <w:hideMark/>
          </w:tcPr>
          <w:p w14:paraId="7466AF12" w14:textId="77777777" w:rsidR="00AB7C5D" w:rsidRPr="006B04F3" w:rsidRDefault="00AB7C5D" w:rsidP="00A43F50">
            <w:pPr>
              <w:pStyle w:val="TableBody"/>
              <w:rPr>
                <w:sz w:val="24"/>
              </w:rPr>
            </w:pPr>
            <w:r w:rsidRPr="006B04F3">
              <w:rPr>
                <w:sz w:val="24"/>
              </w:rPr>
              <w:t>Nebulizer flow</w:t>
            </w:r>
          </w:p>
        </w:tc>
        <w:tc>
          <w:tcPr>
            <w:tcW w:w="0" w:type="auto"/>
            <w:tcBorders>
              <w:top w:val="nil"/>
              <w:left w:val="nil"/>
              <w:bottom w:val="nil"/>
              <w:right w:val="nil"/>
            </w:tcBorders>
            <w:noWrap/>
            <w:vAlign w:val="bottom"/>
            <w:hideMark/>
          </w:tcPr>
          <w:p w14:paraId="22573FF9" w14:textId="77777777" w:rsidR="00AB7C5D" w:rsidRPr="006B04F3" w:rsidRDefault="00AB7C5D" w:rsidP="00A43F50">
            <w:pPr>
              <w:pStyle w:val="TableBody"/>
              <w:tabs>
                <w:tab w:val="decimal" w:pos="345"/>
              </w:tabs>
              <w:rPr>
                <w:sz w:val="24"/>
              </w:rPr>
            </w:pPr>
            <w:r w:rsidRPr="006B04F3">
              <w:rPr>
                <w:sz w:val="24"/>
              </w:rPr>
              <w:t>0.94</w:t>
            </w:r>
          </w:p>
        </w:tc>
      </w:tr>
      <w:tr w:rsidR="00AB7C5D" w:rsidRPr="006B04F3" w14:paraId="359B89CF" w14:textId="77777777" w:rsidTr="00A43F50">
        <w:trPr>
          <w:trHeight w:val="300"/>
        </w:trPr>
        <w:tc>
          <w:tcPr>
            <w:tcW w:w="0" w:type="auto"/>
            <w:gridSpan w:val="2"/>
            <w:tcBorders>
              <w:top w:val="nil"/>
              <w:left w:val="nil"/>
              <w:bottom w:val="nil"/>
              <w:right w:val="nil"/>
            </w:tcBorders>
            <w:noWrap/>
            <w:vAlign w:val="bottom"/>
            <w:hideMark/>
          </w:tcPr>
          <w:p w14:paraId="4E717B37" w14:textId="77777777" w:rsidR="00AB7C5D" w:rsidRPr="006B04F3" w:rsidRDefault="00AB7C5D" w:rsidP="00A43F50">
            <w:pPr>
              <w:pStyle w:val="TableSpanner"/>
              <w:rPr>
                <w:rFonts w:ascii="Times New Roman" w:hAnsi="Times New Roman"/>
                <w:sz w:val="24"/>
                <w:szCs w:val="24"/>
              </w:rPr>
            </w:pPr>
          </w:p>
          <w:p w14:paraId="7290BC7A" w14:textId="77777777" w:rsidR="00AB7C5D" w:rsidRPr="006B04F3" w:rsidRDefault="00AB7C5D" w:rsidP="00A43F50">
            <w:pPr>
              <w:pStyle w:val="TableSpanner"/>
              <w:rPr>
                <w:rFonts w:ascii="Times New Roman" w:eastAsia="Times New Roman" w:hAnsi="Times New Roman"/>
                <w:i/>
                <w:iCs/>
                <w:sz w:val="24"/>
                <w:szCs w:val="24"/>
              </w:rPr>
            </w:pPr>
            <w:r w:rsidRPr="006B04F3">
              <w:rPr>
                <w:rFonts w:ascii="Times New Roman" w:hAnsi="Times New Roman"/>
                <w:sz w:val="24"/>
                <w:szCs w:val="24"/>
              </w:rPr>
              <w:t>Torch Alignment (mm)</w:t>
            </w:r>
          </w:p>
        </w:tc>
      </w:tr>
      <w:tr w:rsidR="00AB7C5D" w:rsidRPr="006B04F3" w14:paraId="49110539" w14:textId="77777777" w:rsidTr="00A43F50">
        <w:trPr>
          <w:trHeight w:val="300"/>
        </w:trPr>
        <w:tc>
          <w:tcPr>
            <w:tcW w:w="0" w:type="auto"/>
            <w:tcBorders>
              <w:top w:val="nil"/>
              <w:left w:val="nil"/>
              <w:bottom w:val="nil"/>
              <w:right w:val="nil"/>
            </w:tcBorders>
            <w:noWrap/>
            <w:vAlign w:val="bottom"/>
            <w:hideMark/>
          </w:tcPr>
          <w:p w14:paraId="2B029CD9" w14:textId="77777777" w:rsidR="00AB7C5D" w:rsidRPr="006B04F3" w:rsidRDefault="00AB7C5D" w:rsidP="00A43F50">
            <w:pPr>
              <w:pStyle w:val="TableBody"/>
              <w:rPr>
                <w:sz w:val="24"/>
              </w:rPr>
            </w:pPr>
            <w:r w:rsidRPr="006B04F3">
              <w:rPr>
                <w:sz w:val="24"/>
              </w:rPr>
              <w:t>Sampling depth</w:t>
            </w:r>
          </w:p>
        </w:tc>
        <w:tc>
          <w:tcPr>
            <w:tcW w:w="0" w:type="auto"/>
            <w:tcBorders>
              <w:top w:val="nil"/>
              <w:left w:val="nil"/>
              <w:bottom w:val="nil"/>
              <w:right w:val="nil"/>
            </w:tcBorders>
            <w:noWrap/>
            <w:vAlign w:val="bottom"/>
            <w:hideMark/>
          </w:tcPr>
          <w:p w14:paraId="1E47F1B9" w14:textId="77777777" w:rsidR="00AB7C5D" w:rsidRPr="006B04F3" w:rsidRDefault="00AB7C5D" w:rsidP="00A43F50">
            <w:pPr>
              <w:pStyle w:val="TableBody"/>
              <w:tabs>
                <w:tab w:val="decimal" w:pos="345"/>
              </w:tabs>
              <w:rPr>
                <w:sz w:val="24"/>
              </w:rPr>
            </w:pPr>
            <w:r w:rsidRPr="006B04F3">
              <w:rPr>
                <w:sz w:val="24"/>
              </w:rPr>
              <w:t>6.5</w:t>
            </w:r>
          </w:p>
        </w:tc>
      </w:tr>
      <w:tr w:rsidR="00AB7C5D" w:rsidRPr="006B04F3" w14:paraId="01B81340" w14:textId="77777777" w:rsidTr="00A43F50">
        <w:trPr>
          <w:trHeight w:val="300"/>
        </w:trPr>
        <w:tc>
          <w:tcPr>
            <w:tcW w:w="0" w:type="auto"/>
            <w:gridSpan w:val="2"/>
            <w:tcBorders>
              <w:top w:val="nil"/>
              <w:left w:val="nil"/>
              <w:bottom w:val="nil"/>
              <w:right w:val="nil"/>
            </w:tcBorders>
            <w:noWrap/>
            <w:vAlign w:val="bottom"/>
            <w:hideMark/>
          </w:tcPr>
          <w:p w14:paraId="2D022C55" w14:textId="77777777" w:rsidR="00AB7C5D" w:rsidRPr="006B04F3" w:rsidRDefault="00AB7C5D" w:rsidP="00A43F50">
            <w:pPr>
              <w:pStyle w:val="TableSpanner"/>
              <w:rPr>
                <w:rFonts w:ascii="Times New Roman" w:hAnsi="Times New Roman"/>
                <w:sz w:val="24"/>
                <w:szCs w:val="24"/>
              </w:rPr>
            </w:pPr>
          </w:p>
          <w:p w14:paraId="476B7D70" w14:textId="77777777" w:rsidR="00AB7C5D" w:rsidRPr="006B04F3" w:rsidRDefault="00AB7C5D" w:rsidP="00A43F50">
            <w:pPr>
              <w:pStyle w:val="TableSpanner"/>
              <w:rPr>
                <w:rFonts w:ascii="Times New Roman" w:eastAsia="Times New Roman" w:hAnsi="Times New Roman"/>
                <w:i/>
                <w:iCs/>
                <w:sz w:val="24"/>
                <w:szCs w:val="24"/>
              </w:rPr>
            </w:pPr>
            <w:r w:rsidRPr="006B04F3">
              <w:rPr>
                <w:rFonts w:ascii="Times New Roman" w:hAnsi="Times New Roman"/>
                <w:sz w:val="24"/>
                <w:szCs w:val="24"/>
              </w:rPr>
              <w:t>Miscellaneous</w:t>
            </w:r>
          </w:p>
        </w:tc>
      </w:tr>
      <w:tr w:rsidR="00AB7C5D" w:rsidRPr="006B04F3" w14:paraId="4FC04920" w14:textId="77777777" w:rsidTr="00A43F50">
        <w:trPr>
          <w:trHeight w:val="300"/>
        </w:trPr>
        <w:tc>
          <w:tcPr>
            <w:tcW w:w="0" w:type="auto"/>
            <w:tcBorders>
              <w:top w:val="nil"/>
              <w:left w:val="nil"/>
              <w:bottom w:val="nil"/>
              <w:right w:val="nil"/>
            </w:tcBorders>
            <w:noWrap/>
            <w:vAlign w:val="bottom"/>
            <w:hideMark/>
          </w:tcPr>
          <w:p w14:paraId="0DC71E66" w14:textId="77777777" w:rsidR="00AB7C5D" w:rsidRPr="006B04F3" w:rsidRDefault="00AB7C5D" w:rsidP="00A43F50">
            <w:pPr>
              <w:pStyle w:val="TableBody"/>
              <w:rPr>
                <w:sz w:val="24"/>
              </w:rPr>
            </w:pPr>
            <w:r>
              <w:rPr>
                <w:sz w:val="24"/>
              </w:rPr>
              <w:t>Radio frequency (</w:t>
            </w:r>
            <w:r w:rsidRPr="006B04F3">
              <w:rPr>
                <w:sz w:val="24"/>
              </w:rPr>
              <w:t>RF</w:t>
            </w:r>
            <w:r>
              <w:rPr>
                <w:sz w:val="24"/>
              </w:rPr>
              <w:t>)</w:t>
            </w:r>
            <w:r w:rsidRPr="006B04F3">
              <w:rPr>
                <w:sz w:val="24"/>
              </w:rPr>
              <w:t xml:space="preserve"> power (kW)</w:t>
            </w:r>
          </w:p>
        </w:tc>
        <w:tc>
          <w:tcPr>
            <w:tcW w:w="0" w:type="auto"/>
            <w:tcBorders>
              <w:top w:val="nil"/>
              <w:left w:val="nil"/>
              <w:bottom w:val="nil"/>
              <w:right w:val="nil"/>
            </w:tcBorders>
            <w:noWrap/>
            <w:vAlign w:val="bottom"/>
            <w:hideMark/>
          </w:tcPr>
          <w:p w14:paraId="2AE5DF9D" w14:textId="77777777" w:rsidR="00AB7C5D" w:rsidRPr="006B04F3" w:rsidRDefault="00AB7C5D" w:rsidP="00A43F50">
            <w:pPr>
              <w:pStyle w:val="TableBody"/>
              <w:tabs>
                <w:tab w:val="decimal" w:pos="345"/>
              </w:tabs>
              <w:rPr>
                <w:sz w:val="24"/>
              </w:rPr>
            </w:pPr>
            <w:r w:rsidRPr="006B04F3">
              <w:rPr>
                <w:sz w:val="24"/>
              </w:rPr>
              <w:t>1.4</w:t>
            </w:r>
          </w:p>
        </w:tc>
      </w:tr>
      <w:tr w:rsidR="00AB7C5D" w:rsidRPr="006B04F3" w14:paraId="6B2A5696" w14:textId="77777777" w:rsidTr="00A43F50">
        <w:trPr>
          <w:trHeight w:val="300"/>
        </w:trPr>
        <w:tc>
          <w:tcPr>
            <w:tcW w:w="0" w:type="auto"/>
            <w:tcBorders>
              <w:top w:val="nil"/>
              <w:left w:val="nil"/>
              <w:bottom w:val="nil"/>
              <w:right w:val="nil"/>
            </w:tcBorders>
            <w:noWrap/>
            <w:vAlign w:val="bottom"/>
            <w:hideMark/>
          </w:tcPr>
          <w:p w14:paraId="1EC22838" w14:textId="77777777" w:rsidR="00AB7C5D" w:rsidRPr="006B04F3" w:rsidRDefault="00AB7C5D" w:rsidP="00A43F50">
            <w:pPr>
              <w:pStyle w:val="TableBody"/>
              <w:rPr>
                <w:sz w:val="24"/>
              </w:rPr>
            </w:pPr>
            <w:r w:rsidRPr="006B04F3">
              <w:rPr>
                <w:sz w:val="24"/>
              </w:rPr>
              <w:t>Pump rate (rpm)</w:t>
            </w:r>
          </w:p>
        </w:tc>
        <w:tc>
          <w:tcPr>
            <w:tcW w:w="0" w:type="auto"/>
            <w:tcBorders>
              <w:top w:val="nil"/>
              <w:left w:val="nil"/>
              <w:bottom w:val="nil"/>
              <w:right w:val="nil"/>
            </w:tcBorders>
            <w:noWrap/>
            <w:vAlign w:val="bottom"/>
            <w:hideMark/>
          </w:tcPr>
          <w:p w14:paraId="198DACC9" w14:textId="77777777" w:rsidR="00AB7C5D" w:rsidRPr="006B04F3" w:rsidRDefault="00AB7C5D" w:rsidP="00A43F50">
            <w:pPr>
              <w:pStyle w:val="TableBody"/>
              <w:tabs>
                <w:tab w:val="decimal" w:pos="345"/>
              </w:tabs>
              <w:rPr>
                <w:sz w:val="24"/>
              </w:rPr>
            </w:pPr>
            <w:r w:rsidRPr="006B04F3">
              <w:rPr>
                <w:sz w:val="24"/>
              </w:rPr>
              <w:t>4</w:t>
            </w:r>
          </w:p>
        </w:tc>
      </w:tr>
      <w:tr w:rsidR="00AB7C5D" w:rsidRPr="006B04F3" w14:paraId="063891B9" w14:textId="77777777" w:rsidTr="00A43F50">
        <w:trPr>
          <w:trHeight w:val="300"/>
        </w:trPr>
        <w:tc>
          <w:tcPr>
            <w:tcW w:w="0" w:type="auto"/>
            <w:tcBorders>
              <w:top w:val="nil"/>
              <w:left w:val="nil"/>
              <w:bottom w:val="nil"/>
              <w:right w:val="nil"/>
            </w:tcBorders>
            <w:noWrap/>
            <w:vAlign w:val="bottom"/>
            <w:hideMark/>
          </w:tcPr>
          <w:p w14:paraId="5248A1D7" w14:textId="77777777" w:rsidR="00AB7C5D" w:rsidRPr="006B04F3" w:rsidRDefault="00AB7C5D" w:rsidP="00A43F50">
            <w:pPr>
              <w:pStyle w:val="TableBody"/>
              <w:rPr>
                <w:sz w:val="24"/>
              </w:rPr>
            </w:pPr>
            <w:r w:rsidRPr="006B04F3">
              <w:rPr>
                <w:sz w:val="24"/>
              </w:rPr>
              <w:t>Stabilization (s)</w:t>
            </w:r>
          </w:p>
        </w:tc>
        <w:tc>
          <w:tcPr>
            <w:tcW w:w="0" w:type="auto"/>
            <w:tcBorders>
              <w:top w:val="nil"/>
              <w:left w:val="nil"/>
              <w:bottom w:val="nil"/>
              <w:right w:val="nil"/>
            </w:tcBorders>
            <w:noWrap/>
            <w:vAlign w:val="bottom"/>
            <w:hideMark/>
          </w:tcPr>
          <w:p w14:paraId="47759DEE" w14:textId="77777777" w:rsidR="00AB7C5D" w:rsidRPr="006B04F3" w:rsidRDefault="00AB7C5D" w:rsidP="00A43F50">
            <w:pPr>
              <w:pStyle w:val="TableBody"/>
              <w:tabs>
                <w:tab w:val="decimal" w:pos="345"/>
              </w:tabs>
              <w:rPr>
                <w:sz w:val="24"/>
              </w:rPr>
            </w:pPr>
            <w:r w:rsidRPr="006B04F3">
              <w:rPr>
                <w:sz w:val="24"/>
              </w:rPr>
              <w:t>30</w:t>
            </w:r>
          </w:p>
        </w:tc>
      </w:tr>
      <w:tr w:rsidR="00AB7C5D" w:rsidRPr="006B04F3" w14:paraId="78B9A210" w14:textId="77777777" w:rsidTr="00A43F50">
        <w:trPr>
          <w:trHeight w:val="300"/>
        </w:trPr>
        <w:tc>
          <w:tcPr>
            <w:tcW w:w="0" w:type="auto"/>
            <w:gridSpan w:val="2"/>
            <w:tcBorders>
              <w:top w:val="nil"/>
              <w:left w:val="nil"/>
              <w:bottom w:val="nil"/>
              <w:right w:val="nil"/>
            </w:tcBorders>
            <w:noWrap/>
            <w:vAlign w:val="bottom"/>
            <w:hideMark/>
          </w:tcPr>
          <w:p w14:paraId="433B2D04" w14:textId="77777777" w:rsidR="00AB7C5D" w:rsidRPr="006B04F3" w:rsidRDefault="00AB7C5D" w:rsidP="00A43F50">
            <w:pPr>
              <w:pStyle w:val="TableSpanner"/>
              <w:rPr>
                <w:rFonts w:ascii="Times New Roman" w:hAnsi="Times New Roman"/>
                <w:sz w:val="24"/>
                <w:szCs w:val="24"/>
              </w:rPr>
            </w:pPr>
          </w:p>
          <w:p w14:paraId="503ABEE1" w14:textId="77777777" w:rsidR="00AB7C5D" w:rsidRPr="006B04F3" w:rsidRDefault="00AB7C5D" w:rsidP="00A43F50">
            <w:pPr>
              <w:pStyle w:val="TableSpanner"/>
              <w:rPr>
                <w:rFonts w:ascii="Times New Roman" w:eastAsia="Times New Roman" w:hAnsi="Times New Roman"/>
                <w:i/>
                <w:iCs/>
                <w:sz w:val="24"/>
                <w:szCs w:val="24"/>
              </w:rPr>
            </w:pPr>
            <w:r w:rsidRPr="006B04F3">
              <w:rPr>
                <w:rFonts w:ascii="Times New Roman" w:hAnsi="Times New Roman"/>
                <w:sz w:val="24"/>
                <w:szCs w:val="24"/>
              </w:rPr>
              <w:t>Ion Optics (volts)</w:t>
            </w:r>
          </w:p>
        </w:tc>
      </w:tr>
      <w:tr w:rsidR="00AB7C5D" w:rsidRPr="006B04F3" w14:paraId="5CF66D9E" w14:textId="77777777" w:rsidTr="00A43F50">
        <w:trPr>
          <w:trHeight w:val="300"/>
        </w:trPr>
        <w:tc>
          <w:tcPr>
            <w:tcW w:w="0" w:type="auto"/>
            <w:tcBorders>
              <w:top w:val="nil"/>
              <w:left w:val="nil"/>
              <w:bottom w:val="nil"/>
              <w:right w:val="nil"/>
            </w:tcBorders>
            <w:noWrap/>
            <w:vAlign w:val="bottom"/>
            <w:hideMark/>
          </w:tcPr>
          <w:p w14:paraId="048B4856" w14:textId="77777777" w:rsidR="00AB7C5D" w:rsidRPr="006B04F3" w:rsidRDefault="00AB7C5D" w:rsidP="00A43F50">
            <w:pPr>
              <w:pStyle w:val="TableBody"/>
              <w:rPr>
                <w:sz w:val="24"/>
              </w:rPr>
            </w:pPr>
            <w:r w:rsidRPr="006B04F3">
              <w:rPr>
                <w:sz w:val="24"/>
              </w:rPr>
              <w:t>First extraction lens</w:t>
            </w:r>
          </w:p>
        </w:tc>
        <w:tc>
          <w:tcPr>
            <w:tcW w:w="0" w:type="auto"/>
            <w:tcBorders>
              <w:top w:val="nil"/>
              <w:left w:val="nil"/>
              <w:bottom w:val="nil"/>
              <w:right w:val="nil"/>
            </w:tcBorders>
            <w:noWrap/>
            <w:vAlign w:val="bottom"/>
            <w:hideMark/>
          </w:tcPr>
          <w:p w14:paraId="6E62BCEB" w14:textId="77777777" w:rsidR="00AB7C5D" w:rsidRPr="006B04F3" w:rsidRDefault="00AB7C5D" w:rsidP="00A43F50">
            <w:pPr>
              <w:pStyle w:val="TableBody"/>
              <w:tabs>
                <w:tab w:val="decimal" w:pos="345"/>
              </w:tabs>
              <w:rPr>
                <w:sz w:val="24"/>
              </w:rPr>
            </w:pPr>
            <w:r w:rsidRPr="006B04F3">
              <w:rPr>
                <w:sz w:val="24"/>
              </w:rPr>
              <w:t>-20</w:t>
            </w:r>
          </w:p>
        </w:tc>
      </w:tr>
      <w:tr w:rsidR="00AB7C5D" w:rsidRPr="006B04F3" w14:paraId="2A26ADFE" w14:textId="77777777" w:rsidTr="00A43F50">
        <w:trPr>
          <w:trHeight w:val="300"/>
        </w:trPr>
        <w:tc>
          <w:tcPr>
            <w:tcW w:w="0" w:type="auto"/>
            <w:tcBorders>
              <w:top w:val="nil"/>
              <w:left w:val="nil"/>
              <w:bottom w:val="nil"/>
              <w:right w:val="nil"/>
            </w:tcBorders>
            <w:noWrap/>
            <w:vAlign w:val="bottom"/>
            <w:hideMark/>
          </w:tcPr>
          <w:p w14:paraId="74D8361D" w14:textId="77777777" w:rsidR="00AB7C5D" w:rsidRPr="006B04F3" w:rsidRDefault="00AB7C5D" w:rsidP="00A43F50">
            <w:pPr>
              <w:pStyle w:val="TableBody"/>
              <w:rPr>
                <w:sz w:val="24"/>
              </w:rPr>
            </w:pPr>
            <w:r w:rsidRPr="006B04F3">
              <w:rPr>
                <w:sz w:val="24"/>
              </w:rPr>
              <w:t>Second extraction lens</w:t>
            </w:r>
          </w:p>
        </w:tc>
        <w:tc>
          <w:tcPr>
            <w:tcW w:w="0" w:type="auto"/>
            <w:tcBorders>
              <w:top w:val="nil"/>
              <w:left w:val="nil"/>
              <w:bottom w:val="nil"/>
              <w:right w:val="nil"/>
            </w:tcBorders>
            <w:noWrap/>
            <w:vAlign w:val="bottom"/>
            <w:hideMark/>
          </w:tcPr>
          <w:p w14:paraId="25A0F012" w14:textId="77777777" w:rsidR="00AB7C5D" w:rsidRPr="006B04F3" w:rsidRDefault="00AB7C5D" w:rsidP="00A43F50">
            <w:pPr>
              <w:pStyle w:val="TableBody"/>
              <w:tabs>
                <w:tab w:val="decimal" w:pos="345"/>
              </w:tabs>
              <w:rPr>
                <w:sz w:val="24"/>
              </w:rPr>
            </w:pPr>
            <w:r w:rsidRPr="006B04F3">
              <w:rPr>
                <w:sz w:val="24"/>
              </w:rPr>
              <w:t>-174</w:t>
            </w:r>
          </w:p>
        </w:tc>
      </w:tr>
      <w:tr w:rsidR="00AB7C5D" w:rsidRPr="006B04F3" w14:paraId="42D18A90" w14:textId="77777777" w:rsidTr="00A43F50">
        <w:trPr>
          <w:trHeight w:val="300"/>
        </w:trPr>
        <w:tc>
          <w:tcPr>
            <w:tcW w:w="0" w:type="auto"/>
            <w:tcBorders>
              <w:top w:val="nil"/>
              <w:left w:val="nil"/>
              <w:bottom w:val="nil"/>
              <w:right w:val="nil"/>
            </w:tcBorders>
            <w:noWrap/>
            <w:vAlign w:val="bottom"/>
            <w:hideMark/>
          </w:tcPr>
          <w:p w14:paraId="28EDBFBE" w14:textId="77777777" w:rsidR="00AB7C5D" w:rsidRPr="006B04F3" w:rsidRDefault="00AB7C5D" w:rsidP="00A43F50">
            <w:pPr>
              <w:pStyle w:val="TableBody"/>
              <w:rPr>
                <w:sz w:val="24"/>
              </w:rPr>
            </w:pPr>
            <w:r w:rsidRPr="006B04F3">
              <w:rPr>
                <w:sz w:val="24"/>
              </w:rPr>
              <w:t>Third extraction lens</w:t>
            </w:r>
          </w:p>
        </w:tc>
        <w:tc>
          <w:tcPr>
            <w:tcW w:w="0" w:type="auto"/>
            <w:tcBorders>
              <w:top w:val="nil"/>
              <w:left w:val="nil"/>
              <w:bottom w:val="nil"/>
              <w:right w:val="nil"/>
            </w:tcBorders>
            <w:noWrap/>
            <w:vAlign w:val="bottom"/>
            <w:hideMark/>
          </w:tcPr>
          <w:p w14:paraId="43E1A707" w14:textId="77777777" w:rsidR="00AB7C5D" w:rsidRPr="006B04F3" w:rsidRDefault="00AB7C5D" w:rsidP="00A43F50">
            <w:pPr>
              <w:pStyle w:val="TableBody"/>
              <w:tabs>
                <w:tab w:val="decimal" w:pos="345"/>
              </w:tabs>
              <w:rPr>
                <w:sz w:val="24"/>
              </w:rPr>
            </w:pPr>
            <w:r w:rsidRPr="006B04F3">
              <w:rPr>
                <w:sz w:val="24"/>
              </w:rPr>
              <w:t>-150</w:t>
            </w:r>
          </w:p>
        </w:tc>
      </w:tr>
      <w:tr w:rsidR="00AB7C5D" w:rsidRPr="006B04F3" w14:paraId="1D7F2037" w14:textId="77777777" w:rsidTr="00A43F50">
        <w:trPr>
          <w:trHeight w:val="300"/>
        </w:trPr>
        <w:tc>
          <w:tcPr>
            <w:tcW w:w="0" w:type="auto"/>
            <w:tcBorders>
              <w:top w:val="nil"/>
              <w:left w:val="nil"/>
              <w:bottom w:val="nil"/>
              <w:right w:val="nil"/>
            </w:tcBorders>
            <w:noWrap/>
            <w:vAlign w:val="bottom"/>
            <w:hideMark/>
          </w:tcPr>
          <w:p w14:paraId="7BBD9A0A" w14:textId="77777777" w:rsidR="00AB7C5D" w:rsidRPr="006B04F3" w:rsidRDefault="00AB7C5D" w:rsidP="00A43F50">
            <w:pPr>
              <w:pStyle w:val="TableBody"/>
              <w:rPr>
                <w:sz w:val="24"/>
              </w:rPr>
            </w:pPr>
            <w:r w:rsidRPr="006B04F3">
              <w:rPr>
                <w:sz w:val="24"/>
              </w:rPr>
              <w:t>Corner lens</w:t>
            </w:r>
          </w:p>
        </w:tc>
        <w:tc>
          <w:tcPr>
            <w:tcW w:w="0" w:type="auto"/>
            <w:tcBorders>
              <w:top w:val="nil"/>
              <w:left w:val="nil"/>
              <w:bottom w:val="nil"/>
              <w:right w:val="nil"/>
            </w:tcBorders>
            <w:noWrap/>
            <w:vAlign w:val="bottom"/>
            <w:hideMark/>
          </w:tcPr>
          <w:p w14:paraId="33CB68C5" w14:textId="77777777" w:rsidR="00AB7C5D" w:rsidRPr="006B04F3" w:rsidRDefault="00AB7C5D" w:rsidP="00A43F50">
            <w:pPr>
              <w:pStyle w:val="TableBody"/>
              <w:tabs>
                <w:tab w:val="decimal" w:pos="345"/>
              </w:tabs>
              <w:rPr>
                <w:sz w:val="24"/>
              </w:rPr>
            </w:pPr>
            <w:r w:rsidRPr="006B04F3">
              <w:rPr>
                <w:sz w:val="24"/>
              </w:rPr>
              <w:t>-240</w:t>
            </w:r>
          </w:p>
        </w:tc>
      </w:tr>
      <w:tr w:rsidR="00AB7C5D" w:rsidRPr="006B04F3" w14:paraId="5E8C2D2A" w14:textId="77777777" w:rsidTr="00A43F50">
        <w:trPr>
          <w:trHeight w:val="300"/>
        </w:trPr>
        <w:tc>
          <w:tcPr>
            <w:tcW w:w="0" w:type="auto"/>
            <w:tcBorders>
              <w:top w:val="nil"/>
              <w:left w:val="nil"/>
              <w:bottom w:val="nil"/>
              <w:right w:val="nil"/>
            </w:tcBorders>
            <w:noWrap/>
            <w:vAlign w:val="bottom"/>
            <w:hideMark/>
          </w:tcPr>
          <w:p w14:paraId="31039EDF" w14:textId="77777777" w:rsidR="00AB7C5D" w:rsidRPr="006B04F3" w:rsidRDefault="00AB7C5D" w:rsidP="00A43F50">
            <w:pPr>
              <w:pStyle w:val="TableBody"/>
              <w:rPr>
                <w:sz w:val="24"/>
              </w:rPr>
            </w:pPr>
            <w:r w:rsidRPr="006B04F3">
              <w:rPr>
                <w:sz w:val="24"/>
              </w:rPr>
              <w:t>Mirror lens left</w:t>
            </w:r>
          </w:p>
        </w:tc>
        <w:tc>
          <w:tcPr>
            <w:tcW w:w="0" w:type="auto"/>
            <w:tcBorders>
              <w:top w:val="nil"/>
              <w:left w:val="nil"/>
              <w:bottom w:val="nil"/>
              <w:right w:val="nil"/>
            </w:tcBorders>
            <w:noWrap/>
            <w:vAlign w:val="bottom"/>
            <w:hideMark/>
          </w:tcPr>
          <w:p w14:paraId="72F29006" w14:textId="77777777" w:rsidR="00AB7C5D" w:rsidRPr="006B04F3" w:rsidRDefault="00AB7C5D" w:rsidP="00A43F50">
            <w:pPr>
              <w:pStyle w:val="TableBody"/>
              <w:tabs>
                <w:tab w:val="decimal" w:pos="345"/>
              </w:tabs>
              <w:rPr>
                <w:sz w:val="24"/>
              </w:rPr>
            </w:pPr>
            <w:r w:rsidRPr="006B04F3">
              <w:rPr>
                <w:sz w:val="24"/>
              </w:rPr>
              <w:t>9</w:t>
            </w:r>
          </w:p>
        </w:tc>
      </w:tr>
      <w:tr w:rsidR="00AB7C5D" w:rsidRPr="006B04F3" w14:paraId="0E825294" w14:textId="77777777" w:rsidTr="00A43F50">
        <w:trPr>
          <w:trHeight w:val="300"/>
        </w:trPr>
        <w:tc>
          <w:tcPr>
            <w:tcW w:w="0" w:type="auto"/>
            <w:tcBorders>
              <w:top w:val="nil"/>
              <w:left w:val="nil"/>
              <w:bottom w:val="nil"/>
              <w:right w:val="nil"/>
            </w:tcBorders>
            <w:noWrap/>
            <w:vAlign w:val="bottom"/>
            <w:hideMark/>
          </w:tcPr>
          <w:p w14:paraId="42AD8F2E" w14:textId="77777777" w:rsidR="00AB7C5D" w:rsidRPr="006B04F3" w:rsidRDefault="00AB7C5D" w:rsidP="00A43F50">
            <w:pPr>
              <w:pStyle w:val="TableBody"/>
              <w:rPr>
                <w:sz w:val="24"/>
              </w:rPr>
            </w:pPr>
            <w:r w:rsidRPr="006B04F3">
              <w:rPr>
                <w:sz w:val="24"/>
              </w:rPr>
              <w:t>Mirror lens right</w:t>
            </w:r>
          </w:p>
        </w:tc>
        <w:tc>
          <w:tcPr>
            <w:tcW w:w="0" w:type="auto"/>
            <w:tcBorders>
              <w:top w:val="nil"/>
              <w:left w:val="nil"/>
              <w:bottom w:val="nil"/>
              <w:right w:val="nil"/>
            </w:tcBorders>
            <w:noWrap/>
            <w:vAlign w:val="bottom"/>
            <w:hideMark/>
          </w:tcPr>
          <w:p w14:paraId="175AB945" w14:textId="77777777" w:rsidR="00AB7C5D" w:rsidRPr="006B04F3" w:rsidRDefault="00AB7C5D" w:rsidP="00A43F50">
            <w:pPr>
              <w:pStyle w:val="TableBody"/>
              <w:tabs>
                <w:tab w:val="decimal" w:pos="345"/>
              </w:tabs>
              <w:rPr>
                <w:sz w:val="24"/>
              </w:rPr>
            </w:pPr>
            <w:r w:rsidRPr="006B04F3">
              <w:rPr>
                <w:sz w:val="24"/>
              </w:rPr>
              <w:t>22</w:t>
            </w:r>
          </w:p>
        </w:tc>
      </w:tr>
      <w:tr w:rsidR="00AB7C5D" w:rsidRPr="006B04F3" w14:paraId="09A5A4D2" w14:textId="77777777" w:rsidTr="00A43F50">
        <w:trPr>
          <w:trHeight w:val="300"/>
        </w:trPr>
        <w:tc>
          <w:tcPr>
            <w:tcW w:w="0" w:type="auto"/>
            <w:tcBorders>
              <w:top w:val="nil"/>
              <w:left w:val="nil"/>
              <w:bottom w:val="nil"/>
              <w:right w:val="nil"/>
            </w:tcBorders>
            <w:noWrap/>
            <w:vAlign w:val="bottom"/>
            <w:hideMark/>
          </w:tcPr>
          <w:p w14:paraId="38A6A852" w14:textId="77777777" w:rsidR="00AB7C5D" w:rsidRPr="006B04F3" w:rsidRDefault="00AB7C5D" w:rsidP="00A43F50">
            <w:pPr>
              <w:pStyle w:val="TableBody"/>
              <w:rPr>
                <w:sz w:val="24"/>
              </w:rPr>
            </w:pPr>
            <w:r w:rsidRPr="006B04F3">
              <w:rPr>
                <w:sz w:val="24"/>
              </w:rPr>
              <w:t>Mirror lens bottom</w:t>
            </w:r>
          </w:p>
        </w:tc>
        <w:tc>
          <w:tcPr>
            <w:tcW w:w="0" w:type="auto"/>
            <w:tcBorders>
              <w:top w:val="nil"/>
              <w:left w:val="nil"/>
              <w:bottom w:val="nil"/>
              <w:right w:val="nil"/>
            </w:tcBorders>
            <w:noWrap/>
            <w:vAlign w:val="bottom"/>
            <w:hideMark/>
          </w:tcPr>
          <w:p w14:paraId="6C94203D" w14:textId="77777777" w:rsidR="00AB7C5D" w:rsidRPr="006B04F3" w:rsidRDefault="00AB7C5D" w:rsidP="00A43F50">
            <w:pPr>
              <w:pStyle w:val="TableBody"/>
              <w:tabs>
                <w:tab w:val="decimal" w:pos="345"/>
              </w:tabs>
              <w:rPr>
                <w:sz w:val="24"/>
              </w:rPr>
            </w:pPr>
            <w:r w:rsidRPr="006B04F3">
              <w:rPr>
                <w:sz w:val="24"/>
              </w:rPr>
              <w:t>25</w:t>
            </w:r>
          </w:p>
        </w:tc>
      </w:tr>
      <w:tr w:rsidR="00AB7C5D" w:rsidRPr="006B04F3" w14:paraId="2C86A7D6" w14:textId="77777777" w:rsidTr="00A43F50">
        <w:trPr>
          <w:trHeight w:val="300"/>
        </w:trPr>
        <w:tc>
          <w:tcPr>
            <w:tcW w:w="0" w:type="auto"/>
            <w:tcBorders>
              <w:top w:val="nil"/>
              <w:left w:val="nil"/>
              <w:bottom w:val="single" w:sz="4" w:space="0" w:color="auto"/>
              <w:right w:val="nil"/>
            </w:tcBorders>
            <w:noWrap/>
            <w:vAlign w:val="bottom"/>
            <w:hideMark/>
          </w:tcPr>
          <w:p w14:paraId="32B0CC0E" w14:textId="77777777" w:rsidR="00AB7C5D" w:rsidRPr="006B04F3" w:rsidRDefault="00AB7C5D" w:rsidP="00A43F50">
            <w:pPr>
              <w:pStyle w:val="TableBody"/>
              <w:rPr>
                <w:sz w:val="24"/>
              </w:rPr>
            </w:pPr>
            <w:r w:rsidRPr="006B04F3">
              <w:rPr>
                <w:sz w:val="24"/>
              </w:rPr>
              <w:t>Entrance lens</w:t>
            </w:r>
          </w:p>
        </w:tc>
        <w:tc>
          <w:tcPr>
            <w:tcW w:w="0" w:type="auto"/>
            <w:tcBorders>
              <w:top w:val="nil"/>
              <w:left w:val="nil"/>
              <w:bottom w:val="single" w:sz="4" w:space="0" w:color="auto"/>
              <w:right w:val="nil"/>
            </w:tcBorders>
            <w:noWrap/>
            <w:vAlign w:val="bottom"/>
            <w:hideMark/>
          </w:tcPr>
          <w:p w14:paraId="4390FEAA" w14:textId="77777777" w:rsidR="00AB7C5D" w:rsidRPr="006B04F3" w:rsidRDefault="00AB7C5D" w:rsidP="00A43F50">
            <w:pPr>
              <w:pStyle w:val="TableBody"/>
              <w:tabs>
                <w:tab w:val="decimal" w:pos="345"/>
              </w:tabs>
              <w:rPr>
                <w:sz w:val="24"/>
              </w:rPr>
            </w:pPr>
            <w:r w:rsidRPr="006B04F3">
              <w:rPr>
                <w:sz w:val="24"/>
              </w:rPr>
              <w:t>-1</w:t>
            </w:r>
          </w:p>
        </w:tc>
      </w:tr>
    </w:tbl>
    <w:p w14:paraId="44E17BAF" w14:textId="77777777" w:rsidR="00AB7C5D" w:rsidRPr="006B04F3" w:rsidRDefault="00AB7C5D" w:rsidP="00AB7C5D">
      <w:pPr>
        <w:spacing w:after="0" w:line="240" w:lineRule="auto"/>
        <w:rPr>
          <w:rFonts w:ascii="Times New Roman" w:eastAsia="Times New Roman" w:hAnsi="Times New Roman" w:cs="Times New Roman"/>
          <w:color w:val="000000"/>
          <w:sz w:val="24"/>
          <w:szCs w:val="24"/>
        </w:rPr>
      </w:pPr>
    </w:p>
    <w:p w14:paraId="0BB96F5C" w14:textId="77777777" w:rsidR="00756414" w:rsidRDefault="00756414"/>
    <w:sectPr w:rsidR="00756414" w:rsidSect="00AB7C5D">
      <w:pgSz w:w="12240" w:h="15840" w:code="1"/>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5D"/>
    <w:rsid w:val="000570D0"/>
    <w:rsid w:val="00756414"/>
    <w:rsid w:val="00AB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6CB5"/>
  <w15:chartTrackingRefBased/>
  <w15:docId w15:val="{15661AB5-0C49-4BE0-983F-1D066202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C5D"/>
    <w:pPr>
      <w:spacing w:line="256" w:lineRule="auto"/>
    </w:pPr>
    <w:rPr>
      <w:kern w:val="0"/>
      <w14:ligatures w14:val="none"/>
    </w:rPr>
  </w:style>
  <w:style w:type="paragraph" w:styleId="Heading1">
    <w:name w:val="heading 1"/>
    <w:basedOn w:val="Normal"/>
    <w:next w:val="Normal"/>
    <w:link w:val="Heading1Char"/>
    <w:uiPriority w:val="9"/>
    <w:qFormat/>
    <w:rsid w:val="00AB7C5D"/>
    <w:pPr>
      <w:keepNext/>
      <w:keepLines/>
      <w:spacing w:after="0" w:line="480" w:lineRule="auto"/>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C5D"/>
    <w:rPr>
      <w:rFonts w:ascii="Times New Roman" w:eastAsiaTheme="majorEastAsia" w:hAnsi="Times New Roman" w:cstheme="majorBidi"/>
      <w:b/>
      <w:kern w:val="0"/>
      <w:sz w:val="28"/>
      <w:szCs w:val="32"/>
      <w14:ligatures w14:val="none"/>
    </w:rPr>
  </w:style>
  <w:style w:type="table" w:styleId="TableGrid">
    <w:name w:val="Table Grid"/>
    <w:basedOn w:val="TableNormal"/>
    <w:uiPriority w:val="39"/>
    <w:rsid w:val="00AB7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B7C5D"/>
  </w:style>
  <w:style w:type="paragraph" w:customStyle="1" w:styleId="TableHead">
    <w:name w:val="TableHead"/>
    <w:basedOn w:val="Normal"/>
    <w:qFormat/>
    <w:rsid w:val="00AB7C5D"/>
    <w:pPr>
      <w:keepNext/>
      <w:spacing w:after="0" w:line="240" w:lineRule="auto"/>
      <w:jc w:val="center"/>
    </w:pPr>
    <w:rPr>
      <w:rFonts w:ascii="Arial Narrow" w:eastAsia="Calibri" w:hAnsi="Arial Narrow" w:cs="Times New Roman"/>
      <w:b/>
      <w:sz w:val="18"/>
      <w:szCs w:val="24"/>
    </w:rPr>
  </w:style>
  <w:style w:type="paragraph" w:customStyle="1" w:styleId="TableBody">
    <w:name w:val="TableBody"/>
    <w:basedOn w:val="Normal"/>
    <w:qFormat/>
    <w:rsid w:val="00AB7C5D"/>
    <w:pPr>
      <w:spacing w:after="0" w:line="240" w:lineRule="auto"/>
      <w:ind w:left="187" w:hanging="187"/>
    </w:pPr>
    <w:rPr>
      <w:rFonts w:ascii="Times New Roman" w:eastAsia="Calibri" w:hAnsi="Times New Roman" w:cs="Times New Roman"/>
      <w:sz w:val="18"/>
      <w:szCs w:val="24"/>
    </w:rPr>
  </w:style>
  <w:style w:type="paragraph" w:customStyle="1" w:styleId="TableFootnote">
    <w:name w:val="TableFootnote"/>
    <w:basedOn w:val="Normal"/>
    <w:qFormat/>
    <w:rsid w:val="00AB7C5D"/>
    <w:pPr>
      <w:spacing w:before="120" w:after="0" w:line="240" w:lineRule="auto"/>
      <w:ind w:firstLine="720"/>
    </w:pPr>
    <w:rPr>
      <w:rFonts w:ascii="Times New Roman" w:eastAsia="Calibri" w:hAnsi="Times New Roman" w:cs="Times New Roman"/>
      <w:sz w:val="18"/>
      <w:szCs w:val="24"/>
    </w:rPr>
  </w:style>
  <w:style w:type="character" w:customStyle="1" w:styleId="TableSpannerChar">
    <w:name w:val="TableSpanner Char"/>
    <w:link w:val="TableSpanner"/>
    <w:rsid w:val="00AB7C5D"/>
    <w:rPr>
      <w:rFonts w:ascii="Arial Narrow" w:eastAsia="Calibri" w:hAnsi="Arial Narrow" w:cs="Times New Roman"/>
      <w:sz w:val="18"/>
    </w:rPr>
  </w:style>
  <w:style w:type="paragraph" w:customStyle="1" w:styleId="TableSpanner">
    <w:name w:val="TableSpanner"/>
    <w:basedOn w:val="Normal"/>
    <w:link w:val="TableSpannerChar"/>
    <w:qFormat/>
    <w:rsid w:val="00AB7C5D"/>
    <w:pPr>
      <w:spacing w:after="0" w:line="240" w:lineRule="auto"/>
      <w:jc w:val="center"/>
    </w:pPr>
    <w:rPr>
      <w:rFonts w:ascii="Arial Narrow" w:eastAsia="Calibri" w:hAnsi="Arial Narrow" w:cs="Times New Roman"/>
      <w:kern w:val="2"/>
      <w:sz w:val="18"/>
      <w14:ligatures w14:val="standardContextual"/>
    </w:rPr>
  </w:style>
  <w:style w:type="character" w:styleId="LineNumber">
    <w:name w:val="line number"/>
    <w:basedOn w:val="DefaultParagraphFont"/>
    <w:uiPriority w:val="99"/>
    <w:semiHidden/>
    <w:unhideWhenUsed/>
    <w:rsid w:val="00AB7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Barbour, Matthew T</dc:creator>
  <cp:keywords/>
  <dc:description/>
  <cp:lastModifiedBy>Barbour, Matthew T</cp:lastModifiedBy>
  <cp:revision>1</cp:revision>
  <dcterms:created xsi:type="dcterms:W3CDTF">2025-03-11T15:57:00Z</dcterms:created>
  <dcterms:modified xsi:type="dcterms:W3CDTF">2025-03-11T15:59:00Z</dcterms:modified>
</cp:coreProperties>
</file>