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21"/>
          <w:szCs w:val="24"/>
          <w:highlight w:val="none"/>
        </w:rPr>
      </w:pPr>
      <w:r>
        <w:rPr>
          <w:rFonts w:ascii="Times New Roman" w:hAnsi="Times New Roman" w:eastAsia="黑体" w:cs="Times New Roman"/>
          <w:sz w:val="21"/>
          <w:szCs w:val="24"/>
          <w:highlight w:val="none"/>
        </w:rPr>
        <w:t>Tab</w:t>
      </w:r>
      <w:r>
        <w:rPr>
          <w:rFonts w:hint="eastAsia" w:ascii="Times New Roman" w:hAnsi="Times New Roman" w:eastAsia="黑体" w:cs="Times New Roman"/>
          <w:sz w:val="21"/>
          <w:szCs w:val="24"/>
          <w:highlight w:val="none"/>
        </w:rPr>
        <w:t>le 1 P</w:t>
      </w:r>
      <w:r>
        <w:rPr>
          <w:rFonts w:ascii="Times New Roman" w:hAnsi="Times New Roman" w:eastAsia="黑体" w:cs="Times New Roman"/>
          <w:sz w:val="21"/>
          <w:szCs w:val="24"/>
          <w:highlight w:val="none"/>
        </w:rPr>
        <w:t>arameters of</w:t>
      </w:r>
      <w:r>
        <w:rPr>
          <w:rFonts w:hint="eastAsia" w:ascii="Times New Roman" w:hAnsi="Times New Roman" w:eastAsia="黑体" w:cs="Times New Roman"/>
          <w:sz w:val="21"/>
          <w:szCs w:val="24"/>
          <w:highlight w:val="none"/>
        </w:rPr>
        <w:t xml:space="preserve"> the</w:t>
      </w:r>
      <w:r>
        <w:rPr>
          <w:rFonts w:hint="eastAsia" w:ascii="Times New Roman" w:hAnsi="Times New Roman" w:eastAsia="黑体" w:cs="Times New Roman"/>
          <w:sz w:val="21"/>
          <w:szCs w:val="24"/>
          <w:highlight w:val="none"/>
          <w:lang w:val="en-US" w:eastAsia="zh-CN"/>
        </w:rPr>
        <w:t xml:space="preserve"> evaporator</w:t>
      </w:r>
    </w:p>
    <w:tbl>
      <w:tblPr>
        <w:tblStyle w:val="3"/>
        <w:tblW w:w="10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2"/>
        <w:gridCol w:w="1269"/>
        <w:gridCol w:w="2521"/>
        <w:gridCol w:w="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Items</w:t>
            </w:r>
          </w:p>
        </w:tc>
        <w:tc>
          <w:tcPr>
            <w:tcW w:w="1269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Size</w:t>
            </w:r>
          </w:p>
        </w:tc>
        <w:tc>
          <w:tcPr>
            <w:tcW w:w="2521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Items</w:t>
            </w:r>
          </w:p>
        </w:tc>
        <w:tc>
          <w:tcPr>
            <w:tcW w:w="864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highlight w:val="none"/>
              </w:rPr>
              <w:t>Size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tcBorders>
              <w:top w:val="single" w:color="auto" w:sz="6" w:space="0"/>
            </w:tcBorders>
            <w:shd w:val="clear" w:color="auto" w:fill="auto"/>
            <w:noWrap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Flow length (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EFGE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 and PF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E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) /m</w:t>
            </w:r>
          </w:p>
        </w:tc>
        <w:tc>
          <w:tcPr>
            <w:tcW w:w="1269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6.0</w:t>
            </w:r>
          </w:p>
        </w:tc>
        <w:tc>
          <w:tcPr>
            <w:tcW w:w="2521" w:type="dxa"/>
            <w:tcBorders>
              <w:top w:val="single" w:color="auto" w:sz="6" w:space="0"/>
            </w:tcBorders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Addendum angle /°</w:t>
            </w:r>
          </w:p>
        </w:tc>
        <w:tc>
          <w:tcPr>
            <w:tcW w:w="864" w:type="dxa"/>
            <w:tcBorders>
              <w:top w:val="single" w:color="auto" w:sz="6" w:space="0"/>
            </w:tcBorders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2" w:type="dxa"/>
            <w:shd w:val="clear" w:color="auto" w:fill="auto"/>
            <w:noWrap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Diameter of header (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EFGE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 and PF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E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) /mm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Helical angle /°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2" w:type="dxa"/>
            <w:shd w:val="clear" w:color="auto" w:fill="auto"/>
            <w:noWrap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Header length (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EFGE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 and PF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E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) /mm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506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Fin t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hickness /m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m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/>
                <w:color w:val="auto"/>
                <w:highlight w:val="none"/>
              </w:rPr>
              <w:t>2nd</w:t>
            </w:r>
            <w:r>
              <w:rPr>
                <w:rFonts w:hint="eastAsia" w:ascii="Times New Roman" w:hAnsi="Times New Roman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Tube p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itch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in v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ertical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/ mm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/>
                <w:highlight w:val="none"/>
              </w:rPr>
              <w:t xml:space="preserve">3rd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 xml:space="preserve">2/4 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Fin height /m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m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.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/>
                <w:highlight w:val="none"/>
              </w:rPr>
              <w:t xml:space="preserve">4th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2/4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Tube number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highlight w:val="none"/>
              </w:rPr>
              <w:t xml:space="preserve">th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Tube length /m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m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(6</w:t>
            </w:r>
            <w:r>
              <w:rPr>
                <w:rFonts w:hint="eastAsia" w:ascii="Times New Roman" w:hAnsi="Times New Roman"/>
                <w:highlight w:val="none"/>
              </w:rPr>
              <w:t xml:space="preserve">th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Thread number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(7</w:t>
            </w:r>
            <w:r>
              <w:rPr>
                <w:rFonts w:hint="eastAsia" w:ascii="Times New Roman" w:hAnsi="Times New Roman"/>
                <w:highlight w:val="none"/>
              </w:rPr>
              <w:t xml:space="preserve">th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Outer diameter /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m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m</w:t>
            </w:r>
          </w:p>
        </w:tc>
        <w:tc>
          <w:tcPr>
            <w:tcW w:w="864" w:type="dxa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(8</w:t>
            </w:r>
            <w:r>
              <w:rPr>
                <w:rFonts w:hint="eastAsia" w:ascii="Times New Roman" w:hAnsi="Times New Roman"/>
                <w:highlight w:val="none"/>
              </w:rPr>
              <w:t xml:space="preserve">th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  <w:vAlign w:val="top"/>
          </w:tcPr>
          <w:p>
            <w:pPr>
              <w:textAlignment w:val="bottom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Tip diameter /m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m</w:t>
            </w:r>
          </w:p>
        </w:tc>
        <w:tc>
          <w:tcPr>
            <w:tcW w:w="864" w:type="dxa"/>
            <w:vAlign w:val="center"/>
          </w:tcPr>
          <w:p>
            <w:pPr>
              <w:jc w:val="left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702" w:type="dxa"/>
            <w:tcBorders>
              <w:bottom w:val="single" w:color="auto" w:sz="6" w:space="0"/>
            </w:tcBorders>
            <w:shd w:val="clear" w:color="auto" w:fill="auto"/>
            <w:noWrap/>
            <w:vAlign w:val="top"/>
          </w:tcPr>
          <w:p>
            <w:pPr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Hole </w:t>
            </w:r>
            <w:r>
              <w:rPr>
                <w:rFonts w:hint="eastAsia" w:ascii="Times New Roman" w:hAnsi="Times New Roman"/>
                <w:highlight w:val="none"/>
              </w:rPr>
              <w:t>number/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hole d</w:t>
            </w:r>
            <w:r>
              <w:rPr>
                <w:rFonts w:hint="eastAsia" w:ascii="Times New Roman" w:hAnsi="Times New Roman"/>
                <w:highlight w:val="none"/>
              </w:rPr>
              <w:t>iameter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/ </w:t>
            </w:r>
            <w:r>
              <w:rPr>
                <w:rFonts w:hint="eastAsia" w:ascii="Times New Roman" w:hAnsi="Times New Roman"/>
                <w:highlight w:val="none"/>
              </w:rPr>
              <w:t>conduit pipe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length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(9</w:t>
            </w:r>
            <w:r>
              <w:rPr>
                <w:rFonts w:hint="eastAsia" w:ascii="Times New Roman" w:hAnsi="Times New Roman"/>
                <w:highlight w:val="none"/>
              </w:rPr>
              <w:t xml:space="preserve">th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 xml:space="preserve">pass)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/mm </w:t>
            </w:r>
          </w:p>
        </w:tc>
        <w:tc>
          <w:tcPr>
            <w:tcW w:w="1269" w:type="dxa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3/4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 xml:space="preserve"> /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5&amp;22</w:t>
            </w:r>
          </w:p>
        </w:tc>
        <w:tc>
          <w:tcPr>
            <w:tcW w:w="2521" w:type="dxa"/>
            <w:tcBorders>
              <w:bottom w:val="single" w:color="auto" w:sz="6" w:space="0"/>
            </w:tcBorders>
            <w:vAlign w:val="top"/>
          </w:tcPr>
          <w:p>
            <w:pPr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Fin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p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itch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/mm</w:t>
            </w:r>
          </w:p>
        </w:tc>
        <w:tc>
          <w:tcPr>
            <w:tcW w:w="864" w:type="dxa"/>
            <w:tcBorders>
              <w:bottom w:val="single" w:color="auto" w:sz="6" w:space="0"/>
            </w:tcBorders>
          </w:tcPr>
          <w:p>
            <w:pPr>
              <w:textAlignment w:val="bottom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1.36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sz w:val="21"/>
          <w:szCs w:val="21"/>
          <w:highlight w:val="none"/>
        </w:rPr>
      </w:pPr>
    </w:p>
    <w:p>
      <w:pPr>
        <w:pStyle w:val="10"/>
        <w:ind w:firstLine="0" w:firstLineChars="0"/>
        <w:jc w:val="center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Tab</w:t>
      </w:r>
      <w:r>
        <w:rPr>
          <w:rFonts w:hint="eastAsia"/>
          <w:sz w:val="21"/>
          <w:szCs w:val="21"/>
          <w:highlight w:val="none"/>
        </w:rPr>
        <w:t xml:space="preserve">le </w:t>
      </w:r>
      <w:r>
        <w:rPr>
          <w:rFonts w:hint="eastAsia"/>
          <w:sz w:val="21"/>
          <w:szCs w:val="21"/>
          <w:highlight w:val="none"/>
          <w:lang w:val="en-US" w:eastAsia="zh-CN"/>
        </w:rPr>
        <w:t>2</w:t>
      </w:r>
      <w:r>
        <w:rPr>
          <w:sz w:val="21"/>
          <w:szCs w:val="21"/>
          <w:highlight w:val="none"/>
        </w:rPr>
        <w:t xml:space="preserve"> Uncertainty of the measuring apparatus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284"/>
        <w:gridCol w:w="2421"/>
        <w:gridCol w:w="190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bookmarkStart w:id="0" w:name="OLE_LINK53"/>
            <w:bookmarkStart w:id="1" w:name="OLE_LINK54"/>
            <w:r>
              <w:rPr>
                <w:rFonts w:ascii="Times New Roman" w:hAnsi="Times New Roman" w:cs="Times New Roman"/>
                <w:highlight w:val="none"/>
              </w:rPr>
              <w:t>Items</w:t>
            </w:r>
          </w:p>
        </w:tc>
        <w:tc>
          <w:tcPr>
            <w:tcW w:w="1537" w:type="pct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Type</w:t>
            </w:r>
          </w:p>
        </w:tc>
        <w:tc>
          <w:tcPr>
            <w:tcW w:w="1133" w:type="pct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Range</w:t>
            </w:r>
          </w:p>
        </w:tc>
        <w:tc>
          <w:tcPr>
            <w:tcW w:w="890" w:type="pct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Accuracy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Pt-100 </w:t>
            </w:r>
          </w:p>
        </w:tc>
        <w:tc>
          <w:tcPr>
            <w:tcW w:w="1537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TR/02010</w:t>
            </w:r>
          </w:p>
        </w:tc>
        <w:tc>
          <w:tcPr>
            <w:tcW w:w="1133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223</w:t>
            </w:r>
            <w:r>
              <w:rPr>
                <w:rFonts w:ascii="Times New Roman" w:hAnsi="Times New Roman"/>
                <w:highlight w:val="none"/>
              </w:rPr>
              <w:t> 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K</w:t>
            </w:r>
            <w:r>
              <w:rPr>
                <w:rFonts w:hint="eastAsia" w:ascii="Times New Roman" w:hAnsi="Times New Roman"/>
                <w:highlight w:val="none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to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473 K</w:t>
            </w:r>
          </w:p>
        </w:tc>
        <w:tc>
          <w:tcPr>
            <w:tcW w:w="890" w:type="pc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± 0.1 K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T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hermocouple</w:t>
            </w:r>
          </w:p>
        </w:tc>
        <w:tc>
          <w:tcPr>
            <w:tcW w:w="1537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Type-T</w:t>
            </w:r>
          </w:p>
        </w:tc>
        <w:tc>
          <w:tcPr>
            <w:tcW w:w="1133" w:type="pct"/>
          </w:tcPr>
          <w:p>
            <w:pPr>
              <w:rPr>
                <w:rFonts w:hint="eastAsia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73</w:t>
            </w:r>
            <w:r>
              <w:rPr>
                <w:rFonts w:ascii="Times New Roman" w:hAnsi="Times New Roman" w:cs="Times New Roman"/>
                <w:highlight w:val="none"/>
              </w:rPr>
              <w:t> 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K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to 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623</w:t>
            </w:r>
            <w:r>
              <w:rPr>
                <w:rFonts w:ascii="Times New Roman" w:hAnsi="Times New Roman" w:cs="Times New Roman"/>
                <w:highlight w:val="none"/>
              </w:rPr>
              <w:t> 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K</w:t>
            </w:r>
          </w:p>
        </w:tc>
        <w:tc>
          <w:tcPr>
            <w:tcW w:w="890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± 0.5 </w:t>
            </w:r>
            <w:r>
              <w:rPr>
                <w:rFonts w:ascii="Times New Roman" w:hAnsi="Times New Roman" w:eastAsia="黑体" w:cs="Times New Roman"/>
                <w:color w:val="auto"/>
                <w:highlight w:val="none"/>
              </w:rPr>
              <w:t>K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Pressure transducer</w:t>
            </w:r>
          </w:p>
        </w:tc>
        <w:tc>
          <w:tcPr>
            <w:tcW w:w="1537" w:type="pct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iffused-silicon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 xml:space="preserve">EL-P300   </w:t>
            </w:r>
          </w:p>
        </w:tc>
        <w:tc>
          <w:tcPr>
            <w:tcW w:w="1133" w:type="pct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/>
                <w:highlight w:val="none"/>
              </w:rPr>
              <w:t>0 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  <w:r>
              <w:rPr>
                <w:rFonts w:ascii="Times New Roman" w:hAnsi="Times New Roman"/>
                <w:highlight w:val="none"/>
              </w:rPr>
              <w:t xml:space="preserve"> to </w:t>
            </w:r>
            <w:r>
              <w:rPr>
                <w:rFonts w:hint="eastAsia" w:ascii="Times New Roman" w:hAnsi="Times New Roman"/>
                <w:highlight w:val="none"/>
              </w:rPr>
              <w:t>1</w:t>
            </w:r>
            <w:r>
              <w:rPr>
                <w:rFonts w:ascii="Times New Roman" w:hAnsi="Times New Roman"/>
                <w:highlight w:val="none"/>
              </w:rPr>
              <w:t> </w:t>
            </w:r>
            <w:r>
              <w:rPr>
                <w:rFonts w:hint="eastAsia" w:ascii="Times New Roman" w:hAnsi="Times New Roman"/>
                <w:highlight w:val="none"/>
              </w:rPr>
              <w:t>MPa</w:t>
            </w:r>
          </w:p>
        </w:tc>
        <w:tc>
          <w:tcPr>
            <w:tcW w:w="890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±0.2%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Air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current meter</w:t>
            </w:r>
          </w:p>
        </w:tc>
        <w:tc>
          <w:tcPr>
            <w:tcW w:w="1537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Thermistor-type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GM8903</w:t>
            </w:r>
          </w:p>
        </w:tc>
        <w:tc>
          <w:tcPr>
            <w:tcW w:w="1133" w:type="pct"/>
          </w:tcPr>
          <w:p>
            <w:pP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highlight w:val="none"/>
              </w:rPr>
              <w:t>0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.1 m</w:t>
            </w:r>
            <w:r>
              <w:rPr>
                <w:rFonts w:ascii="Times New Roman" w:hAnsi="Times New Roman"/>
                <w:highlight w:val="none"/>
              </w:rPr>
              <w:t xml:space="preserve"> to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30 m</w:t>
            </w:r>
          </w:p>
        </w:tc>
        <w:tc>
          <w:tcPr>
            <w:tcW w:w="890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±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.0%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Mass flow meter</w:t>
            </w:r>
          </w:p>
        </w:tc>
        <w:tc>
          <w:tcPr>
            <w:tcW w:w="1537" w:type="pct"/>
          </w:tcPr>
          <w:p>
            <w:pPr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Coriolis effect</w:t>
            </w:r>
          </w:p>
        </w:tc>
        <w:tc>
          <w:tcPr>
            <w:tcW w:w="1133" w:type="pct"/>
          </w:tcPr>
          <w:p>
            <w:pPr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highlight w:val="none"/>
              </w:rPr>
              <w:t>0 </w:t>
            </w:r>
            <w:r>
              <w:rPr>
                <w:rFonts w:hint="eastAsia" w:ascii="Times New Roman" w:hAnsi="Times New Roman"/>
                <w:highlight w:val="none"/>
              </w:rPr>
              <w:t>kgs</w:t>
            </w:r>
            <w:r>
              <w:rPr>
                <w:rFonts w:hint="eastAsia" w:ascii="Times New Roman" w:hAnsi="Times New Roman"/>
                <w:highlight w:val="none"/>
                <w:vertAlign w:val="superscript"/>
                <w:lang w:val="en-US" w:eastAsia="zh-CN"/>
              </w:rPr>
              <w:t>-1</w:t>
            </w:r>
            <w:r>
              <w:rPr>
                <w:rFonts w:hint="eastAsia" w:ascii="Times New Roman" w:hAnsi="Times New Roman"/>
                <w:highlight w:val="none"/>
              </w:rPr>
              <w:t xml:space="preserve"> </w:t>
            </w:r>
            <w:r>
              <w:rPr>
                <w:rFonts w:ascii="Times New Roman" w:hAnsi="Times New Roman"/>
                <w:highlight w:val="none"/>
              </w:rPr>
              <w:t xml:space="preserve">to </w:t>
            </w:r>
            <w:r>
              <w:rPr>
                <w:rFonts w:hint="eastAsia" w:ascii="Times New Roman" w:hAnsi="Times New Roman"/>
                <w:highlight w:val="none"/>
              </w:rPr>
              <w:t>0.2</w:t>
            </w:r>
            <w:r>
              <w:rPr>
                <w:rFonts w:ascii="Times New Roman" w:hAnsi="Times New Roman"/>
                <w:highlight w:val="none"/>
              </w:rPr>
              <w:t> </w:t>
            </w:r>
            <w:r>
              <w:rPr>
                <w:rFonts w:hint="eastAsia" w:ascii="Times New Roman" w:hAnsi="Times New Roman"/>
                <w:highlight w:val="none"/>
              </w:rPr>
              <w:t>kgs</w:t>
            </w:r>
            <w:r>
              <w:rPr>
                <w:rFonts w:hint="eastAsia" w:ascii="Times New Roman" w:hAnsi="Times New Roman"/>
                <w:highlight w:val="none"/>
                <w:vertAlign w:val="superscript"/>
                <w:lang w:val="en-US" w:eastAsia="zh-CN"/>
              </w:rPr>
              <w:t>-1</w:t>
            </w:r>
          </w:p>
        </w:tc>
        <w:tc>
          <w:tcPr>
            <w:tcW w:w="890" w:type="pct"/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± 0.15%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Ruler </w:t>
            </w:r>
          </w:p>
        </w:tc>
        <w:tc>
          <w:tcPr>
            <w:tcW w:w="1537" w:type="pct"/>
          </w:tcPr>
          <w:p>
            <w:pPr>
              <w:rPr>
                <w:rFonts w:hint="eastAsia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Tape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33" w:type="pct"/>
          </w:tcPr>
          <w:p>
            <w:pP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ascii="Times New Roman" w:hAnsi="Times New Roman"/>
                <w:highlight w:val="none"/>
              </w:rPr>
              <w:t>0 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m to 3 m</w:t>
            </w:r>
          </w:p>
        </w:tc>
        <w:tc>
          <w:tcPr>
            <w:tcW w:w="890" w:type="pct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±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0.001 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pct"/>
            <w:tcBorders>
              <w:bottom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power meter</w:t>
            </w:r>
          </w:p>
        </w:tc>
        <w:tc>
          <w:tcPr>
            <w:tcW w:w="1537" w:type="pct"/>
            <w:tcBorders>
              <w:bottom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szCs w:val="21"/>
                <w:highlight w:val="none"/>
              </w:rPr>
              <w:t>Z</w:t>
            </w:r>
            <w:r>
              <w:rPr>
                <w:rFonts w:hint="eastAsia" w:ascii="Times New Roman" w:hAnsi="Times New Roman"/>
                <w:szCs w:val="21"/>
                <w:highlight w:val="none"/>
              </w:rPr>
              <w:t>W3433B</w:t>
            </w:r>
          </w:p>
        </w:tc>
        <w:tc>
          <w:tcPr>
            <w:tcW w:w="1133" w:type="pct"/>
            <w:tcBorders>
              <w:bottom w:val="single" w:color="auto" w:sz="6" w:space="0"/>
            </w:tcBorders>
          </w:tcPr>
          <w:p>
            <w:pPr>
              <w:rPr>
                <w:rFonts w:hint="default" w:ascii="Times New Roman" w:hAnsi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highlight w:val="none"/>
              </w:rPr>
              <w:t xml:space="preserve"> to 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4000 W</w:t>
            </w:r>
          </w:p>
        </w:tc>
        <w:tc>
          <w:tcPr>
            <w:tcW w:w="890" w:type="pct"/>
            <w:tcBorders>
              <w:bottom w:val="single" w:color="auto" w:sz="6" w:space="0"/>
            </w:tcBorders>
          </w:tcPr>
          <w:p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/>
                <w:szCs w:val="21"/>
                <w:highlight w:val="none"/>
              </w:rPr>
              <w:t>±0.5%</w:t>
            </w:r>
          </w:p>
        </w:tc>
      </w:tr>
      <w:bookmarkEnd w:id="0"/>
      <w:bookmarkEnd w:id="1"/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pStyle w:val="10"/>
        <w:ind w:firstLine="0" w:firstLineChars="0"/>
        <w:jc w:val="center"/>
        <w:rPr>
          <w:rFonts w:hint="eastAsia" w:ascii="Times New Roman" w:hAnsi="Times New Roman"/>
          <w:sz w:val="21"/>
          <w:szCs w:val="21"/>
          <w:highlight w:val="none"/>
          <w:lang w:val="en-US" w:eastAsia="zh-CN"/>
        </w:rPr>
      </w:pPr>
      <w:r>
        <w:rPr>
          <w:rFonts w:ascii="Times New Roman" w:hAnsi="Times New Roman"/>
          <w:sz w:val="21"/>
          <w:szCs w:val="21"/>
          <w:highlight w:val="none"/>
        </w:rPr>
        <w:t xml:space="preserve">Table </w:t>
      </w:r>
      <w:r>
        <w:rPr>
          <w:rFonts w:hint="eastAsia" w:ascii="Times New Roman" w:hAnsi="Times New Roman"/>
          <w:sz w:val="21"/>
          <w:szCs w:val="21"/>
          <w:highlight w:val="none"/>
          <w:lang w:val="en-US" w:eastAsia="zh-CN"/>
        </w:rPr>
        <w:t>3 The operating condition</w:t>
      </w:r>
    </w:p>
    <w:tbl>
      <w:tblPr>
        <w:tblStyle w:val="3"/>
        <w:tblW w:w="54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5"/>
        <w:gridCol w:w="2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5" w:type="dxa"/>
            <w:tcBorders>
              <w:top w:val="single" w:color="auto" w:sz="6" w:space="0"/>
              <w:bottom w:val="single" w:color="000000" w:sz="6" w:space="0"/>
            </w:tcBorders>
            <w:shd w:val="clear" w:color="auto" w:fill="auto"/>
          </w:tcPr>
          <w:p>
            <w:pPr>
              <w:widowControl/>
              <w:ind w:right="360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color w:val="auto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iCs/>
                <w:color w:val="auto"/>
                <w:kern w:val="2"/>
                <w:position w:val="0"/>
                <w:sz w:val="21"/>
                <w:szCs w:val="21"/>
                <w:highlight w:val="none"/>
              </w:rPr>
              <w:t>Items</w:t>
            </w:r>
          </w:p>
        </w:tc>
        <w:tc>
          <w:tcPr>
            <w:tcW w:w="2059" w:type="dxa"/>
            <w:tcBorders>
              <w:top w:val="single" w:color="auto" w:sz="6" w:space="0"/>
              <w:bottom w:val="single" w:color="000000" w:sz="6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color w:val="auto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iCs/>
                <w:color w:val="auto"/>
                <w:kern w:val="2"/>
                <w:position w:val="0"/>
                <w:sz w:val="21"/>
                <w:szCs w:val="21"/>
                <w:highlight w:val="none"/>
              </w:rPr>
              <w:t>Range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5" w:type="dxa"/>
            <w:tcBorders>
              <w:top w:val="single" w:color="000000" w:sz="6" w:space="0"/>
            </w:tcBorders>
            <w:shd w:val="clear" w:color="auto" w:fill="auto"/>
          </w:tcPr>
          <w:p>
            <w:pPr>
              <w:widowControl/>
              <w:ind w:right="360"/>
              <w:jc w:val="center"/>
              <w:textAlignment w:val="bottom"/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Refrigerant</w:t>
            </w:r>
          </w:p>
        </w:tc>
        <w:tc>
          <w:tcPr>
            <w:tcW w:w="2059" w:type="dxa"/>
            <w:tcBorders>
              <w:top w:val="single" w:color="000000" w:sz="6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R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5" w:type="dxa"/>
            <w:shd w:val="clear" w:color="auto" w:fill="auto"/>
          </w:tcPr>
          <w:p>
            <w:pPr>
              <w:widowControl/>
              <w:ind w:right="360"/>
              <w:jc w:val="center"/>
              <w:textAlignment w:val="bottom"/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Evaporating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 xml:space="preserve"> temperature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K</w:t>
            </w: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280.15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5" w:type="dxa"/>
            <w:shd w:val="clear" w:color="auto" w:fill="auto"/>
          </w:tcPr>
          <w:p>
            <w:pPr>
              <w:widowControl/>
              <w:ind w:right="36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 xml:space="preserve">Heat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load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k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W</w:t>
            </w:r>
          </w:p>
        </w:tc>
        <w:tc>
          <w:tcPr>
            <w:tcW w:w="2059" w:type="dxa"/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0.45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5" w:type="dxa"/>
            <w:shd w:val="clear" w:color="auto" w:fill="auto"/>
          </w:tcPr>
          <w:p>
            <w:pPr>
              <w:widowControl/>
              <w:ind w:right="360"/>
              <w:jc w:val="center"/>
              <w:textAlignment w:val="bottom"/>
              <w:rPr>
                <w:rFonts w:hint="default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Inlet m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 xml:space="preserve">ass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fl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ux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kg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vertAlign w:val="superscript"/>
                <w:lang w:val="en-US" w:eastAsia="zh-CN"/>
              </w:rPr>
              <w:t>-2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vertAlign w:val="superscript"/>
                <w:lang w:val="en-US" w:eastAsia="zh-CN"/>
              </w:rPr>
              <w:t>-1</w:t>
            </w:r>
          </w:p>
        </w:tc>
        <w:tc>
          <w:tcPr>
            <w:tcW w:w="205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 xml:space="preserve">340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&amp;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5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widowControl/>
              <w:ind w:right="357"/>
              <w:jc w:val="center"/>
              <w:textAlignment w:val="bottom"/>
              <w:rPr>
                <w:rFonts w:hint="eastAsia" w:ascii="Times New Roman" w:hAnsi="Times New Roman" w:cs="Times New Roman" w:eastAsiaTheme="minorEastAsia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>apor</w:t>
            </w:r>
            <w:r>
              <w:rPr>
                <w:rFonts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</w:rPr>
              <w:t xml:space="preserve"> quality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 xml:space="preserve"> range</w:t>
            </w:r>
          </w:p>
        </w:tc>
        <w:tc>
          <w:tcPr>
            <w:tcW w:w="2059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position w:val="0"/>
                <w:sz w:val="21"/>
                <w:szCs w:val="21"/>
                <w:highlight w:val="none"/>
                <w:lang w:val="en-US" w:eastAsia="zh-CN"/>
              </w:rPr>
              <w:t>0.0 to 1.0</w:t>
            </w:r>
          </w:p>
        </w:tc>
      </w:tr>
    </w:tbl>
    <w:p>
      <w:pPr>
        <w:jc w:val="center"/>
        <w:rPr>
          <w:highlight w:val="none"/>
        </w:rPr>
      </w:pPr>
    </w:p>
    <w:p>
      <w:pPr>
        <w:jc w:val="center"/>
        <w:rPr>
          <w:highlight w:val="none"/>
        </w:rPr>
      </w:pPr>
      <w:bookmarkStart w:id="2" w:name="_GoBack"/>
      <w:bookmarkEnd w:id="2"/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jc w:val="both"/>
        <w:rPr>
          <w:highlight w:val="none"/>
        </w:rPr>
      </w:pPr>
    </w:p>
    <w:p>
      <w:pPr>
        <w:spacing w:line="480" w:lineRule="auto"/>
        <w:jc w:val="left"/>
        <w:textAlignment w:val="bottom"/>
        <w:rPr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27B3"/>
    <w:rsid w:val="03327CF8"/>
    <w:rsid w:val="035740B3"/>
    <w:rsid w:val="03E67F7C"/>
    <w:rsid w:val="0655051B"/>
    <w:rsid w:val="0694644C"/>
    <w:rsid w:val="08A44BB9"/>
    <w:rsid w:val="092B20F2"/>
    <w:rsid w:val="09F46283"/>
    <w:rsid w:val="0B87457E"/>
    <w:rsid w:val="0CA949FB"/>
    <w:rsid w:val="0CE21194"/>
    <w:rsid w:val="0F0E5E0A"/>
    <w:rsid w:val="10E92F51"/>
    <w:rsid w:val="11D2515E"/>
    <w:rsid w:val="11E66E93"/>
    <w:rsid w:val="1406501C"/>
    <w:rsid w:val="14DD6ABA"/>
    <w:rsid w:val="16432E1A"/>
    <w:rsid w:val="19866016"/>
    <w:rsid w:val="1A707D68"/>
    <w:rsid w:val="1D4E3D6C"/>
    <w:rsid w:val="1D977322"/>
    <w:rsid w:val="1DDF31CF"/>
    <w:rsid w:val="1DE514C2"/>
    <w:rsid w:val="1E2E57F0"/>
    <w:rsid w:val="1FF546E1"/>
    <w:rsid w:val="22455EDA"/>
    <w:rsid w:val="23A40E41"/>
    <w:rsid w:val="23F61799"/>
    <w:rsid w:val="241764C0"/>
    <w:rsid w:val="248A23BA"/>
    <w:rsid w:val="25A96670"/>
    <w:rsid w:val="29B9732C"/>
    <w:rsid w:val="2D794190"/>
    <w:rsid w:val="2F1635BF"/>
    <w:rsid w:val="2F834B71"/>
    <w:rsid w:val="32FC7206"/>
    <w:rsid w:val="35AE1391"/>
    <w:rsid w:val="35D24BF8"/>
    <w:rsid w:val="37746E8D"/>
    <w:rsid w:val="391F382B"/>
    <w:rsid w:val="3AC36CE1"/>
    <w:rsid w:val="3BB7052B"/>
    <w:rsid w:val="3CAC1777"/>
    <w:rsid w:val="3DE81CB3"/>
    <w:rsid w:val="3E2B76D3"/>
    <w:rsid w:val="41B10DB7"/>
    <w:rsid w:val="43CC5817"/>
    <w:rsid w:val="48D45BE5"/>
    <w:rsid w:val="4B784828"/>
    <w:rsid w:val="4C4708A5"/>
    <w:rsid w:val="4FFE546C"/>
    <w:rsid w:val="504F57D6"/>
    <w:rsid w:val="51877BAB"/>
    <w:rsid w:val="55DE36B4"/>
    <w:rsid w:val="58F01744"/>
    <w:rsid w:val="5CD66C7E"/>
    <w:rsid w:val="5D053B2B"/>
    <w:rsid w:val="5D2C7CFE"/>
    <w:rsid w:val="5FB17C19"/>
    <w:rsid w:val="60026469"/>
    <w:rsid w:val="628746B9"/>
    <w:rsid w:val="636931B6"/>
    <w:rsid w:val="673E7CE7"/>
    <w:rsid w:val="676221A9"/>
    <w:rsid w:val="6AF14E71"/>
    <w:rsid w:val="6B674B38"/>
    <w:rsid w:val="6E227842"/>
    <w:rsid w:val="6E6B55A9"/>
    <w:rsid w:val="707A3AC4"/>
    <w:rsid w:val="71B26501"/>
    <w:rsid w:val="73131B77"/>
    <w:rsid w:val="76C64F2B"/>
    <w:rsid w:val="76E4088B"/>
    <w:rsid w:val="774D27CE"/>
    <w:rsid w:val="77BB318D"/>
    <w:rsid w:val="78AB730E"/>
    <w:rsid w:val="7A580815"/>
    <w:rsid w:val="7B2878AD"/>
    <w:rsid w:val="7D7416AD"/>
    <w:rsid w:val="7EEC6B33"/>
    <w:rsid w:val="7FBF5769"/>
    <w:rsid w:val="7FDD7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5号-黑体"/>
    <w:basedOn w:val="1"/>
    <w:qFormat/>
    <w:uiPriority w:val="0"/>
    <w:rPr>
      <w:rFonts w:ascii="黑体" w:hAnsi="黑体" w:eastAsia="黑体"/>
      <w:szCs w:val="21"/>
    </w:rPr>
  </w:style>
  <w:style w:type="table" w:customStyle="1" w:styleId="7">
    <w:name w:val="网格型3"/>
    <w:basedOn w:val="3"/>
    <w:qFormat/>
    <w:uiPriority w:val="59"/>
    <w:rPr>
      <w:rFonts w:ascii="Times New Roman" w:hAnsi="Times New Roman" w:eastAsia="黑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5 号Time new Char"/>
    <w:basedOn w:val="4"/>
    <w:link w:val="9"/>
    <w:qFormat/>
    <w:uiPriority w:val="0"/>
    <w:rPr>
      <w:rFonts w:ascii="Times New Roman"/>
      <w:szCs w:val="21"/>
    </w:rPr>
  </w:style>
  <w:style w:type="paragraph" w:customStyle="1" w:styleId="9">
    <w:name w:val="5 号Time new"/>
    <w:basedOn w:val="1"/>
    <w:link w:val="8"/>
    <w:qFormat/>
    <w:uiPriority w:val="0"/>
    <w:pPr>
      <w:jc w:val="center"/>
    </w:pPr>
    <w:rPr>
      <w:rFonts w:ascii="Times New Roman"/>
      <w:szCs w:val="21"/>
    </w:rPr>
  </w:style>
  <w:style w:type="paragraph" w:customStyle="1" w:styleId="10">
    <w:name w:val="中-5-宋，西-5-Time NR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zhong</dc:creator>
  <cp:lastModifiedBy> 明哥仔</cp:lastModifiedBy>
  <dcterms:modified xsi:type="dcterms:W3CDTF">2020-11-13T03:02:02Z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