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7980" w:rsidRDefault="00717980" w:rsidP="00717980">
      <w:pPr>
        <w:rPr>
          <w:rFonts w:ascii="Arial" w:hAnsi="Arial" w:cs="Arial"/>
          <w:b/>
          <w:color w:val="000000" w:themeColor="text1"/>
          <w:sz w:val="22"/>
          <w:szCs w:val="22"/>
        </w:rPr>
      </w:pPr>
    </w:p>
    <w:p w:rsidR="00717980" w:rsidRDefault="00717980" w:rsidP="00717980">
      <w:pPr>
        <w:rPr>
          <w:rFonts w:ascii="Arial" w:hAnsi="Arial" w:cs="Arial"/>
          <w:b/>
          <w:color w:val="000000" w:themeColor="text1"/>
          <w:sz w:val="22"/>
          <w:szCs w:val="22"/>
        </w:rPr>
      </w:pPr>
    </w:p>
    <w:p w:rsidR="00717980" w:rsidRPr="006D3F02" w:rsidRDefault="00717980" w:rsidP="00717980">
      <w:pPr>
        <w:rPr>
          <w:rFonts w:ascii="Arial" w:hAnsi="Arial" w:cs="Arial"/>
          <w:b/>
          <w:color w:val="000000" w:themeColor="text1"/>
          <w:sz w:val="22"/>
          <w:szCs w:val="22"/>
        </w:rPr>
      </w:pPr>
      <w:r w:rsidRPr="006D3F02">
        <w:rPr>
          <w:rFonts w:ascii="Arial" w:hAnsi="Arial" w:cs="Arial"/>
          <w:b/>
          <w:color w:val="000000" w:themeColor="text1"/>
          <w:sz w:val="22"/>
          <w:szCs w:val="22"/>
        </w:rPr>
        <w:t>Supplementary Figures:</w:t>
      </w:r>
    </w:p>
    <w:p w:rsidR="00717980" w:rsidRDefault="00717980" w:rsidP="00717980">
      <w:pPr>
        <w:rPr>
          <w:rFonts w:ascii="Arial" w:hAnsi="Arial" w:cs="Arial"/>
          <w:b/>
          <w:color w:val="000000" w:themeColor="text1"/>
          <w:sz w:val="22"/>
          <w:szCs w:val="22"/>
        </w:rPr>
      </w:pPr>
    </w:p>
    <w:p w:rsidR="00717980" w:rsidRDefault="00717980" w:rsidP="00717980">
      <w:pPr>
        <w:rPr>
          <w:rFonts w:ascii="Arial" w:hAnsi="Arial" w:cs="Arial"/>
          <w:b/>
          <w:color w:val="000000" w:themeColor="text1"/>
          <w:sz w:val="22"/>
          <w:szCs w:val="22"/>
        </w:rPr>
      </w:pPr>
      <w:r w:rsidRPr="00512D18">
        <w:rPr>
          <w:rFonts w:ascii="Arial" w:hAnsi="Arial" w:cs="Arial"/>
          <w:b/>
          <w:noProof/>
          <w:color w:val="000000" w:themeColor="text1"/>
          <w:sz w:val="22"/>
          <w:szCs w:val="22"/>
        </w:rPr>
        <w:drawing>
          <wp:inline distT="0" distB="0" distL="0" distR="0" wp14:anchorId="01600556" wp14:editId="5BB9635F">
            <wp:extent cx="5257800" cy="4711700"/>
            <wp:effectExtent l="0" t="0" r="0" b="0"/>
            <wp:docPr id="83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471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7980" w:rsidRDefault="00717980" w:rsidP="00717980">
      <w:pPr>
        <w:rPr>
          <w:rFonts w:ascii="Arial" w:hAnsi="Arial" w:cs="Arial"/>
          <w:b/>
          <w:color w:val="000000" w:themeColor="text1"/>
          <w:sz w:val="22"/>
          <w:szCs w:val="22"/>
        </w:rPr>
      </w:pPr>
    </w:p>
    <w:p w:rsidR="00717980" w:rsidRPr="003236C4" w:rsidRDefault="00717980" w:rsidP="00717980">
      <w:pPr>
        <w:widowControl w:val="0"/>
        <w:spacing w:line="360" w:lineRule="auto"/>
        <w:contextualSpacing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3236C4">
        <w:rPr>
          <w:rFonts w:ascii="Arial" w:hAnsi="Arial" w:cs="Arial"/>
          <w:b/>
          <w:color w:val="000000" w:themeColor="text1"/>
          <w:sz w:val="22"/>
          <w:szCs w:val="22"/>
        </w:rPr>
        <w:t>Supplementary Figure 1.  RNA yield versus Lymphocyte count.</w:t>
      </w:r>
      <w:r w:rsidRPr="003236C4">
        <w:rPr>
          <w:rFonts w:ascii="Arial" w:hAnsi="Arial" w:cs="Arial"/>
          <w:color w:val="000000" w:themeColor="text1"/>
          <w:sz w:val="22"/>
          <w:szCs w:val="22"/>
        </w:rPr>
        <w:t xml:space="preserve">  The relationship between RNA yield (µg/tube blood sample), determined by OD 260/280, and lymphocyte count (K/ul), determined by automated complete blood count (CBC), is plotted for the 96 patients included in the RNAseq analysis.  A trendline (red) is plotted with the Pearson r correlation, the linear regression, and the R</w:t>
      </w:r>
      <w:r w:rsidRPr="003236C4">
        <w:rPr>
          <w:rFonts w:ascii="Arial" w:hAnsi="Arial" w:cs="Arial"/>
          <w:color w:val="000000" w:themeColor="text1"/>
          <w:sz w:val="22"/>
          <w:szCs w:val="22"/>
          <w:vertAlign w:val="superscript"/>
        </w:rPr>
        <w:t>2</w:t>
      </w:r>
      <w:r w:rsidRPr="003236C4">
        <w:rPr>
          <w:rFonts w:ascii="Arial" w:hAnsi="Arial" w:cs="Arial"/>
          <w:color w:val="000000" w:themeColor="text1"/>
          <w:sz w:val="22"/>
          <w:szCs w:val="22"/>
        </w:rPr>
        <w:t>.  The correlation is calculated with (0.55) and without (0.45) without the outlier patient in the upper right.</w:t>
      </w:r>
    </w:p>
    <w:p w:rsidR="00717980" w:rsidRDefault="00717980" w:rsidP="00717980">
      <w:pPr>
        <w:rPr>
          <w:rFonts w:ascii="Arial" w:hAnsi="Arial" w:cs="Arial"/>
          <w:b/>
          <w:color w:val="000000" w:themeColor="text1"/>
          <w:sz w:val="22"/>
          <w:szCs w:val="22"/>
        </w:rPr>
      </w:pPr>
      <w:r>
        <w:rPr>
          <w:rFonts w:ascii="Arial" w:hAnsi="Arial" w:cs="Arial"/>
          <w:b/>
          <w:color w:val="000000" w:themeColor="text1"/>
          <w:sz w:val="22"/>
          <w:szCs w:val="22"/>
        </w:rPr>
        <w:br w:type="page"/>
      </w:r>
    </w:p>
    <w:p w:rsidR="00717980" w:rsidRDefault="00717980" w:rsidP="00717980">
      <w:pPr>
        <w:rPr>
          <w:rFonts w:ascii="Arial" w:hAnsi="Arial" w:cs="Arial"/>
          <w:b/>
          <w:color w:val="000000" w:themeColor="text1"/>
          <w:sz w:val="22"/>
          <w:szCs w:val="22"/>
        </w:rPr>
      </w:pPr>
      <w:r w:rsidRPr="00CD51EA">
        <w:rPr>
          <w:rFonts w:ascii="Arial" w:hAnsi="Arial" w:cs="Arial"/>
          <w:b/>
          <w:noProof/>
          <w:color w:val="000000" w:themeColor="text1"/>
          <w:sz w:val="22"/>
          <w:szCs w:val="22"/>
        </w:rPr>
        <w:lastRenderedPageBreak/>
        <w:drawing>
          <wp:inline distT="0" distB="0" distL="0" distR="0" wp14:anchorId="72261704" wp14:editId="3A4DE226">
            <wp:extent cx="5943600" cy="2440305"/>
            <wp:effectExtent l="0" t="0" r="0" b="0"/>
            <wp:docPr id="1026" name="Picture 2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Graphical user interfa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440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7980" w:rsidRPr="003236C4" w:rsidRDefault="00717980" w:rsidP="00717980">
      <w:pPr>
        <w:widowControl w:val="0"/>
        <w:spacing w:line="360" w:lineRule="auto"/>
        <w:contextualSpacing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3236C4">
        <w:rPr>
          <w:rFonts w:ascii="Arial" w:hAnsi="Arial" w:cs="Arial"/>
          <w:b/>
          <w:color w:val="000000" w:themeColor="text1"/>
          <w:sz w:val="22"/>
          <w:szCs w:val="22"/>
        </w:rPr>
        <w:t>Supplementary Figure 2.  Covariate analysis of clinical parameters with the TRAC score of RNA expression in blood.</w:t>
      </w:r>
      <w:r w:rsidRPr="003236C4">
        <w:rPr>
          <w:rFonts w:ascii="Arial" w:hAnsi="Arial" w:cs="Arial"/>
          <w:color w:val="000000" w:themeColor="text1"/>
          <w:sz w:val="22"/>
          <w:szCs w:val="22"/>
        </w:rPr>
        <w:t xml:space="preserve">  Clinical parameters, as summarized in Table 1, were used to determine whether the TRAC score was sensitive to pre-existing clinical values that have been associated with CAD risk.  The relative contributions of current smoking, family history, hypertension (HTX), diabetes, symptoms (typical/atypical), gender (sex), and age were evaluated in the healthy patients, CAD patients, or combined.</w:t>
      </w:r>
    </w:p>
    <w:p w:rsidR="00717980" w:rsidRDefault="00717980" w:rsidP="00717980">
      <w:pPr>
        <w:rPr>
          <w:rFonts w:ascii="Arial" w:hAnsi="Arial" w:cs="Arial"/>
          <w:b/>
          <w:color w:val="000000" w:themeColor="text1"/>
          <w:sz w:val="22"/>
          <w:szCs w:val="22"/>
        </w:rPr>
      </w:pPr>
      <w:r>
        <w:rPr>
          <w:rFonts w:ascii="Arial" w:hAnsi="Arial" w:cs="Arial"/>
          <w:b/>
          <w:color w:val="000000" w:themeColor="text1"/>
          <w:sz w:val="22"/>
          <w:szCs w:val="22"/>
        </w:rPr>
        <w:br w:type="page"/>
      </w:r>
    </w:p>
    <w:p w:rsidR="00717980" w:rsidRPr="006D3F02" w:rsidRDefault="00717980" w:rsidP="00717980">
      <w:pPr>
        <w:widowControl w:val="0"/>
        <w:spacing w:line="360" w:lineRule="auto"/>
        <w:contextualSpacing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6D3F02">
        <w:rPr>
          <w:rFonts w:ascii="Arial" w:hAnsi="Arial" w:cs="Arial"/>
          <w:noProof/>
          <w:color w:val="000000" w:themeColor="text1"/>
          <w:sz w:val="22"/>
          <w:szCs w:val="22"/>
        </w:rPr>
        <w:lastRenderedPageBreak/>
        <w:drawing>
          <wp:inline distT="0" distB="0" distL="0" distR="0" wp14:anchorId="58E9A2A5" wp14:editId="161181CA">
            <wp:extent cx="5943600" cy="3974690"/>
            <wp:effectExtent l="0" t="0" r="0" b="0"/>
            <wp:docPr id="11" name="Picture 11" descr="CathDx%20Figures%20v14/Slide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athDx%20Figures%20v14/Slide1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912"/>
                    <a:stretch/>
                  </pic:blipFill>
                  <pic:spPr bwMode="auto">
                    <a:xfrm>
                      <a:off x="0" y="0"/>
                      <a:ext cx="5943600" cy="397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17980" w:rsidRPr="006D3F02" w:rsidRDefault="00717980" w:rsidP="00717980">
      <w:pPr>
        <w:widowControl w:val="0"/>
        <w:spacing w:line="360" w:lineRule="auto"/>
        <w:contextualSpacing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6D3F02">
        <w:rPr>
          <w:rFonts w:ascii="Arial" w:hAnsi="Arial" w:cs="Arial"/>
          <w:b/>
          <w:color w:val="000000" w:themeColor="text1"/>
          <w:sz w:val="22"/>
          <w:szCs w:val="22"/>
        </w:rPr>
        <w:t>Supplementary Figure 3. Monovariate analysis of the relationship between age and TRAC score.</w:t>
      </w:r>
      <w:r w:rsidRPr="006D3F02">
        <w:rPr>
          <w:rFonts w:ascii="Arial" w:hAnsi="Arial" w:cs="Arial"/>
          <w:color w:val="000000" w:themeColor="text1"/>
          <w:sz w:val="22"/>
          <w:szCs w:val="22"/>
        </w:rPr>
        <w:t xml:space="preserve">  Age was a weak covariate for the TRAC score and so the monovariate relationship between Age (Y axis) and TRAC score (X axis) is plotted with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a </w:t>
      </w:r>
      <w:r w:rsidRPr="006D3F02">
        <w:rPr>
          <w:rFonts w:ascii="Arial" w:hAnsi="Arial" w:cs="Arial"/>
          <w:color w:val="000000" w:themeColor="text1"/>
          <w:sz w:val="22"/>
          <w:szCs w:val="22"/>
        </w:rPr>
        <w:t>linear trendline and R</w:t>
      </w:r>
      <w:r w:rsidRPr="006D3F02">
        <w:rPr>
          <w:rFonts w:ascii="Arial" w:hAnsi="Arial" w:cs="Arial"/>
          <w:color w:val="000000" w:themeColor="text1"/>
          <w:sz w:val="22"/>
          <w:szCs w:val="22"/>
          <w:vertAlign w:val="superscript"/>
        </w:rPr>
        <w:t>2</w:t>
      </w:r>
      <w:r w:rsidRPr="006D3F02">
        <w:rPr>
          <w:rFonts w:ascii="Arial" w:hAnsi="Arial" w:cs="Arial"/>
          <w:color w:val="000000" w:themeColor="text1"/>
          <w:sz w:val="22"/>
          <w:szCs w:val="22"/>
        </w:rPr>
        <w:t xml:space="preserve"> in the 96 patients analysed by RNAseq.</w:t>
      </w:r>
    </w:p>
    <w:p w:rsidR="00717980" w:rsidRPr="006D3F02" w:rsidRDefault="00717980" w:rsidP="00717980">
      <w:pPr>
        <w:rPr>
          <w:rFonts w:ascii="Arial" w:hAnsi="Arial" w:cs="Arial"/>
          <w:color w:val="000000" w:themeColor="text1"/>
          <w:sz w:val="22"/>
          <w:szCs w:val="22"/>
        </w:rPr>
      </w:pPr>
      <w:r w:rsidRPr="006D3F02">
        <w:rPr>
          <w:rFonts w:ascii="Arial" w:hAnsi="Arial" w:cs="Arial"/>
          <w:color w:val="000000" w:themeColor="text1"/>
          <w:sz w:val="22"/>
          <w:szCs w:val="22"/>
        </w:rPr>
        <w:br w:type="page"/>
      </w:r>
    </w:p>
    <w:p w:rsidR="00717980" w:rsidRPr="006D3F02" w:rsidRDefault="00717980" w:rsidP="00717980">
      <w:pPr>
        <w:widowControl w:val="0"/>
        <w:spacing w:line="360" w:lineRule="auto"/>
        <w:contextualSpacing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6D3F02">
        <w:rPr>
          <w:rFonts w:ascii="Arial" w:hAnsi="Arial" w:cs="Arial"/>
          <w:noProof/>
          <w:color w:val="000000" w:themeColor="text1"/>
          <w:sz w:val="22"/>
          <w:szCs w:val="22"/>
        </w:rPr>
        <w:lastRenderedPageBreak/>
        <w:drawing>
          <wp:inline distT="0" distB="0" distL="0" distR="0" wp14:anchorId="38ACE0CD" wp14:editId="5B38D7B6">
            <wp:extent cx="5943185" cy="4225413"/>
            <wp:effectExtent l="0" t="0" r="635" b="0"/>
            <wp:docPr id="12" name="Picture 12" descr="CathDx%20Figures%20v14/Slide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athDx%20Figures%20v14/Slide1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828"/>
                    <a:stretch/>
                  </pic:blipFill>
                  <pic:spPr bwMode="auto">
                    <a:xfrm>
                      <a:off x="0" y="0"/>
                      <a:ext cx="5966180" cy="42417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17980" w:rsidRPr="006D3F02" w:rsidRDefault="00717980" w:rsidP="00717980">
      <w:pPr>
        <w:widowControl w:val="0"/>
        <w:spacing w:line="360" w:lineRule="auto"/>
        <w:contextualSpacing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6D3F02">
        <w:rPr>
          <w:rFonts w:ascii="Arial" w:hAnsi="Arial" w:cs="Arial"/>
          <w:b/>
          <w:color w:val="000000" w:themeColor="text1"/>
          <w:sz w:val="22"/>
          <w:szCs w:val="22"/>
        </w:rPr>
        <w:t>Supplementary Figure 4. RNA levels of markers related to endothelial progenitor cells and/or circulating progenitor cells (EPC/CPC).</w:t>
      </w:r>
      <w:r w:rsidRPr="006D3F02">
        <w:rPr>
          <w:rFonts w:ascii="Arial" w:hAnsi="Arial" w:cs="Arial"/>
          <w:color w:val="000000" w:themeColor="text1"/>
          <w:sz w:val="22"/>
          <w:szCs w:val="22"/>
        </w:rPr>
        <w:t xml:space="preserve">  The RNA expression levels (log</w:t>
      </w:r>
      <w:r w:rsidRPr="006D3F02">
        <w:rPr>
          <w:rFonts w:ascii="Arial" w:hAnsi="Arial" w:cs="Arial"/>
          <w:color w:val="000000" w:themeColor="text1"/>
          <w:sz w:val="22"/>
          <w:szCs w:val="22"/>
          <w:vertAlign w:val="subscript"/>
        </w:rPr>
        <w:t>2</w:t>
      </w:r>
      <w:r w:rsidRPr="006D3F02">
        <w:rPr>
          <w:rFonts w:ascii="Arial" w:hAnsi="Arial" w:cs="Arial"/>
          <w:color w:val="000000" w:themeColor="text1"/>
          <w:sz w:val="22"/>
          <w:szCs w:val="22"/>
        </w:rPr>
        <w:t xml:space="preserve"> RPKM) of 4 markers of EPC/CPC, CD34, KDR, Kit, and AC133 are shown with their UCSD IDs.  Expression levels are plotted (Y axis, mean with SEM bars) for patients in the LOW (n=48) versus MID+ (n=48) CAD groups.</w:t>
      </w:r>
    </w:p>
    <w:p w:rsidR="00717980" w:rsidRPr="006D3F02" w:rsidRDefault="00717980" w:rsidP="00717980">
      <w:pPr>
        <w:rPr>
          <w:rFonts w:ascii="Arial" w:hAnsi="Arial" w:cs="Arial"/>
          <w:color w:val="000000" w:themeColor="text1"/>
          <w:sz w:val="22"/>
          <w:szCs w:val="22"/>
        </w:rPr>
      </w:pPr>
      <w:r w:rsidRPr="006D3F02">
        <w:rPr>
          <w:rFonts w:ascii="Arial" w:hAnsi="Arial" w:cs="Arial"/>
          <w:color w:val="000000" w:themeColor="text1"/>
          <w:sz w:val="22"/>
          <w:szCs w:val="22"/>
        </w:rPr>
        <w:br w:type="page"/>
      </w:r>
    </w:p>
    <w:p w:rsidR="00717980" w:rsidRPr="006D3F02" w:rsidRDefault="00717980" w:rsidP="00717980">
      <w:pPr>
        <w:widowControl w:val="0"/>
        <w:spacing w:line="360" w:lineRule="auto"/>
        <w:contextualSpacing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6D3F02">
        <w:rPr>
          <w:rFonts w:ascii="Arial" w:hAnsi="Arial" w:cs="Arial"/>
          <w:noProof/>
          <w:color w:val="000000" w:themeColor="text1"/>
          <w:sz w:val="22"/>
          <w:szCs w:val="22"/>
        </w:rPr>
        <w:lastRenderedPageBreak/>
        <w:drawing>
          <wp:inline distT="0" distB="0" distL="0" distR="0" wp14:anchorId="2EB846A5" wp14:editId="6E7B0680">
            <wp:extent cx="5943600" cy="3849329"/>
            <wp:effectExtent l="0" t="0" r="0" b="12065"/>
            <wp:docPr id="13" name="Picture 13" descr="CathDx%20Figures%20v14/Slide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athDx%20Figures%20v14/Slide1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722"/>
                    <a:stretch/>
                  </pic:blipFill>
                  <pic:spPr bwMode="auto">
                    <a:xfrm>
                      <a:off x="0" y="0"/>
                      <a:ext cx="5943600" cy="3849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17980" w:rsidRPr="006D3F02" w:rsidRDefault="00717980" w:rsidP="00717980">
      <w:pPr>
        <w:widowControl w:val="0"/>
        <w:spacing w:line="360" w:lineRule="auto"/>
        <w:contextualSpacing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6D3F02">
        <w:rPr>
          <w:rFonts w:ascii="Arial" w:hAnsi="Arial" w:cs="Arial"/>
          <w:b/>
          <w:color w:val="000000" w:themeColor="text1"/>
          <w:sz w:val="22"/>
          <w:szCs w:val="22"/>
        </w:rPr>
        <w:t>Supplementary Figure 5. Transcripts levels for ICOS and ICOS-LG by level of CAD.</w:t>
      </w:r>
      <w:r w:rsidRPr="006D3F02">
        <w:rPr>
          <w:rFonts w:ascii="Arial" w:hAnsi="Arial" w:cs="Arial"/>
          <w:color w:val="000000" w:themeColor="text1"/>
          <w:sz w:val="22"/>
          <w:szCs w:val="22"/>
        </w:rPr>
        <w:t xml:space="preserve">  The expression levels (log</w:t>
      </w:r>
      <w:r w:rsidRPr="006D3F02">
        <w:rPr>
          <w:rFonts w:ascii="Arial" w:hAnsi="Arial" w:cs="Arial"/>
          <w:color w:val="000000" w:themeColor="text1"/>
          <w:sz w:val="22"/>
          <w:szCs w:val="22"/>
          <w:vertAlign w:val="subscript"/>
        </w:rPr>
        <w:t>2</w:t>
      </w:r>
      <w:r w:rsidRPr="006D3F02">
        <w:rPr>
          <w:rFonts w:ascii="Arial" w:hAnsi="Arial" w:cs="Arial"/>
          <w:color w:val="000000" w:themeColor="text1"/>
          <w:sz w:val="22"/>
          <w:szCs w:val="22"/>
        </w:rPr>
        <w:t xml:space="preserve"> RPKM) of ICOS (UCSC Id uc002vam.4) and ICOS-ligand (ICOS-LG, uc002zee.5) are plotted as a function of LOW, MID, and HIGH CAD levels as shown in Figure 6. The points are mean + s.e.m. for each group.</w:t>
      </w:r>
    </w:p>
    <w:p w:rsidR="00717980" w:rsidRPr="006D3F02" w:rsidRDefault="00717980" w:rsidP="00717980">
      <w:pPr>
        <w:rPr>
          <w:rFonts w:ascii="Arial" w:hAnsi="Arial" w:cs="Arial"/>
          <w:b/>
          <w:color w:val="000000" w:themeColor="text1"/>
          <w:sz w:val="22"/>
          <w:szCs w:val="22"/>
        </w:rPr>
      </w:pPr>
      <w:r w:rsidRPr="006D3F02">
        <w:rPr>
          <w:rFonts w:ascii="Arial" w:hAnsi="Arial" w:cs="Arial"/>
          <w:b/>
          <w:color w:val="000000" w:themeColor="text1"/>
          <w:sz w:val="22"/>
          <w:szCs w:val="22"/>
        </w:rPr>
        <w:br w:type="page"/>
      </w:r>
    </w:p>
    <w:p w:rsidR="00717980" w:rsidRDefault="00717980" w:rsidP="00717980">
      <w:pPr>
        <w:ind w:left="540" w:hanging="540"/>
        <w:rPr>
          <w:rFonts w:ascii="Arial" w:hAnsi="Arial" w:cs="Arial"/>
          <w:sz w:val="22"/>
          <w:szCs w:val="22"/>
        </w:rPr>
      </w:pPr>
      <w:r w:rsidRPr="00CD51EA">
        <w:rPr>
          <w:rFonts w:ascii="Arial" w:hAnsi="Arial" w:cs="Arial"/>
          <w:noProof/>
          <w:sz w:val="22"/>
          <w:szCs w:val="22"/>
        </w:rPr>
        <w:lastRenderedPageBreak/>
        <w:drawing>
          <wp:inline distT="0" distB="0" distL="0" distR="0" wp14:anchorId="00B53F2F" wp14:editId="4445AA18">
            <wp:extent cx="5257800" cy="4597400"/>
            <wp:effectExtent l="0" t="0" r="0" b="0"/>
            <wp:docPr id="85" name="Pictur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459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7980" w:rsidRPr="003236C4" w:rsidRDefault="00717980" w:rsidP="00717980">
      <w:pPr>
        <w:spacing w:line="36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3236C4">
        <w:rPr>
          <w:rFonts w:ascii="Arial" w:hAnsi="Arial" w:cs="Arial"/>
          <w:b/>
          <w:color w:val="000000" w:themeColor="text1"/>
          <w:sz w:val="22"/>
          <w:szCs w:val="22"/>
        </w:rPr>
        <w:t>Supplementary Figure 6. The effect of RNA collection/stabilizer solution on expression of TRAC and unrelated transcripts.</w:t>
      </w:r>
      <w:r w:rsidRPr="003236C4">
        <w:rPr>
          <w:rFonts w:ascii="Arial" w:hAnsi="Arial" w:cs="Arial"/>
          <w:color w:val="000000" w:themeColor="text1"/>
          <w:sz w:val="22"/>
          <w:szCs w:val="22"/>
        </w:rPr>
        <w:t xml:space="preserve">  Whole blood RNA was prepared by two different methods of collection and stabilization from the same donors (n=3).  RNA was prepared by PaxGene, which is principally based on a cationic detergent</w:t>
      </w:r>
      <w:r>
        <w:rPr>
          <w:rFonts w:ascii="Arial" w:hAnsi="Arial" w:cs="Arial"/>
          <w:color w:val="000000" w:themeColor="text1"/>
          <w:sz w:val="22"/>
          <w:szCs w:val="22"/>
        </w:rPr>
        <w:t>, cetylpyridinium chloride</w:t>
      </w:r>
      <w:r w:rsidRPr="003236C4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>(</w:t>
      </w:r>
      <w:r w:rsidRPr="003236C4">
        <w:rPr>
          <w:rFonts w:ascii="Arial" w:hAnsi="Arial" w:cs="Arial"/>
          <w:color w:val="000000" w:themeColor="text1"/>
          <w:sz w:val="22"/>
          <w:szCs w:val="22"/>
        </w:rPr>
        <w:t>CPC</w:t>
      </w:r>
      <w:r>
        <w:rPr>
          <w:rFonts w:ascii="Arial" w:hAnsi="Arial" w:cs="Arial"/>
          <w:color w:val="000000" w:themeColor="text1"/>
          <w:sz w:val="22"/>
          <w:szCs w:val="22"/>
        </w:rPr>
        <w:t>)</w:t>
      </w:r>
      <w:r w:rsidRPr="003236C4">
        <w:rPr>
          <w:rFonts w:ascii="Arial" w:hAnsi="Arial" w:cs="Arial"/>
          <w:color w:val="000000" w:themeColor="text1"/>
          <w:sz w:val="22"/>
          <w:szCs w:val="22"/>
        </w:rPr>
        <w:t>, or Tempus, which is based on the strong chaotrophic effects of guanidine salts.  Identical quantities of DNAse-treated RNA were reverse transcribed using SuperScript III and then quantitatively amplified using droplet-digital PCR (ddPCR, BioRad).  Levels shown are the ratio of transcript abundance in Tempus vs Paxgene, based on absolute quantities calculated from a Poisson distribution of ~15K droplets (</w:t>
      </w:r>
      <w:r w:rsidRPr="003236C4">
        <w:rPr>
          <w:rFonts w:ascii="Arial" w:hAnsi="Arial" w:cs="Arial"/>
          <w:color w:val="000000" w:themeColor="text1"/>
          <w:sz w:val="22"/>
          <w:szCs w:val="22"/>
          <w:u w:val="single"/>
        </w:rPr>
        <w:t>+</w:t>
      </w:r>
      <w:r w:rsidRPr="003236C4">
        <w:rPr>
          <w:rFonts w:ascii="Arial" w:hAnsi="Arial" w:cs="Arial"/>
          <w:color w:val="000000" w:themeColor="text1"/>
          <w:sz w:val="22"/>
          <w:szCs w:val="22"/>
        </w:rPr>
        <w:t>sem).</w:t>
      </w:r>
    </w:p>
    <w:p w:rsidR="00717980" w:rsidRPr="006D3F02" w:rsidRDefault="00717980" w:rsidP="00717980">
      <w:pPr>
        <w:spacing w:line="360" w:lineRule="auto"/>
        <w:ind w:left="540" w:hanging="540"/>
        <w:rPr>
          <w:rFonts w:ascii="Arial" w:hAnsi="Arial" w:cs="Arial"/>
          <w:sz w:val="22"/>
          <w:szCs w:val="22"/>
        </w:rPr>
      </w:pPr>
    </w:p>
    <w:p w:rsidR="00D56072" w:rsidRDefault="00D56072">
      <w:bookmarkStart w:id="0" w:name="_GoBack"/>
      <w:bookmarkEnd w:id="0"/>
    </w:p>
    <w:sectPr w:rsidR="00D56072" w:rsidSect="003E3079">
      <w:headerReference w:type="default" r:id="rId10"/>
      <w:footerReference w:type="default" r:id="rId11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_________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0E35" w:rsidRPr="00050AE9" w:rsidRDefault="00717980" w:rsidP="00050AE9">
    <w:pPr>
      <w:pStyle w:val="Footer"/>
      <w:tabs>
        <w:tab w:val="clear" w:pos="4320"/>
        <w:tab w:val="center" w:pos="5040"/>
      </w:tabs>
      <w:jc w:val="center"/>
      <w:rPr>
        <w:rFonts w:ascii="Arial" w:hAnsi="Arial" w:cs="Arial"/>
        <w:sz w:val="22"/>
        <w:szCs w:val="22"/>
      </w:rPr>
    </w:pPr>
    <w:r w:rsidRPr="00050AE9">
      <w:rPr>
        <w:rStyle w:val="PageNumber"/>
        <w:rFonts w:ascii="Arial" w:hAnsi="Arial" w:cs="Arial"/>
        <w:sz w:val="22"/>
        <w:szCs w:val="22"/>
      </w:rPr>
      <w:fldChar w:fldCharType="begin"/>
    </w:r>
    <w:r w:rsidRPr="00050AE9">
      <w:rPr>
        <w:rStyle w:val="PageNumber"/>
        <w:rFonts w:ascii="Arial" w:hAnsi="Arial" w:cs="Arial"/>
        <w:sz w:val="22"/>
        <w:szCs w:val="22"/>
      </w:rPr>
      <w:instrText xml:space="preserve"> PAGE </w:instrText>
    </w:r>
    <w:r w:rsidRPr="00050AE9">
      <w:rPr>
        <w:rStyle w:val="PageNumber"/>
        <w:rFonts w:ascii="Arial" w:hAnsi="Arial" w:cs="Arial"/>
        <w:sz w:val="22"/>
        <w:szCs w:val="22"/>
      </w:rPr>
      <w:fldChar w:fldCharType="separate"/>
    </w:r>
    <w:r>
      <w:rPr>
        <w:rStyle w:val="PageNumber"/>
        <w:rFonts w:ascii="Arial" w:hAnsi="Arial" w:cs="Arial"/>
        <w:noProof/>
        <w:sz w:val="22"/>
        <w:szCs w:val="22"/>
      </w:rPr>
      <w:t>6</w:t>
    </w:r>
    <w:r w:rsidRPr="00050AE9">
      <w:rPr>
        <w:rStyle w:val="PageNumber"/>
        <w:rFonts w:ascii="Arial" w:hAnsi="Arial" w:cs="Arial"/>
        <w:sz w:val="22"/>
        <w:szCs w:val="22"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0E35" w:rsidRDefault="00717980" w:rsidP="00582A0E">
    <w:pPr>
      <w:pStyle w:val="Header"/>
      <w:rPr>
        <w:sz w:val="20"/>
      </w:rPr>
    </w:pPr>
    <w:r>
      <w:rPr>
        <w:sz w:val="20"/>
      </w:rPr>
      <w:t>RNAseq profiling of CAD</w:t>
    </w:r>
    <w:r>
      <w:rPr>
        <w:sz w:val="20"/>
      </w:rPr>
      <w:tab/>
    </w:r>
    <w:r>
      <w:rPr>
        <w:sz w:val="20"/>
      </w:rPr>
      <w:tab/>
      <w:t>McCaffrey et al. 2021</w:t>
    </w:r>
    <w:r>
      <w:rPr>
        <w:sz w:val="20"/>
      </w:rPr>
      <w:tab/>
    </w:r>
    <w:r>
      <w:rPr>
        <w:sz w:val="20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7980"/>
    <w:rsid w:val="00717980"/>
    <w:rsid w:val="00D56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454855-3563-4A5A-8479-95B3BFF04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7980"/>
    <w:pPr>
      <w:spacing w:after="0" w:line="240" w:lineRule="auto"/>
    </w:pPr>
    <w:rPr>
      <w:rFonts w:ascii="Times" w:eastAsia="Times" w:hAnsi="Times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71798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717980"/>
    <w:rPr>
      <w:rFonts w:ascii="Times" w:eastAsia="Times" w:hAnsi="Times" w:cs="Times New Roman"/>
      <w:sz w:val="24"/>
      <w:szCs w:val="20"/>
    </w:rPr>
  </w:style>
  <w:style w:type="paragraph" w:styleId="Footer">
    <w:name w:val="footer"/>
    <w:basedOn w:val="Normal"/>
    <w:link w:val="FooterChar"/>
    <w:rsid w:val="0071798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717980"/>
    <w:rPr>
      <w:rFonts w:ascii="Times" w:eastAsia="Times" w:hAnsi="Times" w:cs="Times New Roman"/>
      <w:sz w:val="24"/>
      <w:szCs w:val="20"/>
    </w:rPr>
  </w:style>
  <w:style w:type="character" w:styleId="PageNumber">
    <w:name w:val="page number"/>
    <w:basedOn w:val="DefaultParagraphFont"/>
    <w:rsid w:val="007179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oter" Target="footer1.xml"/><Relationship Id="rId5" Type="http://schemas.openxmlformats.org/officeDocument/2006/relationships/image" Target="media/image2.png"/><Relationship Id="rId10" Type="http://schemas.openxmlformats.org/officeDocument/2006/relationships/header" Target="header1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418</Words>
  <Characters>2389</Characters>
  <Application>Microsoft Office Word</Application>
  <DocSecurity>0</DocSecurity>
  <Lines>19</Lines>
  <Paragraphs>5</Paragraphs>
  <ScaleCrop>false</ScaleCrop>
  <Company>Springer Nature IT</Company>
  <LinksUpToDate>false</LinksUpToDate>
  <CharactersWithSpaces>2802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2021-06-16T08:22:00Z</dcterms:created>
  <dcterms:modified xsi:type="dcterms:W3CDTF">2021-06-16T08:22:00Z</dcterms:modified>
</cp:coreProperties>
</file>