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8BAB6" w14:textId="2CE49845" w:rsidR="00A474A3" w:rsidRDefault="00A474A3" w:rsidP="00A474A3">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Additional file 1</w:t>
      </w:r>
    </w:p>
    <w:p w14:paraId="63EADBDD" w14:textId="3F1253B0" w:rsidR="00A474A3" w:rsidRPr="00A474A3" w:rsidRDefault="00A474A3" w:rsidP="00A474A3">
      <w:pPr>
        <w:spacing w:line="480" w:lineRule="auto"/>
        <w:rPr>
          <w:rFonts w:ascii="Times New Roman" w:hAnsi="Times New Roman" w:cs="Times New Roman"/>
          <w:b/>
          <w:bCs/>
          <w:sz w:val="24"/>
          <w:szCs w:val="24"/>
        </w:rPr>
      </w:pPr>
      <w:r w:rsidRPr="00A474A3">
        <w:rPr>
          <w:rFonts w:ascii="Times New Roman" w:hAnsi="Times New Roman" w:cs="Times New Roman"/>
          <w:b/>
          <w:bCs/>
          <w:sz w:val="24"/>
        </w:rPr>
        <w:t>Seminal plasma cfDNA fragmentomics landscape delineates male infertility subtypes</w:t>
      </w:r>
    </w:p>
    <w:p w14:paraId="57BE025C" w14:textId="696036ED" w:rsidR="00A474A3" w:rsidRPr="00A474A3" w:rsidRDefault="00A474A3" w:rsidP="00A474A3">
      <w:pPr>
        <w:spacing w:line="480" w:lineRule="auto"/>
        <w:rPr>
          <w:rFonts w:ascii="Times New Roman" w:hAnsi="Times New Roman" w:cs="Times New Roman" w:hint="eastAsia"/>
          <w:b/>
          <w:bCs/>
          <w:sz w:val="24"/>
          <w:szCs w:val="24"/>
        </w:rPr>
      </w:pPr>
      <w:r w:rsidRPr="00A474A3">
        <w:rPr>
          <w:rFonts w:ascii="Times New Roman" w:hAnsi="Times New Roman" w:cs="Times New Roman" w:hint="eastAsia"/>
          <w:b/>
          <w:bCs/>
          <w:sz w:val="24"/>
          <w:szCs w:val="24"/>
        </w:rPr>
        <w:t>M</w:t>
      </w:r>
      <w:r w:rsidRPr="00A474A3">
        <w:rPr>
          <w:rFonts w:ascii="Times New Roman" w:hAnsi="Times New Roman" w:cs="Times New Roman"/>
          <w:b/>
          <w:bCs/>
          <w:sz w:val="24"/>
          <w:szCs w:val="24"/>
        </w:rPr>
        <w:t>ethods</w:t>
      </w:r>
    </w:p>
    <w:p w14:paraId="084FDB52" w14:textId="481B3B48" w:rsidR="00A474A3" w:rsidRPr="00A474A3" w:rsidRDefault="00A474A3" w:rsidP="00A474A3">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 xml:space="preserve">Whole Genome Sequencing </w:t>
      </w:r>
    </w:p>
    <w:p w14:paraId="7A9D8E5C" w14:textId="77777777" w:rsidR="00A474A3" w:rsidRPr="00A474A3" w:rsidRDefault="00A474A3" w:rsidP="00A474A3">
      <w:pPr>
        <w:spacing w:line="480" w:lineRule="auto"/>
        <w:rPr>
          <w:rFonts w:ascii="Times New Roman" w:hAnsi="Times New Roman" w:cs="Times New Roman"/>
          <w:sz w:val="24"/>
          <w:szCs w:val="24"/>
        </w:rPr>
      </w:pPr>
      <w:r w:rsidRPr="00A474A3">
        <w:rPr>
          <w:rFonts w:ascii="Times New Roman" w:hAnsi="Times New Roman" w:cs="Times New Roman"/>
          <w:sz w:val="24"/>
          <w:szCs w:val="24"/>
        </w:rPr>
        <w:t xml:space="preserve">Whole Genome Sequencing (WGS) libraries were prepared using the Paired-End Sequencing Sample Preparation Kit (Illumina) with the following protocol. The fragmented DNA was subjected to end repair to convert the overhangs into blunt ends. This was achieved by treating the DNA with T4 DNA polymerase, </w:t>
      </w:r>
      <w:proofErr w:type="spellStart"/>
      <w:r w:rsidRPr="00A474A3">
        <w:rPr>
          <w:rFonts w:ascii="Times New Roman" w:hAnsi="Times New Roman" w:cs="Times New Roman"/>
          <w:sz w:val="24"/>
          <w:szCs w:val="24"/>
        </w:rPr>
        <w:t>Klenow</w:t>
      </w:r>
      <w:proofErr w:type="spellEnd"/>
      <w:r w:rsidRPr="00A474A3">
        <w:rPr>
          <w:rFonts w:ascii="Times New Roman" w:hAnsi="Times New Roman" w:cs="Times New Roman"/>
          <w:sz w:val="24"/>
          <w:szCs w:val="24"/>
        </w:rPr>
        <w:t xml:space="preserve"> fragment, and T4 polynucleotide kinase. Following end repair, an adenine (A) residue was added to the 3' ends of the DNA fragments using </w:t>
      </w:r>
      <w:proofErr w:type="spellStart"/>
      <w:r w:rsidRPr="00A474A3">
        <w:rPr>
          <w:rFonts w:ascii="Times New Roman" w:hAnsi="Times New Roman" w:cs="Times New Roman"/>
          <w:sz w:val="24"/>
          <w:szCs w:val="24"/>
        </w:rPr>
        <w:t>Klenow</w:t>
      </w:r>
      <w:proofErr w:type="spellEnd"/>
      <w:r w:rsidRPr="00A474A3">
        <w:rPr>
          <w:rFonts w:ascii="Times New Roman" w:hAnsi="Times New Roman" w:cs="Times New Roman"/>
          <w:sz w:val="24"/>
          <w:szCs w:val="24"/>
        </w:rPr>
        <w:t xml:space="preserve"> fragment (3' to 5' </w:t>
      </w:r>
      <w:proofErr w:type="spellStart"/>
      <w:r w:rsidRPr="00A474A3">
        <w:rPr>
          <w:rFonts w:ascii="Times New Roman" w:hAnsi="Times New Roman" w:cs="Times New Roman"/>
          <w:sz w:val="24"/>
          <w:szCs w:val="24"/>
        </w:rPr>
        <w:t>exo</w:t>
      </w:r>
      <w:proofErr w:type="spellEnd"/>
      <w:r w:rsidRPr="00A474A3">
        <w:rPr>
          <w:rFonts w:ascii="Times New Roman" w:hAnsi="Times New Roman" w:cs="Times New Roman"/>
          <w:sz w:val="24"/>
          <w:szCs w:val="24"/>
        </w:rPr>
        <w:t xml:space="preserve">-). This A-tailing step facilitated the ligation of sequencing adapters, which contain a thymine (T) overhang, to the DNA fragments. Ligation was performed using T4 DNA ligase (New England Biolabs), attaching the Illumina multiplexing adapters to the A-tailed DNA fragments. The adapter-ligated DNA was purified using </w:t>
      </w:r>
      <w:proofErr w:type="spellStart"/>
      <w:r w:rsidRPr="00A474A3">
        <w:rPr>
          <w:rFonts w:ascii="Times New Roman" w:hAnsi="Times New Roman" w:cs="Times New Roman"/>
          <w:sz w:val="24"/>
          <w:szCs w:val="24"/>
        </w:rPr>
        <w:t>AMPure</w:t>
      </w:r>
      <w:proofErr w:type="spellEnd"/>
      <w:r w:rsidRPr="00A474A3">
        <w:rPr>
          <w:rFonts w:ascii="Times New Roman" w:hAnsi="Times New Roman" w:cs="Times New Roman"/>
          <w:sz w:val="24"/>
          <w:szCs w:val="24"/>
        </w:rPr>
        <w:t xml:space="preserve"> XP beads (Beckman Coulter) to remove any </w:t>
      </w:r>
      <w:proofErr w:type="spellStart"/>
      <w:r w:rsidRPr="00A474A3">
        <w:rPr>
          <w:rFonts w:ascii="Times New Roman" w:hAnsi="Times New Roman" w:cs="Times New Roman"/>
          <w:sz w:val="24"/>
          <w:szCs w:val="24"/>
        </w:rPr>
        <w:t>unligated</w:t>
      </w:r>
      <w:proofErr w:type="spellEnd"/>
      <w:r w:rsidRPr="00A474A3">
        <w:rPr>
          <w:rFonts w:ascii="Times New Roman" w:hAnsi="Times New Roman" w:cs="Times New Roman"/>
          <w:sz w:val="24"/>
          <w:szCs w:val="24"/>
        </w:rPr>
        <w:t xml:space="preserve"> adapters and other contaminants. The purified DNA fragments were then amplified by PCR using Phusion High-Fidelity DNA Polymerase (</w:t>
      </w:r>
      <w:proofErr w:type="spellStart"/>
      <w:r w:rsidRPr="00A474A3">
        <w:rPr>
          <w:rFonts w:ascii="Times New Roman" w:hAnsi="Times New Roman" w:cs="Times New Roman"/>
          <w:sz w:val="24"/>
          <w:szCs w:val="24"/>
        </w:rPr>
        <w:t>Thermo</w:t>
      </w:r>
      <w:proofErr w:type="spellEnd"/>
      <w:r w:rsidRPr="00A474A3">
        <w:rPr>
          <w:rFonts w:ascii="Times New Roman" w:hAnsi="Times New Roman" w:cs="Times New Roman"/>
          <w:sz w:val="24"/>
          <w:szCs w:val="24"/>
        </w:rPr>
        <w:t xml:space="preserve"> Fisher Scientific) to ensure sufficient quantities of the library for sequencing. Typically, 8-12 cycles of PCR were performed, with primers complementary to the adapter sequences. The quality and quantity of the prepared libraries were assessed using an Agilent 2100 Bioanalyzer with a High Sensitivity DNA Kit (Agilent Technologies). Libraries showing a prominent peak at the desired size (approximately </w:t>
      </w:r>
      <w:r w:rsidRPr="00A474A3">
        <w:rPr>
          <w:rFonts w:ascii="Times New Roman" w:hAnsi="Times New Roman" w:cs="Times New Roman"/>
          <w:sz w:val="24"/>
          <w:szCs w:val="24"/>
        </w:rPr>
        <w:lastRenderedPageBreak/>
        <w:t xml:space="preserve">275 bp, including adapters) were deemed ready for sequencing. The amplified DNA libraries were then sequenced on an Illumina </w:t>
      </w:r>
      <w:proofErr w:type="spellStart"/>
      <w:r w:rsidRPr="00A474A3">
        <w:rPr>
          <w:rFonts w:ascii="Times New Roman" w:hAnsi="Times New Roman" w:cs="Times New Roman"/>
          <w:sz w:val="24"/>
          <w:szCs w:val="24"/>
        </w:rPr>
        <w:t>HiSeq</w:t>
      </w:r>
      <w:proofErr w:type="spellEnd"/>
      <w:r w:rsidRPr="00A474A3">
        <w:rPr>
          <w:rFonts w:ascii="Times New Roman" w:hAnsi="Times New Roman" w:cs="Times New Roman"/>
          <w:sz w:val="24"/>
          <w:szCs w:val="24"/>
        </w:rPr>
        <w:t xml:space="preserve"> 4000 system using a 150bp × 2 paired-end </w:t>
      </w:r>
      <w:proofErr w:type="gramStart"/>
      <w:r w:rsidRPr="00A474A3">
        <w:rPr>
          <w:rFonts w:ascii="Times New Roman" w:hAnsi="Times New Roman" w:cs="Times New Roman"/>
          <w:sz w:val="24"/>
          <w:szCs w:val="24"/>
        </w:rPr>
        <w:t>format</w:t>
      </w:r>
      <w:proofErr w:type="gramEnd"/>
      <w:r w:rsidRPr="00A474A3">
        <w:rPr>
          <w:rFonts w:ascii="Times New Roman" w:hAnsi="Times New Roman" w:cs="Times New Roman"/>
          <w:sz w:val="24"/>
          <w:szCs w:val="24"/>
        </w:rPr>
        <w:t>.</w:t>
      </w:r>
    </w:p>
    <w:p w14:paraId="096B5AC2" w14:textId="77777777" w:rsidR="00A474A3" w:rsidRPr="00A474A3" w:rsidRDefault="00A474A3" w:rsidP="00A474A3">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 xml:space="preserve">Jagged end sequencing with non-CpG cytosine methylation </w:t>
      </w:r>
    </w:p>
    <w:p w14:paraId="7685775A" w14:textId="61F43E0D" w:rsidR="00A474A3" w:rsidRPr="00A474A3" w:rsidRDefault="00A474A3" w:rsidP="00A474A3">
      <w:pPr>
        <w:spacing w:line="480" w:lineRule="auto"/>
        <w:rPr>
          <w:rFonts w:ascii="Times New Roman" w:hAnsi="Times New Roman" w:cs="Times New Roman"/>
          <w:sz w:val="24"/>
          <w:szCs w:val="24"/>
        </w:rPr>
      </w:pPr>
      <w:r w:rsidRPr="00A474A3">
        <w:rPr>
          <w:rFonts w:ascii="Times New Roman" w:hAnsi="Times New Roman" w:cs="Times New Roman"/>
          <w:sz w:val="24"/>
          <w:szCs w:val="24"/>
        </w:rPr>
        <w:t xml:space="preserve">Jagged end sequencing (Jag-seq) was based on </w:t>
      </w:r>
      <w:proofErr w:type="spellStart"/>
      <w:r w:rsidRPr="00A474A3">
        <w:rPr>
          <w:rFonts w:ascii="Times New Roman" w:hAnsi="Times New Roman" w:cs="Times New Roman"/>
          <w:sz w:val="24"/>
          <w:szCs w:val="24"/>
        </w:rPr>
        <w:t>Lo’s</w:t>
      </w:r>
      <w:proofErr w:type="spellEnd"/>
      <w:r w:rsidRPr="00A474A3">
        <w:rPr>
          <w:rFonts w:ascii="Times New Roman" w:hAnsi="Times New Roman" w:cs="Times New Roman"/>
          <w:sz w:val="24"/>
          <w:szCs w:val="24"/>
        </w:rPr>
        <w:t xml:space="preserve"> </w:t>
      </w:r>
      <w:proofErr w:type="gramStart"/>
      <w:r w:rsidRPr="00A474A3">
        <w:rPr>
          <w:rFonts w:ascii="Times New Roman" w:hAnsi="Times New Roman" w:cs="Times New Roman"/>
          <w:sz w:val="24"/>
          <w:szCs w:val="24"/>
        </w:rPr>
        <w:t>study</w:t>
      </w:r>
      <w:r>
        <w:rPr>
          <w:rFonts w:ascii="Times New Roman" w:hAnsi="Times New Roman" w:cs="Times New Roman"/>
          <w:sz w:val="24"/>
          <w:szCs w:val="24"/>
        </w:rPr>
        <w:t>[</w:t>
      </w:r>
      <w:proofErr w:type="gramEnd"/>
      <w:r w:rsidRPr="00A474A3">
        <w:rPr>
          <w:rFonts w:ascii="Times New Roman" w:hAnsi="Times New Roman" w:cs="Times New Roman"/>
          <w:sz w:val="24"/>
          <w:szCs w:val="24"/>
        </w:rPr>
        <w:t>1</w:t>
      </w:r>
      <w:r>
        <w:rPr>
          <w:rFonts w:ascii="Times New Roman" w:hAnsi="Times New Roman" w:cs="Times New Roman"/>
          <w:sz w:val="24"/>
          <w:szCs w:val="24"/>
        </w:rPr>
        <w:t>]</w:t>
      </w:r>
      <w:r w:rsidRPr="00A474A3">
        <w:rPr>
          <w:rFonts w:ascii="Times New Roman" w:hAnsi="Times New Roman" w:cs="Times New Roman"/>
          <w:sz w:val="24"/>
          <w:szCs w:val="24"/>
        </w:rPr>
        <w:t xml:space="preserve">. DNA libraries were constructed using a modified version of the Paired-End Sequencing Sample Preparation Kit (New England Biolabs). Following this, the </w:t>
      </w:r>
      <w:proofErr w:type="spellStart"/>
      <w:r w:rsidRPr="00A474A3">
        <w:rPr>
          <w:rFonts w:ascii="Times New Roman" w:hAnsi="Times New Roman" w:cs="Times New Roman"/>
          <w:sz w:val="24"/>
          <w:szCs w:val="24"/>
        </w:rPr>
        <w:t>Klenow</w:t>
      </w:r>
      <w:proofErr w:type="spellEnd"/>
      <w:r w:rsidRPr="00A474A3">
        <w:rPr>
          <w:rFonts w:ascii="Times New Roman" w:hAnsi="Times New Roman" w:cs="Times New Roman"/>
          <w:sz w:val="24"/>
          <w:szCs w:val="24"/>
        </w:rPr>
        <w:t xml:space="preserve"> Fragment (</w:t>
      </w:r>
      <w:proofErr w:type="spellStart"/>
      <w:r w:rsidRPr="00A474A3">
        <w:rPr>
          <w:rFonts w:ascii="Times New Roman" w:hAnsi="Times New Roman" w:cs="Times New Roman"/>
          <w:sz w:val="24"/>
          <w:szCs w:val="24"/>
        </w:rPr>
        <w:t>exo</w:t>
      </w:r>
      <w:proofErr w:type="spellEnd"/>
      <w:r w:rsidRPr="00A474A3">
        <w:rPr>
          <w:rFonts w:ascii="Times New Roman" w:hAnsi="Times New Roman" w:cs="Times New Roman"/>
          <w:sz w:val="24"/>
          <w:szCs w:val="24"/>
        </w:rPr>
        <w:t xml:space="preserve">-) along with </w:t>
      </w:r>
      <w:proofErr w:type="spellStart"/>
      <w:r w:rsidRPr="00A474A3">
        <w:rPr>
          <w:rFonts w:ascii="Times New Roman" w:hAnsi="Times New Roman" w:cs="Times New Roman"/>
          <w:sz w:val="24"/>
          <w:szCs w:val="24"/>
        </w:rPr>
        <w:t>dATP</w:t>
      </w:r>
      <w:proofErr w:type="spellEnd"/>
      <w:r w:rsidRPr="00A474A3">
        <w:rPr>
          <w:rFonts w:ascii="Times New Roman" w:hAnsi="Times New Roman" w:cs="Times New Roman"/>
          <w:sz w:val="24"/>
          <w:szCs w:val="24"/>
        </w:rPr>
        <w:t xml:space="preserve">, </w:t>
      </w:r>
      <w:proofErr w:type="spellStart"/>
      <w:r w:rsidRPr="00A474A3">
        <w:rPr>
          <w:rFonts w:ascii="Times New Roman" w:hAnsi="Times New Roman" w:cs="Times New Roman"/>
          <w:sz w:val="24"/>
          <w:szCs w:val="24"/>
        </w:rPr>
        <w:t>dGTP</w:t>
      </w:r>
      <w:proofErr w:type="spellEnd"/>
      <w:r w:rsidRPr="00A474A3">
        <w:rPr>
          <w:rFonts w:ascii="Times New Roman" w:hAnsi="Times New Roman" w:cs="Times New Roman"/>
          <w:sz w:val="24"/>
          <w:szCs w:val="24"/>
        </w:rPr>
        <w:t xml:space="preserve">, dTTP, and methylated </w:t>
      </w:r>
      <w:proofErr w:type="spellStart"/>
      <w:r w:rsidRPr="00A474A3">
        <w:rPr>
          <w:rFonts w:ascii="Times New Roman" w:hAnsi="Times New Roman" w:cs="Times New Roman"/>
          <w:sz w:val="24"/>
          <w:szCs w:val="24"/>
        </w:rPr>
        <w:t>dCTP</w:t>
      </w:r>
      <w:proofErr w:type="spellEnd"/>
      <w:r w:rsidRPr="00A474A3">
        <w:rPr>
          <w:rFonts w:ascii="Times New Roman" w:hAnsi="Times New Roman" w:cs="Times New Roman"/>
          <w:sz w:val="24"/>
          <w:szCs w:val="24"/>
        </w:rPr>
        <w:t xml:space="preserve"> (5mC) were used to fill in the 5' overhangs, resulting in blunt ends. During this step, the </w:t>
      </w:r>
      <w:proofErr w:type="spellStart"/>
      <w:r w:rsidRPr="00A474A3">
        <w:rPr>
          <w:rFonts w:ascii="Times New Roman" w:hAnsi="Times New Roman" w:cs="Times New Roman"/>
          <w:sz w:val="24"/>
          <w:szCs w:val="24"/>
        </w:rPr>
        <w:t>Klenow</w:t>
      </w:r>
      <w:proofErr w:type="spellEnd"/>
      <w:r w:rsidRPr="00A474A3">
        <w:rPr>
          <w:rFonts w:ascii="Times New Roman" w:hAnsi="Times New Roman" w:cs="Times New Roman"/>
          <w:sz w:val="24"/>
          <w:szCs w:val="24"/>
        </w:rPr>
        <w:t xml:space="preserve"> fragment of DNA polymerase I (Escherichia coli) facilitated A-tailing, whereby an untemplated adenine was added to the 3' blunt ends. Finally, T4 DNA ligase (New England Biolabs) was used to ligate methylated sequencing adapters to the plasma DNA following end repair.</w:t>
      </w:r>
    </w:p>
    <w:p w14:paraId="79409E58" w14:textId="77777777" w:rsidR="00A474A3" w:rsidRPr="00A474A3" w:rsidRDefault="00A474A3" w:rsidP="00A474A3">
      <w:pPr>
        <w:spacing w:line="480" w:lineRule="auto"/>
        <w:rPr>
          <w:rFonts w:ascii="Times New Roman" w:hAnsi="Times New Roman" w:cs="Times New Roman"/>
          <w:sz w:val="24"/>
          <w:szCs w:val="24"/>
        </w:rPr>
      </w:pPr>
      <w:r w:rsidRPr="00A474A3">
        <w:rPr>
          <w:rFonts w:ascii="Times New Roman" w:hAnsi="Times New Roman" w:cs="Times New Roman"/>
          <w:sz w:val="24"/>
          <w:szCs w:val="24"/>
        </w:rPr>
        <w:t xml:space="preserve">The adapter-ligated DNA underwent two rounds of bisulfite conversion using the </w:t>
      </w:r>
      <w:proofErr w:type="spellStart"/>
      <w:r w:rsidRPr="00A474A3">
        <w:rPr>
          <w:rFonts w:ascii="Times New Roman" w:hAnsi="Times New Roman" w:cs="Times New Roman"/>
          <w:sz w:val="24"/>
          <w:szCs w:val="24"/>
        </w:rPr>
        <w:t>EpiTect</w:t>
      </w:r>
      <w:proofErr w:type="spellEnd"/>
      <w:r w:rsidRPr="00A474A3">
        <w:rPr>
          <w:rFonts w:ascii="Times New Roman" w:hAnsi="Times New Roman" w:cs="Times New Roman"/>
          <w:sz w:val="24"/>
          <w:szCs w:val="24"/>
        </w:rPr>
        <w:t xml:space="preserve"> Plus DNA Bisulfite Kit (Qiagen) according to the manufacturer’s protocol. The bisulfite-converted DNA was then amplified through 8-11 cycles using KAPA HiFi </w:t>
      </w:r>
      <w:proofErr w:type="spellStart"/>
      <w:r w:rsidRPr="00A474A3">
        <w:rPr>
          <w:rFonts w:ascii="Times New Roman" w:hAnsi="Times New Roman" w:cs="Times New Roman"/>
          <w:sz w:val="24"/>
          <w:szCs w:val="24"/>
        </w:rPr>
        <w:t>HotStart</w:t>
      </w:r>
      <w:proofErr w:type="spellEnd"/>
      <w:r w:rsidRPr="00A474A3">
        <w:rPr>
          <w:rFonts w:ascii="Times New Roman" w:hAnsi="Times New Roman" w:cs="Times New Roman"/>
          <w:sz w:val="24"/>
          <w:szCs w:val="24"/>
        </w:rPr>
        <w:t xml:space="preserve"> Uracil + </w:t>
      </w:r>
      <w:proofErr w:type="spellStart"/>
      <w:r w:rsidRPr="00A474A3">
        <w:rPr>
          <w:rFonts w:ascii="Times New Roman" w:hAnsi="Times New Roman" w:cs="Times New Roman"/>
          <w:sz w:val="24"/>
          <w:szCs w:val="24"/>
        </w:rPr>
        <w:t>ReadyMix</w:t>
      </w:r>
      <w:proofErr w:type="spellEnd"/>
      <w:r w:rsidRPr="00A474A3">
        <w:rPr>
          <w:rFonts w:ascii="Times New Roman" w:hAnsi="Times New Roman" w:cs="Times New Roman"/>
          <w:sz w:val="24"/>
          <w:szCs w:val="24"/>
        </w:rPr>
        <w:t xml:space="preserve"> (Roche). The quality of each DNA library was evaluated using an Agilent 4200 </w:t>
      </w:r>
      <w:proofErr w:type="spellStart"/>
      <w:r w:rsidRPr="00A474A3">
        <w:rPr>
          <w:rFonts w:ascii="Times New Roman" w:hAnsi="Times New Roman" w:cs="Times New Roman"/>
          <w:sz w:val="24"/>
          <w:szCs w:val="24"/>
        </w:rPr>
        <w:t>TapeStation</w:t>
      </w:r>
      <w:proofErr w:type="spellEnd"/>
      <w:r w:rsidRPr="00A474A3">
        <w:rPr>
          <w:rFonts w:ascii="Times New Roman" w:hAnsi="Times New Roman" w:cs="Times New Roman"/>
          <w:sz w:val="24"/>
          <w:szCs w:val="24"/>
        </w:rPr>
        <w:t xml:space="preserve">. Libraries were assessed for DNA size and quantity on a D1000 </w:t>
      </w:r>
      <w:proofErr w:type="spellStart"/>
      <w:r w:rsidRPr="00A474A3">
        <w:rPr>
          <w:rFonts w:ascii="Times New Roman" w:hAnsi="Times New Roman" w:cs="Times New Roman"/>
          <w:sz w:val="24"/>
          <w:szCs w:val="24"/>
        </w:rPr>
        <w:t>ScreenTape</w:t>
      </w:r>
      <w:proofErr w:type="spellEnd"/>
      <w:r w:rsidRPr="00A474A3">
        <w:rPr>
          <w:rFonts w:ascii="Times New Roman" w:hAnsi="Times New Roman" w:cs="Times New Roman"/>
          <w:sz w:val="24"/>
          <w:szCs w:val="24"/>
        </w:rPr>
        <w:t xml:space="preserve"> (Agilent) before sequencing. A peak around 275 bp indicated that the libraries were ready for sequencing. The amplified DNA libraries were then sequenced on an Illumina </w:t>
      </w:r>
      <w:proofErr w:type="spellStart"/>
      <w:r w:rsidRPr="00A474A3">
        <w:rPr>
          <w:rFonts w:ascii="Times New Roman" w:hAnsi="Times New Roman" w:cs="Times New Roman"/>
          <w:sz w:val="24"/>
          <w:szCs w:val="24"/>
        </w:rPr>
        <w:t>HiSeq</w:t>
      </w:r>
      <w:proofErr w:type="spellEnd"/>
      <w:r w:rsidRPr="00A474A3">
        <w:rPr>
          <w:rFonts w:ascii="Times New Roman" w:hAnsi="Times New Roman" w:cs="Times New Roman"/>
          <w:sz w:val="24"/>
          <w:szCs w:val="24"/>
        </w:rPr>
        <w:t xml:space="preserve"> 4000 system using a 150bp × 2 paired-end </w:t>
      </w:r>
      <w:proofErr w:type="gramStart"/>
      <w:r w:rsidRPr="00A474A3">
        <w:rPr>
          <w:rFonts w:ascii="Times New Roman" w:hAnsi="Times New Roman" w:cs="Times New Roman"/>
          <w:sz w:val="24"/>
          <w:szCs w:val="24"/>
        </w:rPr>
        <w:t>format</w:t>
      </w:r>
      <w:proofErr w:type="gramEnd"/>
      <w:r w:rsidRPr="00A474A3">
        <w:rPr>
          <w:rFonts w:ascii="Times New Roman" w:hAnsi="Times New Roman" w:cs="Times New Roman"/>
          <w:sz w:val="24"/>
          <w:szCs w:val="24"/>
        </w:rPr>
        <w:t>.</w:t>
      </w:r>
    </w:p>
    <w:p w14:paraId="3F07907A" w14:textId="77777777" w:rsidR="00A474A3" w:rsidRPr="00A474A3" w:rsidRDefault="00A474A3" w:rsidP="00A474A3">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Sequencing alignment</w:t>
      </w:r>
    </w:p>
    <w:p w14:paraId="488824F1" w14:textId="6BFE3981" w:rsidR="00A474A3" w:rsidRDefault="00A474A3" w:rsidP="00A474A3">
      <w:pPr>
        <w:spacing w:line="480" w:lineRule="auto"/>
        <w:rPr>
          <w:rFonts w:ascii="Times New Roman" w:hAnsi="Times New Roman" w:cs="Times New Roman"/>
          <w:sz w:val="24"/>
          <w:szCs w:val="24"/>
        </w:rPr>
      </w:pPr>
      <w:r w:rsidRPr="00A474A3">
        <w:rPr>
          <w:rFonts w:ascii="Times New Roman" w:hAnsi="Times New Roman" w:cs="Times New Roman"/>
          <w:sz w:val="24"/>
          <w:szCs w:val="24"/>
        </w:rPr>
        <w:t xml:space="preserve">Following base-calling, the sequencing reads underwent preprocessing to remove </w:t>
      </w:r>
      <w:r w:rsidRPr="00A474A3">
        <w:rPr>
          <w:rFonts w:ascii="Times New Roman" w:hAnsi="Times New Roman" w:cs="Times New Roman"/>
          <w:sz w:val="24"/>
          <w:szCs w:val="24"/>
        </w:rPr>
        <w:lastRenderedPageBreak/>
        <w:t xml:space="preserve">adapter sequences and low-quality bases (quality score below 20). The resulting trimmed reads in FASTQ format were then aligned to the human (hg19) reference genome using BSMAP with the "unique pair" output option and default parameter </w:t>
      </w:r>
      <w:proofErr w:type="gramStart"/>
      <w:r w:rsidRPr="00A474A3">
        <w:rPr>
          <w:rFonts w:ascii="Times New Roman" w:hAnsi="Times New Roman" w:cs="Times New Roman"/>
          <w:sz w:val="24"/>
          <w:szCs w:val="24"/>
        </w:rPr>
        <w:t>settings</w:t>
      </w:r>
      <w:r>
        <w:rPr>
          <w:rFonts w:ascii="Times New Roman" w:hAnsi="Times New Roman" w:cs="Times New Roman"/>
          <w:sz w:val="24"/>
          <w:szCs w:val="24"/>
        </w:rPr>
        <w:t>[</w:t>
      </w:r>
      <w:proofErr w:type="gramEnd"/>
      <w:r w:rsidRPr="00A474A3">
        <w:rPr>
          <w:rFonts w:ascii="Times New Roman" w:hAnsi="Times New Roman" w:cs="Times New Roman"/>
          <w:sz w:val="24"/>
          <w:szCs w:val="24"/>
        </w:rPr>
        <w:t>2</w:t>
      </w:r>
      <w:r>
        <w:rPr>
          <w:rFonts w:ascii="Times New Roman" w:hAnsi="Times New Roman" w:cs="Times New Roman"/>
          <w:sz w:val="24"/>
          <w:szCs w:val="24"/>
        </w:rPr>
        <w:t>]</w:t>
      </w:r>
      <w:r w:rsidRPr="00A474A3">
        <w:rPr>
          <w:rFonts w:ascii="Times New Roman" w:hAnsi="Times New Roman" w:cs="Times New Roman"/>
          <w:sz w:val="24"/>
          <w:szCs w:val="24"/>
        </w:rPr>
        <w:t>. For downstream analysis, only paired-end reads where both ends uniquely aligned to the same chromosome in the correct orientation, and with an insert size of ≤ 1000 bp, were considered.</w:t>
      </w:r>
    </w:p>
    <w:p w14:paraId="66448F69" w14:textId="5A6A9C8B" w:rsidR="00A474A3" w:rsidRPr="00A474A3" w:rsidRDefault="00A474A3" w:rsidP="00A474A3">
      <w:pPr>
        <w:spacing w:line="480" w:lineRule="auto"/>
        <w:rPr>
          <w:rFonts w:ascii="Times New Roman" w:hAnsi="Times New Roman" w:cs="Times New Roman" w:hint="eastAsia"/>
          <w:b/>
          <w:bCs/>
          <w:sz w:val="24"/>
          <w:szCs w:val="24"/>
        </w:rPr>
      </w:pPr>
      <w:r w:rsidRPr="00A474A3">
        <w:rPr>
          <w:rFonts w:ascii="Times New Roman" w:hAnsi="Times New Roman" w:cs="Times New Roman" w:hint="eastAsia"/>
          <w:b/>
          <w:bCs/>
          <w:sz w:val="24"/>
          <w:szCs w:val="24"/>
        </w:rPr>
        <w:t>R</w:t>
      </w:r>
      <w:r w:rsidRPr="00A474A3">
        <w:rPr>
          <w:rFonts w:ascii="Times New Roman" w:hAnsi="Times New Roman" w:cs="Times New Roman"/>
          <w:b/>
          <w:bCs/>
          <w:sz w:val="24"/>
          <w:szCs w:val="24"/>
        </w:rPr>
        <w:t>eferences</w:t>
      </w:r>
    </w:p>
    <w:p w14:paraId="29FDFCC8" w14:textId="77777777" w:rsidR="00A474A3" w:rsidRPr="00A474A3" w:rsidRDefault="00A474A3" w:rsidP="00A474A3">
      <w:pPr>
        <w:spacing w:line="480" w:lineRule="auto"/>
        <w:rPr>
          <w:rFonts w:ascii="Times New Roman" w:hAnsi="Times New Roman" w:cs="Times New Roman"/>
          <w:sz w:val="24"/>
          <w:szCs w:val="24"/>
        </w:rPr>
      </w:pPr>
      <w:r w:rsidRPr="00A474A3">
        <w:rPr>
          <w:rFonts w:ascii="Times New Roman" w:hAnsi="Times New Roman" w:cs="Times New Roman"/>
          <w:sz w:val="24"/>
          <w:szCs w:val="24"/>
        </w:rPr>
        <w:t>1.</w:t>
      </w:r>
      <w:r w:rsidRPr="00A474A3">
        <w:rPr>
          <w:rFonts w:ascii="Times New Roman" w:hAnsi="Times New Roman" w:cs="Times New Roman"/>
          <w:sz w:val="24"/>
          <w:szCs w:val="24"/>
        </w:rPr>
        <w:tab/>
        <w:t xml:space="preserve">Ding SC, Chan RWY, Peng W, Huang L, Zhou Z, Hu X, et al. Jagged Ends on </w:t>
      </w:r>
      <w:proofErr w:type="spellStart"/>
      <w:r w:rsidRPr="00A474A3">
        <w:rPr>
          <w:rFonts w:ascii="Times New Roman" w:hAnsi="Times New Roman" w:cs="Times New Roman"/>
          <w:sz w:val="24"/>
          <w:szCs w:val="24"/>
        </w:rPr>
        <w:t>Multinucleosomal</w:t>
      </w:r>
      <w:proofErr w:type="spellEnd"/>
      <w:r w:rsidRPr="00A474A3">
        <w:rPr>
          <w:rFonts w:ascii="Times New Roman" w:hAnsi="Times New Roman" w:cs="Times New Roman"/>
          <w:sz w:val="24"/>
          <w:szCs w:val="24"/>
        </w:rPr>
        <w:t xml:space="preserve"> Cell-Free DNA Serve as a Biomarker for Nuclease Activity and Systemic Lupus Erythematosus. Clinical chemistry. 2022;68(7):917-26.</w:t>
      </w:r>
    </w:p>
    <w:p w14:paraId="376352AD" w14:textId="7D244E31" w:rsidR="00A474A3" w:rsidRDefault="00A474A3" w:rsidP="00A474A3">
      <w:pPr>
        <w:spacing w:line="480" w:lineRule="auto"/>
        <w:rPr>
          <w:rFonts w:ascii="Times New Roman" w:hAnsi="Times New Roman" w:cs="Times New Roman" w:hint="eastAsia"/>
          <w:sz w:val="24"/>
          <w:szCs w:val="24"/>
        </w:rPr>
      </w:pPr>
      <w:r w:rsidRPr="00A474A3">
        <w:rPr>
          <w:rFonts w:ascii="Times New Roman" w:hAnsi="Times New Roman" w:cs="Times New Roman"/>
          <w:sz w:val="24"/>
          <w:szCs w:val="24"/>
        </w:rPr>
        <w:t>2.</w:t>
      </w:r>
      <w:r w:rsidRPr="00A474A3">
        <w:rPr>
          <w:rFonts w:ascii="Times New Roman" w:hAnsi="Times New Roman" w:cs="Times New Roman"/>
          <w:sz w:val="24"/>
          <w:szCs w:val="24"/>
        </w:rPr>
        <w:tab/>
        <w:t xml:space="preserve">Xi Y, Li W. BSMAP: whole genome bisulfite sequence </w:t>
      </w:r>
      <w:proofErr w:type="spellStart"/>
      <w:r w:rsidRPr="00A474A3">
        <w:rPr>
          <w:rFonts w:ascii="Times New Roman" w:hAnsi="Times New Roman" w:cs="Times New Roman"/>
          <w:sz w:val="24"/>
          <w:szCs w:val="24"/>
        </w:rPr>
        <w:t>MAPping</w:t>
      </w:r>
      <w:proofErr w:type="spellEnd"/>
      <w:r w:rsidRPr="00A474A3">
        <w:rPr>
          <w:rFonts w:ascii="Times New Roman" w:hAnsi="Times New Roman" w:cs="Times New Roman"/>
          <w:sz w:val="24"/>
          <w:szCs w:val="24"/>
        </w:rPr>
        <w:t xml:space="preserve"> program. BMC bioinformatics. </w:t>
      </w:r>
      <w:proofErr w:type="gramStart"/>
      <w:r w:rsidRPr="00A474A3">
        <w:rPr>
          <w:rFonts w:ascii="Times New Roman" w:hAnsi="Times New Roman" w:cs="Times New Roman"/>
          <w:sz w:val="24"/>
          <w:szCs w:val="24"/>
        </w:rPr>
        <w:t>2009;10:232</w:t>
      </w:r>
      <w:proofErr w:type="gramEnd"/>
      <w:r w:rsidRPr="00A474A3">
        <w:rPr>
          <w:rFonts w:ascii="Times New Roman" w:hAnsi="Times New Roman" w:cs="Times New Roman"/>
          <w:sz w:val="24"/>
          <w:szCs w:val="24"/>
        </w:rPr>
        <w:t>.</w:t>
      </w:r>
    </w:p>
    <w:p w14:paraId="5AC7759C" w14:textId="6D4C9F52" w:rsidR="004C5F5B" w:rsidRPr="00A474A3" w:rsidRDefault="00A474A3" w:rsidP="00A474A3">
      <w:pPr>
        <w:widowControl/>
        <w:jc w:val="left"/>
        <w:rPr>
          <w:rFonts w:ascii="Times New Roman" w:hAnsi="Times New Roman" w:cs="Times New Roman"/>
          <w:sz w:val="24"/>
          <w:szCs w:val="24"/>
        </w:rPr>
      </w:pPr>
      <w:r>
        <w:rPr>
          <w:rFonts w:ascii="Times New Roman" w:hAnsi="Times New Roman" w:cs="Times New Roman"/>
          <w:sz w:val="24"/>
          <w:szCs w:val="24"/>
        </w:rPr>
        <w:br w:type="page"/>
      </w:r>
      <w:r w:rsidR="004C5F5B" w:rsidRPr="00A474A3">
        <w:rPr>
          <w:rFonts w:ascii="Times New Roman" w:hAnsi="Times New Roman" w:cs="Times New Roman"/>
          <w:noProof/>
          <w:sz w:val="24"/>
          <w:szCs w:val="24"/>
        </w:rPr>
        <w:lastRenderedPageBreak/>
        <w:drawing>
          <wp:inline distT="0" distB="0" distL="0" distR="0" wp14:anchorId="5A357035" wp14:editId="177A653E">
            <wp:extent cx="5199814" cy="7354613"/>
            <wp:effectExtent l="0" t="0" r="0" b="0"/>
            <wp:docPr id="1449543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43465" name="图片 14495434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4251" cy="7360889"/>
                    </a:xfrm>
                    <a:prstGeom prst="rect">
                      <a:avLst/>
                    </a:prstGeom>
                  </pic:spPr>
                </pic:pic>
              </a:graphicData>
            </a:graphic>
          </wp:inline>
        </w:drawing>
      </w:r>
      <w:r w:rsidR="004C5F5B" w:rsidRPr="00A474A3">
        <w:rPr>
          <w:rFonts w:ascii="Times New Roman" w:hAnsi="Times New Roman" w:cs="Times New Roman"/>
          <w:noProof/>
          <w:sz w:val="24"/>
          <w:szCs w:val="24"/>
        </w:rPr>
        <w:lastRenderedPageBreak/>
        <w:drawing>
          <wp:inline distT="0" distB="0" distL="0" distR="0" wp14:anchorId="400373F3" wp14:editId="14F50981">
            <wp:extent cx="5171949" cy="7315200"/>
            <wp:effectExtent l="0" t="0" r="0" b="0"/>
            <wp:docPr id="1782696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9630" name="图片 1782696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5950" cy="7320860"/>
                    </a:xfrm>
                    <a:prstGeom prst="rect">
                      <a:avLst/>
                    </a:prstGeom>
                  </pic:spPr>
                </pic:pic>
              </a:graphicData>
            </a:graphic>
          </wp:inline>
        </w:drawing>
      </w:r>
    </w:p>
    <w:p w14:paraId="17921619" w14:textId="798446AF" w:rsidR="00CC0F5E" w:rsidRPr="00A474A3" w:rsidRDefault="00CC0F5E" w:rsidP="009E6225">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 xml:space="preserve">Figure </w:t>
      </w:r>
      <w:r w:rsidR="007F45FD" w:rsidRPr="00A474A3">
        <w:rPr>
          <w:rFonts w:ascii="Times New Roman" w:hAnsi="Times New Roman" w:cs="Times New Roman"/>
          <w:b/>
          <w:bCs/>
          <w:sz w:val="24"/>
          <w:szCs w:val="24"/>
        </w:rPr>
        <w:t>S</w:t>
      </w:r>
      <w:r w:rsidRPr="00A474A3">
        <w:rPr>
          <w:rFonts w:ascii="Times New Roman" w:hAnsi="Times New Roman" w:cs="Times New Roman"/>
          <w:b/>
          <w:bCs/>
          <w:sz w:val="24"/>
          <w:szCs w:val="24"/>
        </w:rPr>
        <w:t xml:space="preserve">1. </w:t>
      </w:r>
      <w:r w:rsidR="00CA5D8A" w:rsidRPr="00A474A3">
        <w:rPr>
          <w:rFonts w:ascii="Times New Roman" w:hAnsi="Times New Roman" w:cs="Times New Roman"/>
          <w:b/>
          <w:bCs/>
          <w:sz w:val="24"/>
          <w:szCs w:val="24"/>
        </w:rPr>
        <w:t>Integrated</w:t>
      </w:r>
      <w:r w:rsidRPr="00A474A3">
        <w:rPr>
          <w:rFonts w:ascii="Times New Roman" w:hAnsi="Times New Roman" w:cs="Times New Roman"/>
          <w:b/>
          <w:bCs/>
          <w:sz w:val="24"/>
          <w:szCs w:val="24"/>
        </w:rPr>
        <w:t xml:space="preserve"> and </w:t>
      </w:r>
      <w:r w:rsidR="00CA5D8A" w:rsidRPr="00A474A3">
        <w:rPr>
          <w:rFonts w:ascii="Times New Roman" w:hAnsi="Times New Roman" w:cs="Times New Roman"/>
          <w:b/>
          <w:bCs/>
          <w:sz w:val="24"/>
          <w:szCs w:val="24"/>
        </w:rPr>
        <w:t>Individual</w:t>
      </w:r>
      <w:r w:rsidRPr="00A474A3">
        <w:rPr>
          <w:rFonts w:ascii="Times New Roman" w:hAnsi="Times New Roman" w:cs="Times New Roman"/>
          <w:b/>
          <w:bCs/>
          <w:sz w:val="24"/>
          <w:szCs w:val="24"/>
        </w:rPr>
        <w:t xml:space="preserve"> Size Distributions of Blood</w:t>
      </w:r>
      <w:r w:rsidR="00CA5D8A" w:rsidRPr="00A474A3">
        <w:rPr>
          <w:rFonts w:ascii="Times New Roman" w:hAnsi="Times New Roman" w:cs="Times New Roman"/>
          <w:b/>
          <w:bCs/>
          <w:sz w:val="24"/>
          <w:szCs w:val="24"/>
        </w:rPr>
        <w:t xml:space="preserve"> Plasma</w:t>
      </w:r>
      <w:r w:rsidRPr="00A474A3">
        <w:rPr>
          <w:rFonts w:ascii="Times New Roman" w:hAnsi="Times New Roman" w:cs="Times New Roman"/>
          <w:b/>
          <w:bCs/>
          <w:sz w:val="24"/>
          <w:szCs w:val="24"/>
        </w:rPr>
        <w:t xml:space="preserve"> Samples</w:t>
      </w:r>
    </w:p>
    <w:p w14:paraId="41AE3902" w14:textId="70C71DB9" w:rsidR="004C5F5B" w:rsidRPr="00A474A3" w:rsidRDefault="00CA5D8A" w:rsidP="009E6225">
      <w:pPr>
        <w:spacing w:line="480" w:lineRule="auto"/>
        <w:rPr>
          <w:rFonts w:ascii="Times New Roman" w:hAnsi="Times New Roman" w:cs="Times New Roman"/>
          <w:sz w:val="24"/>
          <w:szCs w:val="24"/>
        </w:rPr>
      </w:pPr>
      <w:r w:rsidRPr="00A474A3">
        <w:rPr>
          <w:rFonts w:ascii="Times New Roman" w:hAnsi="Times New Roman" w:cs="Times New Roman"/>
          <w:sz w:val="24"/>
          <w:szCs w:val="24"/>
        </w:rPr>
        <w:t>Aggregation plot showing a summary of the size distribution of all plasma samples (n=20). Separate smaller plots show the size distribution of individual plasma samples and the average of all plasma.</w:t>
      </w:r>
      <w:r w:rsidR="004C5F5B" w:rsidRPr="00A474A3">
        <w:rPr>
          <w:rFonts w:ascii="Times New Roman" w:hAnsi="Times New Roman" w:cs="Times New Roman"/>
          <w:sz w:val="24"/>
          <w:szCs w:val="24"/>
        </w:rPr>
        <w:br w:type="page"/>
      </w:r>
    </w:p>
    <w:p w14:paraId="568161B0" w14:textId="62989EDC" w:rsidR="004C5F5B" w:rsidRPr="00A474A3" w:rsidRDefault="004C5F5B" w:rsidP="009E6225">
      <w:pPr>
        <w:spacing w:line="480" w:lineRule="auto"/>
        <w:jc w:val="left"/>
        <w:rPr>
          <w:rFonts w:ascii="Times New Roman" w:hAnsi="Times New Roman" w:cs="Times New Roman"/>
          <w:noProof/>
          <w:sz w:val="24"/>
          <w:szCs w:val="24"/>
        </w:rPr>
      </w:pPr>
      <w:r w:rsidRPr="00A474A3">
        <w:rPr>
          <w:rFonts w:ascii="Times New Roman" w:hAnsi="Times New Roman" w:cs="Times New Roman"/>
          <w:noProof/>
          <w:sz w:val="24"/>
          <w:szCs w:val="24"/>
        </w:rPr>
        <w:lastRenderedPageBreak/>
        <w:drawing>
          <wp:inline distT="0" distB="0" distL="0" distR="0" wp14:anchorId="2A036876" wp14:editId="15025149">
            <wp:extent cx="4923296" cy="6963507"/>
            <wp:effectExtent l="0" t="0" r="4445" b="0"/>
            <wp:docPr id="398505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5900" name="图片 398505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5173" cy="7008594"/>
                    </a:xfrm>
                    <a:prstGeom prst="rect">
                      <a:avLst/>
                    </a:prstGeom>
                  </pic:spPr>
                </pic:pic>
              </a:graphicData>
            </a:graphic>
          </wp:inline>
        </w:drawing>
      </w:r>
      <w:r w:rsidRPr="00A474A3">
        <w:rPr>
          <w:rFonts w:ascii="Times New Roman" w:hAnsi="Times New Roman" w:cs="Times New Roman"/>
          <w:noProof/>
          <w:sz w:val="24"/>
          <w:szCs w:val="24"/>
        </w:rPr>
        <w:lastRenderedPageBreak/>
        <w:drawing>
          <wp:inline distT="0" distB="0" distL="0" distR="0" wp14:anchorId="1E696C98" wp14:editId="79D2548B">
            <wp:extent cx="4890144" cy="6916615"/>
            <wp:effectExtent l="0" t="0" r="0" b="5080"/>
            <wp:docPr id="20213062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06212" name="图片 20213062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7664" cy="6941396"/>
                    </a:xfrm>
                    <a:prstGeom prst="rect">
                      <a:avLst/>
                    </a:prstGeom>
                  </pic:spPr>
                </pic:pic>
              </a:graphicData>
            </a:graphic>
          </wp:inline>
        </w:drawing>
      </w:r>
    </w:p>
    <w:p w14:paraId="745662E6" w14:textId="414BFA22" w:rsidR="00CA5D8A" w:rsidRPr="00A474A3" w:rsidRDefault="00CA5D8A" w:rsidP="009E6225">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 xml:space="preserve">Figure </w:t>
      </w:r>
      <w:r w:rsidR="007F45FD" w:rsidRPr="00A474A3">
        <w:rPr>
          <w:rFonts w:ascii="Times New Roman" w:hAnsi="Times New Roman" w:cs="Times New Roman"/>
          <w:b/>
          <w:bCs/>
          <w:sz w:val="24"/>
          <w:szCs w:val="24"/>
        </w:rPr>
        <w:t>S</w:t>
      </w:r>
      <w:r w:rsidRPr="00A474A3">
        <w:rPr>
          <w:rFonts w:ascii="Times New Roman" w:hAnsi="Times New Roman" w:cs="Times New Roman"/>
          <w:b/>
          <w:bCs/>
          <w:sz w:val="24"/>
          <w:szCs w:val="24"/>
        </w:rPr>
        <w:t>2. Integrated and Individual Size Distributions of Control SP Samples</w:t>
      </w:r>
    </w:p>
    <w:p w14:paraId="677AFD5A" w14:textId="58AE7169" w:rsidR="00CA5D8A" w:rsidRPr="00A474A3" w:rsidRDefault="00CA5D8A" w:rsidP="009E6225">
      <w:pPr>
        <w:spacing w:line="480" w:lineRule="auto"/>
        <w:jc w:val="left"/>
        <w:rPr>
          <w:rFonts w:ascii="Times New Roman" w:hAnsi="Times New Roman" w:cs="Times New Roman"/>
          <w:noProof/>
          <w:sz w:val="24"/>
          <w:szCs w:val="24"/>
        </w:rPr>
      </w:pPr>
      <w:r w:rsidRPr="00A474A3">
        <w:rPr>
          <w:rFonts w:ascii="Times New Roman" w:hAnsi="Times New Roman" w:cs="Times New Roman"/>
          <w:sz w:val="24"/>
          <w:szCs w:val="24"/>
        </w:rPr>
        <w:t>Aggregation plot showing a summary of the size distribution of all control SP samples (n=18). Separate smaller plots show the size distribution of individual control SP samples and the average of all control SP.</w:t>
      </w:r>
    </w:p>
    <w:p w14:paraId="19A5EAF7" w14:textId="7A123C40" w:rsidR="004C5F5B" w:rsidRPr="00A474A3" w:rsidRDefault="004C5F5B" w:rsidP="007F45FD">
      <w:pPr>
        <w:widowControl/>
        <w:spacing w:line="480" w:lineRule="auto"/>
        <w:jc w:val="left"/>
        <w:rPr>
          <w:rFonts w:ascii="Times New Roman" w:hAnsi="Times New Roman" w:cs="Times New Roman"/>
          <w:noProof/>
          <w:sz w:val="24"/>
          <w:szCs w:val="24"/>
        </w:rPr>
      </w:pPr>
      <w:r w:rsidRPr="00A474A3">
        <w:rPr>
          <w:rFonts w:ascii="Times New Roman" w:hAnsi="Times New Roman" w:cs="Times New Roman"/>
          <w:sz w:val="24"/>
          <w:szCs w:val="24"/>
        </w:rPr>
        <w:br w:type="page"/>
      </w:r>
    </w:p>
    <w:p w14:paraId="0F89A13E" w14:textId="616C7818" w:rsidR="00CA5D8A" w:rsidRPr="00A474A3" w:rsidRDefault="004C5F5B" w:rsidP="009E6225">
      <w:pPr>
        <w:spacing w:line="480" w:lineRule="auto"/>
        <w:rPr>
          <w:rFonts w:ascii="Times New Roman" w:hAnsi="Times New Roman" w:cs="Times New Roman"/>
          <w:b/>
          <w:bCs/>
          <w:sz w:val="24"/>
          <w:szCs w:val="24"/>
        </w:rPr>
      </w:pPr>
      <w:r w:rsidRPr="00A474A3">
        <w:rPr>
          <w:rFonts w:ascii="Times New Roman" w:hAnsi="Times New Roman" w:cs="Times New Roman"/>
          <w:noProof/>
          <w:sz w:val="24"/>
          <w:szCs w:val="24"/>
        </w:rPr>
        <w:lastRenderedPageBreak/>
        <w:drawing>
          <wp:inline distT="0" distB="0" distL="0" distR="0" wp14:anchorId="434ED71C" wp14:editId="3D45F05F">
            <wp:extent cx="5274310" cy="7459345"/>
            <wp:effectExtent l="0" t="0" r="2540" b="8255"/>
            <wp:docPr id="13735002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00240" name="图片 13735002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sidRPr="00A474A3">
        <w:rPr>
          <w:rFonts w:ascii="Times New Roman" w:hAnsi="Times New Roman" w:cs="Times New Roman"/>
          <w:noProof/>
          <w:sz w:val="24"/>
          <w:szCs w:val="24"/>
        </w:rPr>
        <w:lastRenderedPageBreak/>
        <w:drawing>
          <wp:inline distT="0" distB="0" distL="0" distR="0" wp14:anchorId="7A9DD057" wp14:editId="5FF22E65">
            <wp:extent cx="5274310" cy="3709852"/>
            <wp:effectExtent l="0" t="0" r="0" b="0"/>
            <wp:docPr id="357554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4151" name="图片 357554151"/>
                    <pic:cNvPicPr/>
                  </pic:nvPicPr>
                  <pic:blipFill rotWithShape="1">
                    <a:blip r:embed="rId12" cstate="print">
                      <a:extLst>
                        <a:ext uri="{28A0092B-C50C-407E-A947-70E740481C1C}">
                          <a14:useLocalDpi xmlns:a14="http://schemas.microsoft.com/office/drawing/2010/main" val="0"/>
                        </a:ext>
                      </a:extLst>
                    </a:blip>
                    <a:srcRect b="50270"/>
                    <a:stretch/>
                  </pic:blipFill>
                  <pic:spPr bwMode="auto">
                    <a:xfrm>
                      <a:off x="0" y="0"/>
                      <a:ext cx="5274310" cy="3709852"/>
                    </a:xfrm>
                    <a:prstGeom prst="rect">
                      <a:avLst/>
                    </a:prstGeom>
                    <a:ln>
                      <a:noFill/>
                    </a:ln>
                    <a:extLst>
                      <a:ext uri="{53640926-AAD7-44D8-BBD7-CCE9431645EC}">
                        <a14:shadowObscured xmlns:a14="http://schemas.microsoft.com/office/drawing/2010/main"/>
                      </a:ext>
                    </a:extLst>
                  </pic:spPr>
                </pic:pic>
              </a:graphicData>
            </a:graphic>
          </wp:inline>
        </w:drawing>
      </w:r>
      <w:r w:rsidR="00CA5D8A" w:rsidRPr="00A474A3">
        <w:rPr>
          <w:rFonts w:ascii="Times New Roman" w:hAnsi="Times New Roman" w:cs="Times New Roman"/>
          <w:b/>
          <w:bCs/>
          <w:sz w:val="24"/>
          <w:szCs w:val="24"/>
        </w:rPr>
        <w:t xml:space="preserve"> Figure </w:t>
      </w:r>
      <w:r w:rsidR="007F45FD" w:rsidRPr="00A474A3">
        <w:rPr>
          <w:rFonts w:ascii="Times New Roman" w:hAnsi="Times New Roman" w:cs="Times New Roman"/>
          <w:b/>
          <w:bCs/>
          <w:sz w:val="24"/>
          <w:szCs w:val="24"/>
        </w:rPr>
        <w:t>S</w:t>
      </w:r>
      <w:r w:rsidR="00CA5D8A" w:rsidRPr="00A474A3">
        <w:rPr>
          <w:rFonts w:ascii="Times New Roman" w:hAnsi="Times New Roman" w:cs="Times New Roman"/>
          <w:b/>
          <w:bCs/>
          <w:sz w:val="24"/>
          <w:szCs w:val="24"/>
        </w:rPr>
        <w:t>3. Integrated and Individual Size Distributions of VC SP Samples</w:t>
      </w:r>
    </w:p>
    <w:p w14:paraId="2DFB7515" w14:textId="7C7A0173" w:rsidR="00CA5D8A" w:rsidRPr="00A474A3" w:rsidRDefault="00CA5D8A" w:rsidP="009E6225">
      <w:pPr>
        <w:spacing w:line="480" w:lineRule="auto"/>
        <w:jc w:val="left"/>
        <w:rPr>
          <w:rFonts w:ascii="Times New Roman" w:hAnsi="Times New Roman" w:cs="Times New Roman"/>
          <w:noProof/>
          <w:sz w:val="24"/>
          <w:szCs w:val="24"/>
        </w:rPr>
      </w:pPr>
      <w:r w:rsidRPr="00A474A3">
        <w:rPr>
          <w:rFonts w:ascii="Times New Roman" w:hAnsi="Times New Roman" w:cs="Times New Roman"/>
          <w:sz w:val="24"/>
          <w:szCs w:val="24"/>
        </w:rPr>
        <w:t>Aggregation plot showing a summary of the size distribution of all VC SP samples (n=14). Separate smaller plots show the size distribution of individual VC SP samples and the average of all VC SP.</w:t>
      </w:r>
    </w:p>
    <w:p w14:paraId="7AA6DEEE" w14:textId="19481E44" w:rsidR="00844820" w:rsidRPr="00A474A3" w:rsidRDefault="004C5F5B" w:rsidP="009E6225">
      <w:pPr>
        <w:spacing w:line="480" w:lineRule="auto"/>
        <w:jc w:val="left"/>
        <w:rPr>
          <w:rFonts w:ascii="Times New Roman" w:hAnsi="Times New Roman" w:cs="Times New Roman"/>
          <w:noProof/>
          <w:sz w:val="24"/>
          <w:szCs w:val="24"/>
        </w:rPr>
      </w:pPr>
      <w:r w:rsidRPr="00A474A3">
        <w:rPr>
          <w:rFonts w:ascii="Times New Roman" w:hAnsi="Times New Roman" w:cs="Times New Roman"/>
          <w:noProof/>
          <w:sz w:val="24"/>
          <w:szCs w:val="24"/>
        </w:rPr>
        <w:lastRenderedPageBreak/>
        <w:drawing>
          <wp:inline distT="0" distB="0" distL="0" distR="0" wp14:anchorId="3EDFA3D5" wp14:editId="15A51990">
            <wp:extent cx="5138795" cy="7268308"/>
            <wp:effectExtent l="0" t="0" r="5080" b="0"/>
            <wp:docPr id="16699380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8026" name="图片 16699380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9846" cy="7283938"/>
                    </a:xfrm>
                    <a:prstGeom prst="rect">
                      <a:avLst/>
                    </a:prstGeom>
                  </pic:spPr>
                </pic:pic>
              </a:graphicData>
            </a:graphic>
          </wp:inline>
        </w:drawing>
      </w:r>
      <w:r w:rsidRPr="00A474A3">
        <w:rPr>
          <w:rFonts w:ascii="Times New Roman" w:hAnsi="Times New Roman" w:cs="Times New Roman"/>
          <w:noProof/>
          <w:sz w:val="24"/>
          <w:szCs w:val="24"/>
        </w:rPr>
        <w:lastRenderedPageBreak/>
        <w:drawing>
          <wp:inline distT="0" distB="0" distL="0" distR="0" wp14:anchorId="7C147877" wp14:editId="4844E229">
            <wp:extent cx="5138795" cy="7268308"/>
            <wp:effectExtent l="0" t="0" r="5080" b="0"/>
            <wp:docPr id="12737038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03841" name="图片 12737038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2734" cy="7288023"/>
                    </a:xfrm>
                    <a:prstGeom prst="rect">
                      <a:avLst/>
                    </a:prstGeom>
                  </pic:spPr>
                </pic:pic>
              </a:graphicData>
            </a:graphic>
          </wp:inline>
        </w:drawing>
      </w:r>
    </w:p>
    <w:p w14:paraId="6C71E0F9" w14:textId="1101B87E" w:rsidR="00CA5D8A" w:rsidRPr="00A474A3" w:rsidRDefault="00CA5D8A" w:rsidP="009E6225">
      <w:pPr>
        <w:spacing w:line="480" w:lineRule="auto"/>
        <w:rPr>
          <w:rFonts w:ascii="Times New Roman" w:hAnsi="Times New Roman" w:cs="Times New Roman"/>
          <w:b/>
          <w:bCs/>
          <w:sz w:val="24"/>
          <w:szCs w:val="24"/>
        </w:rPr>
      </w:pPr>
      <w:r w:rsidRPr="00A474A3">
        <w:rPr>
          <w:rFonts w:ascii="Times New Roman" w:hAnsi="Times New Roman" w:cs="Times New Roman"/>
          <w:b/>
          <w:bCs/>
          <w:sz w:val="24"/>
          <w:szCs w:val="24"/>
        </w:rPr>
        <w:t xml:space="preserve">Figure </w:t>
      </w:r>
      <w:r w:rsidR="007F45FD" w:rsidRPr="00A474A3">
        <w:rPr>
          <w:rFonts w:ascii="Times New Roman" w:hAnsi="Times New Roman" w:cs="Times New Roman"/>
          <w:b/>
          <w:bCs/>
          <w:sz w:val="24"/>
          <w:szCs w:val="24"/>
        </w:rPr>
        <w:t>S</w:t>
      </w:r>
      <w:r w:rsidRPr="00A474A3">
        <w:rPr>
          <w:rFonts w:ascii="Times New Roman" w:hAnsi="Times New Roman" w:cs="Times New Roman"/>
          <w:b/>
          <w:bCs/>
          <w:sz w:val="24"/>
          <w:szCs w:val="24"/>
        </w:rPr>
        <w:t>4. Integrated and Individual Size Distributions of NOA SP Samples</w:t>
      </w:r>
    </w:p>
    <w:p w14:paraId="67D0A2DF" w14:textId="38648F25" w:rsidR="006859C3" w:rsidRPr="00A474A3" w:rsidRDefault="00CA5D8A" w:rsidP="009E6225">
      <w:pPr>
        <w:spacing w:line="480" w:lineRule="auto"/>
        <w:jc w:val="left"/>
        <w:rPr>
          <w:rFonts w:ascii="Times New Roman" w:hAnsi="Times New Roman" w:cs="Times New Roman"/>
          <w:sz w:val="24"/>
          <w:szCs w:val="24"/>
        </w:rPr>
      </w:pPr>
      <w:r w:rsidRPr="00A474A3">
        <w:rPr>
          <w:rFonts w:ascii="Times New Roman" w:hAnsi="Times New Roman" w:cs="Times New Roman"/>
          <w:sz w:val="24"/>
          <w:szCs w:val="24"/>
        </w:rPr>
        <w:t>Aggregation plot showing a summary of the size distribution of all NOA SP samples (n=19). Separate smaller plots show the size distribution of individual NOA SP samples and the average of all NOA SP.</w:t>
      </w:r>
    </w:p>
    <w:p w14:paraId="08D8E5C0" w14:textId="0E854872" w:rsidR="006859C3" w:rsidRPr="00A474A3" w:rsidRDefault="006859C3" w:rsidP="006859C3">
      <w:pPr>
        <w:widowControl/>
        <w:jc w:val="left"/>
        <w:rPr>
          <w:rFonts w:ascii="Times New Roman" w:eastAsia="宋体" w:hAnsi="Times New Roman" w:cs="Times New Roman"/>
          <w:b/>
          <w:bCs/>
          <w:color w:val="000000"/>
          <w:kern w:val="0"/>
          <w:sz w:val="24"/>
          <w:szCs w:val="24"/>
        </w:rPr>
      </w:pPr>
      <w:r w:rsidRPr="00A474A3">
        <w:rPr>
          <w:rFonts w:ascii="Times New Roman" w:hAnsi="Times New Roman" w:cs="Times New Roman"/>
          <w:sz w:val="24"/>
          <w:szCs w:val="24"/>
        </w:rPr>
        <w:br w:type="page"/>
      </w:r>
      <w:r w:rsidRPr="00A474A3">
        <w:rPr>
          <w:rFonts w:ascii="Times New Roman" w:eastAsia="宋体" w:hAnsi="Times New Roman" w:cs="Times New Roman"/>
          <w:b/>
          <w:bCs/>
          <w:color w:val="000000"/>
          <w:kern w:val="0"/>
          <w:sz w:val="24"/>
          <w:szCs w:val="24"/>
        </w:rPr>
        <w:lastRenderedPageBreak/>
        <w:t>Table S1. Clinical characteristics of subjects and samples</w:t>
      </w:r>
    </w:p>
    <w:tbl>
      <w:tblPr>
        <w:tblStyle w:val="a8"/>
        <w:tblW w:w="5205"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1699"/>
        <w:gridCol w:w="1562"/>
        <w:gridCol w:w="1556"/>
        <w:gridCol w:w="1558"/>
      </w:tblGrid>
      <w:tr w:rsidR="006859C3" w:rsidRPr="00A474A3" w14:paraId="0DD6D5C7" w14:textId="77777777" w:rsidTr="006859C3">
        <w:trPr>
          <w:trHeight w:val="624"/>
        </w:trPr>
        <w:tc>
          <w:tcPr>
            <w:tcW w:w="1313" w:type="pct"/>
            <w:tcBorders>
              <w:top w:val="single" w:sz="4" w:space="0" w:color="auto"/>
              <w:bottom w:val="single" w:sz="4" w:space="0" w:color="auto"/>
            </w:tcBorders>
          </w:tcPr>
          <w:p w14:paraId="17E7EC9A" w14:textId="77777777" w:rsidR="006859C3" w:rsidRPr="00A474A3" w:rsidRDefault="006859C3" w:rsidP="006859C3">
            <w:pPr>
              <w:widowControl/>
              <w:jc w:val="left"/>
              <w:rPr>
                <w:rFonts w:ascii="Times New Roman" w:hAnsi="Times New Roman" w:cs="Times New Roman"/>
                <w:noProof/>
                <w:sz w:val="24"/>
                <w:szCs w:val="24"/>
              </w:rPr>
            </w:pPr>
          </w:p>
        </w:tc>
        <w:tc>
          <w:tcPr>
            <w:tcW w:w="982" w:type="pct"/>
            <w:tcBorders>
              <w:top w:val="single" w:sz="4" w:space="0" w:color="auto"/>
              <w:bottom w:val="single" w:sz="4" w:space="0" w:color="auto"/>
            </w:tcBorders>
          </w:tcPr>
          <w:p w14:paraId="376C92A2" w14:textId="04F8A448"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Blood of healthy control</w:t>
            </w:r>
          </w:p>
        </w:tc>
        <w:tc>
          <w:tcPr>
            <w:tcW w:w="903" w:type="pct"/>
            <w:tcBorders>
              <w:top w:val="single" w:sz="4" w:space="0" w:color="auto"/>
              <w:bottom w:val="single" w:sz="4" w:space="0" w:color="auto"/>
            </w:tcBorders>
          </w:tcPr>
          <w:p w14:paraId="5B421DA7" w14:textId="51C3220A"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SP of healthy control</w:t>
            </w:r>
          </w:p>
        </w:tc>
        <w:tc>
          <w:tcPr>
            <w:tcW w:w="900" w:type="pct"/>
            <w:tcBorders>
              <w:top w:val="single" w:sz="4" w:space="0" w:color="auto"/>
              <w:bottom w:val="single" w:sz="4" w:space="0" w:color="auto"/>
            </w:tcBorders>
          </w:tcPr>
          <w:p w14:paraId="1278707A" w14:textId="45FDC933"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SP of VC</w:t>
            </w:r>
          </w:p>
        </w:tc>
        <w:tc>
          <w:tcPr>
            <w:tcW w:w="901" w:type="pct"/>
            <w:tcBorders>
              <w:top w:val="single" w:sz="4" w:space="0" w:color="auto"/>
              <w:bottom w:val="single" w:sz="4" w:space="0" w:color="auto"/>
            </w:tcBorders>
          </w:tcPr>
          <w:p w14:paraId="317FC5DF" w14:textId="341C9520"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SP of NOA</w:t>
            </w:r>
          </w:p>
        </w:tc>
      </w:tr>
      <w:tr w:rsidR="006859C3" w:rsidRPr="00A474A3" w14:paraId="6ABC4A74" w14:textId="77777777" w:rsidTr="006859C3">
        <w:trPr>
          <w:trHeight w:val="624"/>
        </w:trPr>
        <w:tc>
          <w:tcPr>
            <w:tcW w:w="1313" w:type="pct"/>
            <w:tcBorders>
              <w:top w:val="single" w:sz="4" w:space="0" w:color="auto"/>
            </w:tcBorders>
          </w:tcPr>
          <w:p w14:paraId="472C54DE" w14:textId="77777777" w:rsidR="006859C3" w:rsidRPr="00A474A3" w:rsidRDefault="006859C3" w:rsidP="006859C3">
            <w:pPr>
              <w:widowControl/>
              <w:jc w:val="left"/>
              <w:rPr>
                <w:rFonts w:ascii="Times New Roman" w:hAnsi="Times New Roman" w:cs="Times New Roman"/>
                <w:color w:val="000000"/>
                <w:sz w:val="24"/>
                <w:szCs w:val="24"/>
              </w:rPr>
            </w:pPr>
            <w:r w:rsidRPr="00A474A3">
              <w:rPr>
                <w:rFonts w:ascii="Times New Roman" w:hAnsi="Times New Roman" w:cs="Times New Roman"/>
                <w:color w:val="000000"/>
                <w:sz w:val="24"/>
                <w:szCs w:val="24"/>
              </w:rPr>
              <w:t xml:space="preserve">Age </w:t>
            </w:r>
          </w:p>
          <w:p w14:paraId="05D3FE00" w14:textId="36E34073"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(year)</w:t>
            </w:r>
          </w:p>
        </w:tc>
        <w:tc>
          <w:tcPr>
            <w:tcW w:w="982" w:type="pct"/>
            <w:tcBorders>
              <w:top w:val="single" w:sz="4" w:space="0" w:color="auto"/>
            </w:tcBorders>
          </w:tcPr>
          <w:p w14:paraId="30C3FD26" w14:textId="3D861FC4"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30.00 ± 1.92</w:t>
            </w:r>
          </w:p>
        </w:tc>
        <w:tc>
          <w:tcPr>
            <w:tcW w:w="903" w:type="pct"/>
            <w:tcBorders>
              <w:top w:val="single" w:sz="4" w:space="0" w:color="auto"/>
            </w:tcBorders>
          </w:tcPr>
          <w:p w14:paraId="69D368A7" w14:textId="5D7D7C7E"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29.39 ± 1.821</w:t>
            </w:r>
          </w:p>
        </w:tc>
        <w:tc>
          <w:tcPr>
            <w:tcW w:w="900" w:type="pct"/>
            <w:tcBorders>
              <w:top w:val="single" w:sz="4" w:space="0" w:color="auto"/>
            </w:tcBorders>
          </w:tcPr>
          <w:p w14:paraId="6E62C44E" w14:textId="321DC2E5"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29.50 ± 0.96</w:t>
            </w:r>
          </w:p>
        </w:tc>
        <w:tc>
          <w:tcPr>
            <w:tcW w:w="901" w:type="pct"/>
            <w:tcBorders>
              <w:top w:val="single" w:sz="4" w:space="0" w:color="auto"/>
            </w:tcBorders>
          </w:tcPr>
          <w:p w14:paraId="5E11C4EB" w14:textId="3ACA8BDB"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31.69 ± 1.20</w:t>
            </w:r>
          </w:p>
        </w:tc>
      </w:tr>
      <w:tr w:rsidR="006859C3" w:rsidRPr="00A474A3" w14:paraId="11BBE8FC" w14:textId="77777777" w:rsidTr="006859C3">
        <w:trPr>
          <w:trHeight w:val="624"/>
        </w:trPr>
        <w:tc>
          <w:tcPr>
            <w:tcW w:w="1313" w:type="pct"/>
          </w:tcPr>
          <w:p w14:paraId="07518611" w14:textId="77777777" w:rsidR="006859C3" w:rsidRPr="00A474A3" w:rsidRDefault="006859C3" w:rsidP="006859C3">
            <w:pPr>
              <w:widowControl/>
              <w:jc w:val="left"/>
              <w:rPr>
                <w:rFonts w:ascii="Times New Roman" w:hAnsi="Times New Roman" w:cs="Times New Roman"/>
                <w:color w:val="000000"/>
                <w:sz w:val="24"/>
                <w:szCs w:val="24"/>
              </w:rPr>
            </w:pPr>
            <w:r w:rsidRPr="00A474A3">
              <w:rPr>
                <w:rFonts w:ascii="Times New Roman" w:hAnsi="Times New Roman" w:cs="Times New Roman"/>
                <w:color w:val="000000"/>
                <w:sz w:val="24"/>
                <w:szCs w:val="24"/>
              </w:rPr>
              <w:t xml:space="preserve">Sperm count </w:t>
            </w:r>
          </w:p>
          <w:p w14:paraId="5481313C" w14:textId="7913CAA1"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(million/ml)</w:t>
            </w:r>
          </w:p>
        </w:tc>
        <w:tc>
          <w:tcPr>
            <w:tcW w:w="982" w:type="pct"/>
          </w:tcPr>
          <w:p w14:paraId="7B4AB69E" w14:textId="27540CE5"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w:t>
            </w:r>
          </w:p>
        </w:tc>
        <w:tc>
          <w:tcPr>
            <w:tcW w:w="903" w:type="pct"/>
          </w:tcPr>
          <w:p w14:paraId="7C4CB3D8" w14:textId="5E7F70A0"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43.58 ± 4.64</w:t>
            </w:r>
          </w:p>
        </w:tc>
        <w:tc>
          <w:tcPr>
            <w:tcW w:w="900" w:type="pct"/>
          </w:tcPr>
          <w:p w14:paraId="259C6DC4" w14:textId="5A10963F"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24.99 ± 7.82</w:t>
            </w:r>
          </w:p>
        </w:tc>
        <w:tc>
          <w:tcPr>
            <w:tcW w:w="901" w:type="pct"/>
          </w:tcPr>
          <w:p w14:paraId="7D2BBB43" w14:textId="4960CCD9"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0</w:t>
            </w:r>
          </w:p>
        </w:tc>
      </w:tr>
      <w:tr w:rsidR="006859C3" w:rsidRPr="00A474A3" w14:paraId="61A19AE7" w14:textId="77777777" w:rsidTr="006859C3">
        <w:trPr>
          <w:trHeight w:val="624"/>
        </w:trPr>
        <w:tc>
          <w:tcPr>
            <w:tcW w:w="1313" w:type="pct"/>
          </w:tcPr>
          <w:p w14:paraId="70E5D7E5" w14:textId="219F7222"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Sperm total motility (million/ml)</w:t>
            </w:r>
          </w:p>
        </w:tc>
        <w:tc>
          <w:tcPr>
            <w:tcW w:w="982" w:type="pct"/>
          </w:tcPr>
          <w:p w14:paraId="3C986FEA" w14:textId="7CEA38E5"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w:t>
            </w:r>
          </w:p>
        </w:tc>
        <w:tc>
          <w:tcPr>
            <w:tcW w:w="903" w:type="pct"/>
          </w:tcPr>
          <w:p w14:paraId="3F0A4A6F" w14:textId="4095B263"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58.32 ± 3.45</w:t>
            </w:r>
          </w:p>
        </w:tc>
        <w:tc>
          <w:tcPr>
            <w:tcW w:w="900" w:type="pct"/>
          </w:tcPr>
          <w:p w14:paraId="08D669C8" w14:textId="49E949EB"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44.48 ± 8.01</w:t>
            </w:r>
          </w:p>
        </w:tc>
        <w:tc>
          <w:tcPr>
            <w:tcW w:w="901" w:type="pct"/>
          </w:tcPr>
          <w:p w14:paraId="24A4CEE3" w14:textId="15C5A0EE" w:rsidR="006859C3" w:rsidRPr="00A474A3" w:rsidRDefault="006859C3" w:rsidP="006859C3">
            <w:pPr>
              <w:widowControl/>
              <w:jc w:val="left"/>
              <w:rPr>
                <w:rFonts w:ascii="Times New Roman" w:hAnsi="Times New Roman" w:cs="Times New Roman"/>
                <w:noProof/>
                <w:sz w:val="24"/>
                <w:szCs w:val="24"/>
              </w:rPr>
            </w:pPr>
            <w:r w:rsidRPr="00A474A3">
              <w:rPr>
                <w:rFonts w:ascii="Times New Roman" w:hAnsi="Times New Roman" w:cs="Times New Roman"/>
                <w:color w:val="000000"/>
                <w:sz w:val="24"/>
                <w:szCs w:val="24"/>
              </w:rPr>
              <w:t>0</w:t>
            </w:r>
          </w:p>
        </w:tc>
      </w:tr>
    </w:tbl>
    <w:p w14:paraId="041354A1" w14:textId="77777777" w:rsidR="006859C3" w:rsidRPr="00A474A3" w:rsidRDefault="006859C3" w:rsidP="006859C3">
      <w:pPr>
        <w:widowControl/>
        <w:jc w:val="left"/>
        <w:rPr>
          <w:rFonts w:ascii="Times New Roman" w:eastAsia="宋体" w:hAnsi="Times New Roman" w:cs="Times New Roman"/>
          <w:color w:val="000000"/>
          <w:kern w:val="0"/>
          <w:sz w:val="24"/>
          <w:szCs w:val="24"/>
        </w:rPr>
      </w:pPr>
      <w:r w:rsidRPr="00A474A3">
        <w:rPr>
          <w:rFonts w:ascii="Times New Roman" w:eastAsia="宋体" w:hAnsi="Times New Roman" w:cs="Times New Roman"/>
          <w:color w:val="000000"/>
          <w:kern w:val="0"/>
          <w:sz w:val="24"/>
          <w:szCs w:val="24"/>
        </w:rPr>
        <w:t>Data represent the mean ± SD.</w:t>
      </w:r>
    </w:p>
    <w:p w14:paraId="6E52757B" w14:textId="77777777" w:rsidR="00CA5D8A" w:rsidRPr="00A474A3" w:rsidRDefault="00CA5D8A" w:rsidP="009E6225">
      <w:pPr>
        <w:spacing w:line="480" w:lineRule="auto"/>
        <w:jc w:val="left"/>
        <w:rPr>
          <w:rFonts w:ascii="Times New Roman" w:hAnsi="Times New Roman" w:cs="Times New Roman"/>
          <w:sz w:val="24"/>
          <w:szCs w:val="24"/>
        </w:rPr>
      </w:pPr>
    </w:p>
    <w:sectPr w:rsidR="00CA5D8A" w:rsidRPr="00A474A3" w:rsidSect="006859C3">
      <w:footerReference w:type="even" r:id="rId15"/>
      <w:footerReference w:type="default" r:id="rId1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61A21" w14:textId="77777777" w:rsidR="00F036A9" w:rsidRDefault="00F036A9" w:rsidP="006859C3">
      <w:r>
        <w:separator/>
      </w:r>
    </w:p>
  </w:endnote>
  <w:endnote w:type="continuationSeparator" w:id="0">
    <w:p w14:paraId="382711DB" w14:textId="77777777" w:rsidR="00F036A9" w:rsidRDefault="00F036A9" w:rsidP="0068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145331327"/>
      <w:docPartObj>
        <w:docPartGallery w:val="Page Numbers (Bottom of Page)"/>
        <w:docPartUnique/>
      </w:docPartObj>
    </w:sdtPr>
    <w:sdtContent>
      <w:p w14:paraId="109CADA9" w14:textId="66F29BEE" w:rsidR="006859C3" w:rsidRDefault="006859C3" w:rsidP="007F2F2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0ECE04D9" w14:textId="77777777" w:rsidR="006859C3" w:rsidRDefault="006859C3" w:rsidP="006859C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604956339"/>
      <w:docPartObj>
        <w:docPartGallery w:val="Page Numbers (Bottom of Page)"/>
        <w:docPartUnique/>
      </w:docPartObj>
    </w:sdtPr>
    <w:sdtContent>
      <w:p w14:paraId="2590D981" w14:textId="1B6635E8" w:rsidR="006859C3" w:rsidRDefault="006859C3" w:rsidP="007F2F2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37A08EBE" w14:textId="77777777" w:rsidR="006859C3" w:rsidRDefault="006859C3" w:rsidP="006859C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ED904" w14:textId="77777777" w:rsidR="00F036A9" w:rsidRDefault="00F036A9" w:rsidP="006859C3">
      <w:r>
        <w:separator/>
      </w:r>
    </w:p>
  </w:footnote>
  <w:footnote w:type="continuationSeparator" w:id="0">
    <w:p w14:paraId="24A28BD0" w14:textId="77777777" w:rsidR="00F036A9" w:rsidRDefault="00F036A9" w:rsidP="006859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5C"/>
    <w:rsid w:val="004C5F5B"/>
    <w:rsid w:val="006859C3"/>
    <w:rsid w:val="007F45FD"/>
    <w:rsid w:val="00844820"/>
    <w:rsid w:val="009D541B"/>
    <w:rsid w:val="009E6225"/>
    <w:rsid w:val="00A474A3"/>
    <w:rsid w:val="00CA5D8A"/>
    <w:rsid w:val="00CC0F5E"/>
    <w:rsid w:val="00E23A88"/>
    <w:rsid w:val="00F036A9"/>
    <w:rsid w:val="00F72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1FA2"/>
  <w15:chartTrackingRefBased/>
  <w15:docId w15:val="{DD78A256-BD25-4D32-8D05-6B7A74F3A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859C3"/>
    <w:pPr>
      <w:tabs>
        <w:tab w:val="center" w:pos="4153"/>
        <w:tab w:val="right" w:pos="8306"/>
      </w:tabs>
      <w:snapToGrid w:val="0"/>
      <w:jc w:val="left"/>
    </w:pPr>
    <w:rPr>
      <w:sz w:val="18"/>
      <w:szCs w:val="18"/>
    </w:rPr>
  </w:style>
  <w:style w:type="character" w:customStyle="1" w:styleId="a4">
    <w:name w:val="页脚 字符"/>
    <w:basedOn w:val="a0"/>
    <w:link w:val="a3"/>
    <w:uiPriority w:val="99"/>
    <w:rsid w:val="006859C3"/>
    <w:rPr>
      <w:sz w:val="18"/>
      <w:szCs w:val="18"/>
    </w:rPr>
  </w:style>
  <w:style w:type="character" w:styleId="a5">
    <w:name w:val="page number"/>
    <w:basedOn w:val="a0"/>
    <w:uiPriority w:val="99"/>
    <w:semiHidden/>
    <w:unhideWhenUsed/>
    <w:rsid w:val="006859C3"/>
  </w:style>
  <w:style w:type="character" w:styleId="a6">
    <w:name w:val="line number"/>
    <w:basedOn w:val="a0"/>
    <w:uiPriority w:val="99"/>
    <w:semiHidden/>
    <w:unhideWhenUsed/>
    <w:rsid w:val="006859C3"/>
  </w:style>
  <w:style w:type="table" w:styleId="a7">
    <w:name w:val="Table Grid"/>
    <w:basedOn w:val="a1"/>
    <w:uiPriority w:val="39"/>
    <w:rsid w:val="00685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6859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6859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8">
    <w:name w:val="Grid Table Light"/>
    <w:basedOn w:val="a1"/>
    <w:uiPriority w:val="40"/>
    <w:rsid w:val="006859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
    <w:name w:val="Plain Table 4"/>
    <w:basedOn w:val="a1"/>
    <w:uiPriority w:val="44"/>
    <w:rsid w:val="006859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
    <w:name w:val="Plain Table 3"/>
    <w:basedOn w:val="a1"/>
    <w:uiPriority w:val="43"/>
    <w:rsid w:val="006859C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5430">
      <w:bodyDiv w:val="1"/>
      <w:marLeft w:val="0"/>
      <w:marRight w:val="0"/>
      <w:marTop w:val="0"/>
      <w:marBottom w:val="0"/>
      <w:divBdr>
        <w:top w:val="none" w:sz="0" w:space="0" w:color="auto"/>
        <w:left w:val="none" w:sz="0" w:space="0" w:color="auto"/>
        <w:bottom w:val="none" w:sz="0" w:space="0" w:color="auto"/>
        <w:right w:val="none" w:sz="0" w:space="0" w:color="auto"/>
      </w:divBdr>
    </w:div>
    <w:div w:id="258100848">
      <w:bodyDiv w:val="1"/>
      <w:marLeft w:val="0"/>
      <w:marRight w:val="0"/>
      <w:marTop w:val="0"/>
      <w:marBottom w:val="0"/>
      <w:divBdr>
        <w:top w:val="none" w:sz="0" w:space="0" w:color="auto"/>
        <w:left w:val="none" w:sz="0" w:space="0" w:color="auto"/>
        <w:bottom w:val="none" w:sz="0" w:space="0" w:color="auto"/>
        <w:right w:val="none" w:sz="0" w:space="0" w:color="auto"/>
      </w:divBdr>
    </w:div>
    <w:div w:id="699552459">
      <w:bodyDiv w:val="1"/>
      <w:marLeft w:val="0"/>
      <w:marRight w:val="0"/>
      <w:marTop w:val="0"/>
      <w:marBottom w:val="0"/>
      <w:divBdr>
        <w:top w:val="none" w:sz="0" w:space="0" w:color="auto"/>
        <w:left w:val="none" w:sz="0" w:space="0" w:color="auto"/>
        <w:bottom w:val="none" w:sz="0" w:space="0" w:color="auto"/>
        <w:right w:val="none" w:sz="0" w:space="0" w:color="auto"/>
      </w:divBdr>
    </w:div>
    <w:div w:id="12600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8ABC7-A1BF-3E42-A7DB-4623FB0F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808</Words>
  <Characters>4612</Characters>
  <Application>Microsoft Office Word</Application>
  <DocSecurity>0</DocSecurity>
  <Lines>38</Lines>
  <Paragraphs>10</Paragraphs>
  <ScaleCrop>false</ScaleCrop>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 Meng</dc:creator>
  <cp:keywords/>
  <dc:description/>
  <cp:lastModifiedBy>Microsoft Office User</cp:lastModifiedBy>
  <cp:revision>5</cp:revision>
  <dcterms:created xsi:type="dcterms:W3CDTF">2025-03-02T13:34:00Z</dcterms:created>
  <dcterms:modified xsi:type="dcterms:W3CDTF">2025-03-11T06:10:00Z</dcterms:modified>
</cp:coreProperties>
</file>