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504E09" w14:textId="04DC5AF4" w:rsidR="007364B0" w:rsidRDefault="007364B0" w:rsidP="00CD1162">
      <w:pPr>
        <w:rPr>
          <w:rFonts w:ascii="Times New Roman" w:hAnsi="Times New Roman" w:cs="Times New Roman"/>
        </w:rPr>
      </w:pPr>
      <w:r>
        <w:rPr>
          <w:rFonts w:ascii="Times New Roman" w:hAnsi="Times New Roman" w:cs="Times New Roman"/>
          <w:noProof/>
        </w:rPr>
        <w:drawing>
          <wp:inline distT="0" distB="0" distL="0" distR="0" wp14:anchorId="1499F72B" wp14:editId="197B32FC">
            <wp:extent cx="5274310" cy="5880100"/>
            <wp:effectExtent l="0" t="0" r="2540" b="6350"/>
            <wp:docPr id="10870462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046253" name="图片 1087046253"/>
                    <pic:cNvPicPr/>
                  </pic:nvPicPr>
                  <pic:blipFill rotWithShape="1">
                    <a:blip r:embed="rId4" cstate="print">
                      <a:extLst>
                        <a:ext uri="{28A0092B-C50C-407E-A947-70E740481C1C}">
                          <a14:useLocalDpi xmlns:a14="http://schemas.microsoft.com/office/drawing/2010/main" val="0"/>
                        </a:ext>
                      </a:extLst>
                    </a:blip>
                    <a:srcRect b="21184"/>
                    <a:stretch/>
                  </pic:blipFill>
                  <pic:spPr bwMode="auto">
                    <a:xfrm>
                      <a:off x="0" y="0"/>
                      <a:ext cx="5274310" cy="5880100"/>
                    </a:xfrm>
                    <a:prstGeom prst="rect">
                      <a:avLst/>
                    </a:prstGeom>
                    <a:ln>
                      <a:noFill/>
                    </a:ln>
                    <a:extLst>
                      <a:ext uri="{53640926-AAD7-44D8-BBD7-CCE9431645EC}">
                        <a14:shadowObscured xmlns:a14="http://schemas.microsoft.com/office/drawing/2010/main"/>
                      </a:ext>
                    </a:extLst>
                  </pic:spPr>
                </pic:pic>
              </a:graphicData>
            </a:graphic>
          </wp:inline>
        </w:drawing>
      </w:r>
    </w:p>
    <w:p w14:paraId="23D30AA1" w14:textId="7F674F0B" w:rsidR="00CD1162" w:rsidRDefault="00CD1162" w:rsidP="00CD1162">
      <w:pPr>
        <w:rPr>
          <w:rFonts w:ascii="Times New Roman" w:hAnsi="Times New Roman" w:cs="Times New Roman"/>
        </w:rPr>
      </w:pPr>
      <w:r w:rsidRPr="00310978">
        <w:rPr>
          <w:rFonts w:ascii="Times New Roman" w:hAnsi="Times New Roman" w:cs="Times New Roman" w:hint="eastAsia"/>
        </w:rPr>
        <w:t>Supplementary</w:t>
      </w:r>
      <w:r w:rsidRPr="00FA2F36">
        <w:rPr>
          <w:rFonts w:ascii="Times New Roman" w:hAnsi="Times New Roman" w:cs="Times New Roman"/>
        </w:rPr>
        <w:t xml:space="preserve"> </w:t>
      </w:r>
      <w:r>
        <w:rPr>
          <w:rFonts w:ascii="Times New Roman" w:hAnsi="Times New Roman" w:cs="Times New Roman"/>
        </w:rPr>
        <w:t>Figure</w:t>
      </w:r>
      <w:r>
        <w:rPr>
          <w:rFonts w:ascii="Times New Roman" w:hAnsi="Times New Roman" w:cs="Times New Roman" w:hint="eastAsia"/>
        </w:rPr>
        <w:t>_1</w:t>
      </w:r>
      <w:r w:rsidRPr="00FA2F36">
        <w:rPr>
          <w:rFonts w:ascii="Times New Roman" w:hAnsi="Times New Roman" w:cs="Times New Roman"/>
        </w:rPr>
        <w:t xml:space="preserve">. (A) </w:t>
      </w:r>
      <w:r w:rsidRPr="00FA2F36">
        <w:rPr>
          <w:rFonts w:ascii="Times New Roman" w:hAnsi="Times New Roman" w:cs="Times New Roman" w:hint="eastAsia"/>
        </w:rPr>
        <w:t xml:space="preserve">The </w:t>
      </w:r>
      <w:proofErr w:type="spellStart"/>
      <w:r w:rsidRPr="00FA2F36">
        <w:rPr>
          <w:rFonts w:ascii="Times New Roman" w:hAnsi="Times New Roman" w:cs="Times New Roman"/>
        </w:rPr>
        <w:t>EdU</w:t>
      </w:r>
      <w:proofErr w:type="spellEnd"/>
      <w:r w:rsidRPr="00FA2F36">
        <w:rPr>
          <w:rFonts w:ascii="Times New Roman" w:hAnsi="Times New Roman" w:cs="Times New Roman"/>
        </w:rPr>
        <w:t xml:space="preserve"> staining was performed to assess the S-phase cell cycle progression in cells treated with DMSO and </w:t>
      </w:r>
      <w:r w:rsidRPr="00FA2F36">
        <w:rPr>
          <w:rFonts w:ascii="Times New Roman" w:hAnsi="Times New Roman" w:cs="Times New Roman" w:hint="eastAsia"/>
        </w:rPr>
        <w:t>resveratrol</w:t>
      </w:r>
      <w:r w:rsidRPr="00FA2F36">
        <w:rPr>
          <w:rFonts w:ascii="Times New Roman" w:hAnsi="Times New Roman" w:cs="Times New Roman"/>
        </w:rPr>
        <w:t xml:space="preserve"> (</w:t>
      </w:r>
      <w:r w:rsidRPr="00FA2F36">
        <w:rPr>
          <w:rFonts w:ascii="Times New Roman" w:hAnsi="Times New Roman" w:cs="Times New Roman" w:hint="eastAsia"/>
        </w:rPr>
        <w:t xml:space="preserve">80 </w:t>
      </w:r>
      <w:r w:rsidRPr="00FA2F36">
        <w:rPr>
          <w:rFonts w:ascii="Times New Roman" w:hAnsi="Times New Roman" w:cs="Times New Roman"/>
        </w:rPr>
        <w:t>µM</w:t>
      </w:r>
      <w:r w:rsidRPr="00FA2F36">
        <w:rPr>
          <w:rFonts w:ascii="Times New Roman" w:hAnsi="Times New Roman" w:cs="Times New Roman" w:hint="eastAsia"/>
        </w:rPr>
        <w:t>; RES: Resveratrol</w:t>
      </w:r>
      <w:r w:rsidRPr="00FA2F36">
        <w:rPr>
          <w:rFonts w:ascii="Times New Roman" w:hAnsi="Times New Roman" w:cs="Times New Roman"/>
        </w:rPr>
        <w:t>). Hoechst</w:t>
      </w:r>
      <w:r w:rsidRPr="00FA2F36">
        <w:rPr>
          <w:rFonts w:ascii="Times New Roman" w:hAnsi="Times New Roman" w:cs="Times New Roman" w:hint="eastAsia"/>
        </w:rPr>
        <w:t xml:space="preserve"> 33342</w:t>
      </w:r>
      <w:r w:rsidRPr="00FA2F36">
        <w:rPr>
          <w:rFonts w:ascii="Times New Roman" w:hAnsi="Times New Roman" w:cs="Times New Roman"/>
        </w:rPr>
        <w:t xml:space="preserve"> staining was used to visualize the nuclei. (B) Flow cytometry analysis of cell death in </w:t>
      </w:r>
      <w:r w:rsidRPr="00FA2F36">
        <w:rPr>
          <w:rFonts w:ascii="Times New Roman" w:hAnsi="Times New Roman" w:cs="Times New Roman" w:hint="eastAsia"/>
        </w:rPr>
        <w:t xml:space="preserve">EBV/LMP1-positive </w:t>
      </w:r>
      <w:r w:rsidRPr="00FA2F36">
        <w:rPr>
          <w:rFonts w:ascii="Times New Roman" w:hAnsi="Times New Roman" w:cs="Times New Roman"/>
        </w:rPr>
        <w:t xml:space="preserve">NPC and GC cells treated with </w:t>
      </w:r>
      <w:r w:rsidRPr="00FA2F36">
        <w:rPr>
          <w:rFonts w:ascii="Times New Roman" w:hAnsi="Times New Roman" w:cs="Times New Roman" w:hint="eastAsia"/>
        </w:rPr>
        <w:t>resveratrol</w:t>
      </w:r>
      <w:r w:rsidRPr="00FA2F36">
        <w:rPr>
          <w:rFonts w:ascii="Times New Roman" w:hAnsi="Times New Roman" w:cs="Times New Roman"/>
        </w:rPr>
        <w:t xml:space="preserve"> (80 µM) for 24 hours.</w:t>
      </w:r>
      <w:r>
        <w:rPr>
          <w:rFonts w:ascii="Times New Roman" w:hAnsi="Times New Roman" w:cs="Times New Roman"/>
        </w:rPr>
        <w:t xml:space="preserve"> </w:t>
      </w:r>
    </w:p>
    <w:p w14:paraId="724B8B3E" w14:textId="77777777" w:rsidR="00CD1162" w:rsidRDefault="00CD1162" w:rsidP="00CD1162">
      <w:pPr>
        <w:jc w:val="left"/>
        <w:rPr>
          <w:rFonts w:ascii="Times New Roman" w:hAnsi="Times New Roman" w:cs="Times New Roman"/>
        </w:rPr>
      </w:pPr>
    </w:p>
    <w:p w14:paraId="39228D4D" w14:textId="245DD8F1" w:rsidR="007364B0" w:rsidRPr="007C0722" w:rsidRDefault="007364B0" w:rsidP="00CD1162">
      <w:pPr>
        <w:jc w:val="left"/>
        <w:rPr>
          <w:rFonts w:ascii="Times New Roman" w:hAnsi="Times New Roman" w:cs="Times New Roman" w:hint="eastAsia"/>
        </w:rPr>
      </w:pPr>
      <w:r>
        <w:rPr>
          <w:rFonts w:ascii="Times New Roman" w:hAnsi="Times New Roman" w:cs="Times New Roman" w:hint="eastAsia"/>
          <w:noProof/>
        </w:rPr>
        <w:lastRenderedPageBreak/>
        <w:drawing>
          <wp:inline distT="0" distB="0" distL="0" distR="0" wp14:anchorId="3F585A69" wp14:editId="759977B2">
            <wp:extent cx="5274310" cy="5918200"/>
            <wp:effectExtent l="0" t="0" r="2540" b="6350"/>
            <wp:docPr id="53261405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614053" name="图片 532614053"/>
                    <pic:cNvPicPr/>
                  </pic:nvPicPr>
                  <pic:blipFill rotWithShape="1">
                    <a:blip r:embed="rId5" cstate="print">
                      <a:extLst>
                        <a:ext uri="{28A0092B-C50C-407E-A947-70E740481C1C}">
                          <a14:useLocalDpi xmlns:a14="http://schemas.microsoft.com/office/drawing/2010/main" val="0"/>
                        </a:ext>
                      </a:extLst>
                    </a:blip>
                    <a:srcRect b="20674"/>
                    <a:stretch/>
                  </pic:blipFill>
                  <pic:spPr bwMode="auto">
                    <a:xfrm>
                      <a:off x="0" y="0"/>
                      <a:ext cx="5274310" cy="5918200"/>
                    </a:xfrm>
                    <a:prstGeom prst="rect">
                      <a:avLst/>
                    </a:prstGeom>
                    <a:ln>
                      <a:noFill/>
                    </a:ln>
                    <a:extLst>
                      <a:ext uri="{53640926-AAD7-44D8-BBD7-CCE9431645EC}">
                        <a14:shadowObscured xmlns:a14="http://schemas.microsoft.com/office/drawing/2010/main"/>
                      </a:ext>
                    </a:extLst>
                  </pic:spPr>
                </pic:pic>
              </a:graphicData>
            </a:graphic>
          </wp:inline>
        </w:drawing>
      </w:r>
    </w:p>
    <w:p w14:paraId="5729B1AC" w14:textId="77777777" w:rsidR="00CD1162" w:rsidRDefault="00CD1162" w:rsidP="00CD1162">
      <w:pPr>
        <w:rPr>
          <w:rFonts w:ascii="Times New Roman" w:hAnsi="Times New Roman" w:cs="Times New Roman"/>
        </w:rPr>
      </w:pPr>
      <w:r w:rsidRPr="00310978">
        <w:rPr>
          <w:rFonts w:ascii="Times New Roman" w:hAnsi="Times New Roman" w:cs="Times New Roman" w:hint="eastAsia"/>
        </w:rPr>
        <w:t>Supplementary</w:t>
      </w:r>
      <w:r w:rsidRPr="00FA2F36">
        <w:rPr>
          <w:rFonts w:ascii="Times New Roman" w:hAnsi="Times New Roman" w:cs="Times New Roman"/>
        </w:rPr>
        <w:t xml:space="preserve"> </w:t>
      </w:r>
      <w:r>
        <w:rPr>
          <w:rFonts w:ascii="Times New Roman" w:hAnsi="Times New Roman" w:cs="Times New Roman"/>
        </w:rPr>
        <w:t>Figure</w:t>
      </w:r>
      <w:r>
        <w:rPr>
          <w:rFonts w:ascii="Times New Roman" w:hAnsi="Times New Roman" w:cs="Times New Roman" w:hint="eastAsia"/>
        </w:rPr>
        <w:t>_2</w:t>
      </w:r>
      <w:r w:rsidRPr="00FA2F36">
        <w:rPr>
          <w:rFonts w:ascii="Times New Roman" w:hAnsi="Times New Roman" w:cs="Times New Roman"/>
        </w:rPr>
        <w:t xml:space="preserve">. (A) Flow cytometry analysis of ROS in </w:t>
      </w:r>
      <w:r w:rsidRPr="00FA2F36">
        <w:rPr>
          <w:rFonts w:ascii="Times New Roman" w:hAnsi="Times New Roman" w:cs="Times New Roman" w:hint="eastAsia"/>
        </w:rPr>
        <w:t xml:space="preserve">EBV/LMP1-positive </w:t>
      </w:r>
      <w:r w:rsidRPr="00FA2F36">
        <w:rPr>
          <w:rFonts w:ascii="Times New Roman" w:hAnsi="Times New Roman" w:cs="Times New Roman"/>
        </w:rPr>
        <w:t xml:space="preserve">NPC and GC cells treated with </w:t>
      </w:r>
      <w:r w:rsidRPr="00FA2F36">
        <w:rPr>
          <w:rFonts w:ascii="Times New Roman" w:hAnsi="Times New Roman" w:cs="Times New Roman" w:hint="eastAsia"/>
        </w:rPr>
        <w:t>resveratrol</w:t>
      </w:r>
      <w:r w:rsidRPr="00FA2F36">
        <w:rPr>
          <w:rFonts w:ascii="Times New Roman" w:hAnsi="Times New Roman" w:cs="Times New Roman"/>
        </w:rPr>
        <w:t xml:space="preserve"> (80 µM) for 24 hours</w:t>
      </w:r>
      <w:r w:rsidRPr="00FA2F36">
        <w:rPr>
          <w:rFonts w:ascii="Times New Roman" w:hAnsi="Times New Roman" w:cs="Times New Roman" w:hint="eastAsia"/>
        </w:rPr>
        <w:t xml:space="preserve"> </w:t>
      </w:r>
      <w:r w:rsidRPr="00FA2F36">
        <w:rPr>
          <w:rFonts w:ascii="Times New Roman" w:hAnsi="Times New Roman" w:cs="Times New Roman"/>
        </w:rPr>
        <w:t>(</w:t>
      </w:r>
      <w:r w:rsidRPr="00FA2F36">
        <w:rPr>
          <w:rFonts w:ascii="Times New Roman" w:hAnsi="Times New Roman" w:cs="Times New Roman" w:hint="eastAsia"/>
        </w:rPr>
        <w:t xml:space="preserve">n=3; </w:t>
      </w:r>
      <w:r w:rsidRPr="00FA2F36">
        <w:rPr>
          <w:rFonts w:ascii="Times New Roman" w:hAnsi="Times New Roman" w:cs="Times New Roman"/>
        </w:rPr>
        <w:t>***</w:t>
      </w:r>
      <w:r w:rsidRPr="00FA2F36">
        <w:rPr>
          <w:rFonts w:ascii="Times New Roman" w:hAnsi="Times New Roman" w:cs="Times New Roman" w:hint="eastAsia"/>
        </w:rPr>
        <w:t xml:space="preserve">, </w:t>
      </w:r>
      <w:r w:rsidRPr="00FA2F36">
        <w:rPr>
          <w:rFonts w:ascii="Times New Roman" w:hAnsi="Times New Roman" w:cs="Times New Roman"/>
        </w:rPr>
        <w:t xml:space="preserve">P &lt; 0.001). (B) NPC and GC cells were treated with NAC (5 mM), </w:t>
      </w:r>
      <w:r w:rsidRPr="00FA2F36">
        <w:rPr>
          <w:rFonts w:ascii="Times New Roman" w:hAnsi="Times New Roman" w:cs="Times New Roman" w:hint="eastAsia"/>
        </w:rPr>
        <w:t>resveratrol</w:t>
      </w:r>
      <w:r w:rsidRPr="00FA2F36">
        <w:rPr>
          <w:rFonts w:ascii="Times New Roman" w:hAnsi="Times New Roman" w:cs="Times New Roman"/>
        </w:rPr>
        <w:t xml:space="preserve"> (80 µM), or a combination of both NAC (5 mM) and </w:t>
      </w:r>
      <w:r w:rsidRPr="00FA2F36">
        <w:rPr>
          <w:rFonts w:ascii="Times New Roman" w:hAnsi="Times New Roman" w:cs="Times New Roman" w:hint="eastAsia"/>
        </w:rPr>
        <w:t>resveratrol</w:t>
      </w:r>
      <w:r w:rsidRPr="00FA2F36">
        <w:rPr>
          <w:rFonts w:ascii="Times New Roman" w:hAnsi="Times New Roman" w:cs="Times New Roman"/>
        </w:rPr>
        <w:t xml:space="preserve"> (80 µM) for 24 hours. Cell viability was then assessed using the CCK-8 assay</w:t>
      </w:r>
      <w:r w:rsidRPr="00FA2F36">
        <w:rPr>
          <w:rFonts w:ascii="Times New Roman" w:hAnsi="Times New Roman" w:cs="Times New Roman" w:hint="eastAsia"/>
        </w:rPr>
        <w:t xml:space="preserve"> </w:t>
      </w:r>
      <w:r w:rsidRPr="00FA2F36">
        <w:rPr>
          <w:rFonts w:ascii="Times New Roman" w:hAnsi="Times New Roman" w:cs="Times New Roman"/>
        </w:rPr>
        <w:t>(</w:t>
      </w:r>
      <w:r w:rsidRPr="00FA2F36">
        <w:rPr>
          <w:rFonts w:ascii="Times New Roman" w:hAnsi="Times New Roman" w:cs="Times New Roman" w:hint="eastAsia"/>
        </w:rPr>
        <w:t xml:space="preserve">n=5; </w:t>
      </w:r>
      <w:r w:rsidRPr="00FA2F36">
        <w:rPr>
          <w:rFonts w:ascii="Times New Roman" w:hAnsi="Times New Roman" w:cs="Times New Roman"/>
        </w:rPr>
        <w:t>N</w:t>
      </w:r>
      <w:r w:rsidRPr="00FA2F36">
        <w:rPr>
          <w:rFonts w:ascii="Times New Roman" w:hAnsi="Times New Roman" w:cs="Times New Roman" w:hint="eastAsia"/>
        </w:rPr>
        <w:t xml:space="preserve">S, </w:t>
      </w:r>
      <w:r w:rsidRPr="00FA2F36">
        <w:rPr>
          <w:rFonts w:ascii="Times New Roman" w:hAnsi="Times New Roman" w:cs="Times New Roman"/>
        </w:rPr>
        <w:t>＞</w:t>
      </w:r>
      <w:r w:rsidRPr="00FA2F36">
        <w:rPr>
          <w:rFonts w:ascii="Times New Roman" w:hAnsi="Times New Roman" w:cs="Times New Roman"/>
        </w:rPr>
        <w:t>0.05; *</w:t>
      </w:r>
      <w:r w:rsidRPr="00FA2F36">
        <w:rPr>
          <w:rFonts w:ascii="Times New Roman" w:hAnsi="Times New Roman" w:cs="Times New Roman" w:hint="eastAsia"/>
        </w:rPr>
        <w:t xml:space="preserve">, </w:t>
      </w:r>
      <w:r w:rsidRPr="00FA2F36">
        <w:rPr>
          <w:rFonts w:ascii="Times New Roman" w:hAnsi="Times New Roman" w:cs="Times New Roman"/>
        </w:rPr>
        <w:t>P &lt; 0.05; **</w:t>
      </w:r>
      <w:r w:rsidRPr="00FA2F36">
        <w:rPr>
          <w:rFonts w:ascii="Times New Roman" w:hAnsi="Times New Roman" w:cs="Times New Roman" w:hint="eastAsia"/>
        </w:rPr>
        <w:t xml:space="preserve">, </w:t>
      </w:r>
      <w:r w:rsidRPr="00FA2F36">
        <w:rPr>
          <w:rFonts w:ascii="Times New Roman" w:hAnsi="Times New Roman" w:cs="Times New Roman"/>
        </w:rPr>
        <w:t>P &lt; 0.01; ***</w:t>
      </w:r>
      <w:r w:rsidRPr="00FA2F36">
        <w:rPr>
          <w:rFonts w:ascii="Times New Roman" w:hAnsi="Times New Roman" w:cs="Times New Roman" w:hint="eastAsia"/>
        </w:rPr>
        <w:t xml:space="preserve">, </w:t>
      </w:r>
      <w:r w:rsidRPr="00FA2F36">
        <w:rPr>
          <w:rFonts w:ascii="Times New Roman" w:hAnsi="Times New Roman" w:cs="Times New Roman"/>
        </w:rPr>
        <w:t>P &lt; 0.001).</w:t>
      </w:r>
    </w:p>
    <w:p w14:paraId="7591FFE7" w14:textId="77777777" w:rsidR="00CD1162" w:rsidRDefault="00CD1162" w:rsidP="00CD1162">
      <w:pPr>
        <w:rPr>
          <w:rFonts w:ascii="Times New Roman" w:hAnsi="Times New Roman" w:cs="Times New Roman"/>
        </w:rPr>
      </w:pPr>
    </w:p>
    <w:p w14:paraId="7D133ABF" w14:textId="2638FDC4" w:rsidR="00CD1162" w:rsidRDefault="007364B0" w:rsidP="00CD1162">
      <w:pPr>
        <w:rPr>
          <w:rFonts w:ascii="Times New Roman" w:hAnsi="Times New Roman" w:cs="Times New Roman"/>
        </w:rPr>
      </w:pPr>
      <w:r>
        <w:rPr>
          <w:rFonts w:ascii="Times New Roman" w:hAnsi="Times New Roman" w:cs="Times New Roman" w:hint="eastAsia"/>
          <w:noProof/>
        </w:rPr>
        <w:lastRenderedPageBreak/>
        <w:drawing>
          <wp:inline distT="0" distB="0" distL="0" distR="0" wp14:anchorId="736C0A23" wp14:editId="273F6036">
            <wp:extent cx="5274310" cy="7460615"/>
            <wp:effectExtent l="0" t="0" r="2540" b="6985"/>
            <wp:docPr id="41628693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286933" name="图片 416286933"/>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7460615"/>
                    </a:xfrm>
                    <a:prstGeom prst="rect">
                      <a:avLst/>
                    </a:prstGeom>
                  </pic:spPr>
                </pic:pic>
              </a:graphicData>
            </a:graphic>
          </wp:inline>
        </w:drawing>
      </w:r>
      <w:r w:rsidR="00CD1162" w:rsidRPr="00310978">
        <w:rPr>
          <w:rFonts w:ascii="Times New Roman" w:hAnsi="Times New Roman" w:cs="Times New Roman" w:hint="eastAsia"/>
        </w:rPr>
        <w:t>Supplementary</w:t>
      </w:r>
      <w:r w:rsidR="00CD1162" w:rsidRPr="00FA2F36">
        <w:rPr>
          <w:rFonts w:ascii="Times New Roman" w:hAnsi="Times New Roman" w:cs="Times New Roman"/>
        </w:rPr>
        <w:t xml:space="preserve"> </w:t>
      </w:r>
      <w:r w:rsidR="00CD1162">
        <w:rPr>
          <w:rFonts w:ascii="Times New Roman" w:hAnsi="Times New Roman" w:cs="Times New Roman"/>
        </w:rPr>
        <w:t>Figure</w:t>
      </w:r>
      <w:r w:rsidR="00CD1162">
        <w:rPr>
          <w:rFonts w:ascii="Times New Roman" w:hAnsi="Times New Roman" w:cs="Times New Roman" w:hint="eastAsia"/>
        </w:rPr>
        <w:t>_3</w:t>
      </w:r>
      <w:r w:rsidR="00CD1162" w:rsidRPr="00FA2F36">
        <w:rPr>
          <w:rFonts w:ascii="Times New Roman" w:hAnsi="Times New Roman" w:cs="Times New Roman"/>
        </w:rPr>
        <w:t>. (A) Comparative analysis of MMP2, BCL2, CA2, and PTGS2 expression in HNS</w:t>
      </w:r>
      <w:r w:rsidR="00CD1162" w:rsidRPr="00FA2F36">
        <w:rPr>
          <w:rFonts w:ascii="Times New Roman" w:hAnsi="Times New Roman" w:cs="Times New Roman" w:hint="eastAsia"/>
        </w:rPr>
        <w:t>C</w:t>
      </w:r>
      <w:r w:rsidR="00CD1162" w:rsidRPr="00FA2F36">
        <w:rPr>
          <w:rFonts w:ascii="Times New Roman" w:hAnsi="Times New Roman" w:cs="Times New Roman"/>
        </w:rPr>
        <w:t>C and GC patients from TCGA database</w:t>
      </w:r>
      <w:r w:rsidR="00CD1162" w:rsidRPr="00FA2F36">
        <w:rPr>
          <w:rFonts w:ascii="Times New Roman" w:hAnsi="Times New Roman" w:cs="Times New Roman" w:hint="eastAsia"/>
        </w:rPr>
        <w:t xml:space="preserve"> (TCGA-HNSCC dataset: Normal=44, Tumor=520; TCGA-GC dataset: Normal=36, Tumor=414; </w:t>
      </w:r>
      <w:r w:rsidR="00CD1162" w:rsidRPr="00FA2F36">
        <w:rPr>
          <w:rFonts w:ascii="Times New Roman" w:hAnsi="Times New Roman" w:cs="Times New Roman"/>
        </w:rPr>
        <w:t>NS</w:t>
      </w:r>
      <w:r w:rsidR="00CD1162" w:rsidRPr="00FA2F36">
        <w:rPr>
          <w:rFonts w:ascii="Times New Roman" w:hAnsi="Times New Roman" w:cs="Times New Roman" w:hint="eastAsia"/>
        </w:rPr>
        <w:t xml:space="preserve">, </w:t>
      </w:r>
      <w:r w:rsidR="00CD1162" w:rsidRPr="00FA2F36">
        <w:rPr>
          <w:rFonts w:ascii="Times New Roman" w:hAnsi="Times New Roman" w:cs="Times New Roman"/>
        </w:rPr>
        <w:t>＞</w:t>
      </w:r>
      <w:r w:rsidR="00CD1162" w:rsidRPr="00FA2F36">
        <w:rPr>
          <w:rFonts w:ascii="Times New Roman" w:hAnsi="Times New Roman" w:cs="Times New Roman"/>
        </w:rPr>
        <w:t>0.05; *</w:t>
      </w:r>
      <w:r w:rsidR="00CD1162" w:rsidRPr="00FA2F36">
        <w:rPr>
          <w:rFonts w:ascii="Times New Roman" w:hAnsi="Times New Roman" w:cs="Times New Roman" w:hint="eastAsia"/>
        </w:rPr>
        <w:t xml:space="preserve">, </w:t>
      </w:r>
      <w:r w:rsidR="00CD1162" w:rsidRPr="00FA2F36">
        <w:rPr>
          <w:rFonts w:ascii="Times New Roman" w:hAnsi="Times New Roman" w:cs="Times New Roman"/>
        </w:rPr>
        <w:t>P &lt; 0.05; **</w:t>
      </w:r>
      <w:r w:rsidR="00CD1162" w:rsidRPr="00FA2F36">
        <w:rPr>
          <w:rFonts w:ascii="Times New Roman" w:hAnsi="Times New Roman" w:cs="Times New Roman" w:hint="eastAsia"/>
        </w:rPr>
        <w:t xml:space="preserve">, </w:t>
      </w:r>
      <w:r w:rsidR="00CD1162" w:rsidRPr="00FA2F36">
        <w:rPr>
          <w:rFonts w:ascii="Times New Roman" w:hAnsi="Times New Roman" w:cs="Times New Roman"/>
        </w:rPr>
        <w:t>P &lt; 0.01; ***</w:t>
      </w:r>
      <w:r w:rsidR="00CD1162" w:rsidRPr="00FA2F36">
        <w:rPr>
          <w:rFonts w:ascii="Times New Roman" w:hAnsi="Times New Roman" w:cs="Times New Roman" w:hint="eastAsia"/>
        </w:rPr>
        <w:t xml:space="preserve">, </w:t>
      </w:r>
      <w:r w:rsidR="00CD1162" w:rsidRPr="00FA2F36">
        <w:rPr>
          <w:rFonts w:ascii="Times New Roman" w:hAnsi="Times New Roman" w:cs="Times New Roman"/>
        </w:rPr>
        <w:t>P &lt; 0.001). (B) Analysis of MMP2, BCL2, CA2, and PTGS2 expression using the GEO database (</w:t>
      </w:r>
      <w:bookmarkStart w:id="0" w:name="_Hlk184927747"/>
      <w:r w:rsidR="00CD1162" w:rsidRPr="00FA2F36">
        <w:rPr>
          <w:rFonts w:ascii="Times New Roman" w:hAnsi="Times New Roman" w:cs="Times New Roman"/>
        </w:rPr>
        <w:t>GSE178537: Head and neck squamous cell carcinoma samples,</w:t>
      </w:r>
      <w:r w:rsidR="00CD1162" w:rsidRPr="00FA2F36">
        <w:rPr>
          <w:rFonts w:hint="eastAsia"/>
        </w:rPr>
        <w:t xml:space="preserve"> </w:t>
      </w:r>
      <w:r w:rsidR="00CD1162" w:rsidRPr="00FA2F36">
        <w:rPr>
          <w:rFonts w:ascii="Times New Roman" w:hAnsi="Times New Roman" w:cs="Times New Roman" w:hint="eastAsia"/>
        </w:rPr>
        <w:t>Normal=21, Tumor=44;</w:t>
      </w:r>
      <w:r w:rsidR="00CD1162" w:rsidRPr="00FA2F36">
        <w:rPr>
          <w:rFonts w:ascii="Times New Roman" w:hAnsi="Times New Roman" w:cs="Times New Roman"/>
        </w:rPr>
        <w:t xml:space="preserve"> GSE66229: Gastric cancer samples</w:t>
      </w:r>
      <w:r w:rsidR="00CD1162" w:rsidRPr="00FA2F36">
        <w:rPr>
          <w:rFonts w:hint="eastAsia"/>
        </w:rPr>
        <w:t xml:space="preserve">, </w:t>
      </w:r>
      <w:r w:rsidR="00CD1162" w:rsidRPr="00FA2F36">
        <w:rPr>
          <w:rFonts w:ascii="Times New Roman" w:hAnsi="Times New Roman" w:cs="Times New Roman"/>
        </w:rPr>
        <w:t xml:space="preserve">Normal=100, Tumor=300; NS, </w:t>
      </w:r>
      <w:r w:rsidR="00CD1162" w:rsidRPr="00FA2F36">
        <w:rPr>
          <w:rFonts w:ascii="Times New Roman" w:hAnsi="Times New Roman" w:cs="Times New Roman"/>
        </w:rPr>
        <w:t>＞</w:t>
      </w:r>
      <w:r w:rsidR="00CD1162" w:rsidRPr="00FA2F36">
        <w:rPr>
          <w:rFonts w:ascii="Times New Roman" w:hAnsi="Times New Roman" w:cs="Times New Roman"/>
        </w:rPr>
        <w:t>0.05; **, P &lt; 0.01; ***, P &lt; 0.001</w:t>
      </w:r>
      <w:bookmarkEnd w:id="0"/>
      <w:r w:rsidR="00CD1162" w:rsidRPr="00FA2F36">
        <w:rPr>
          <w:rFonts w:ascii="Times New Roman" w:hAnsi="Times New Roman" w:cs="Times New Roman"/>
        </w:rPr>
        <w:t>)</w:t>
      </w:r>
      <w:bookmarkStart w:id="1" w:name="OLE_LINK9"/>
      <w:r w:rsidR="00CD1162" w:rsidRPr="00FA2F36">
        <w:rPr>
          <w:rFonts w:hint="eastAsia"/>
        </w:rPr>
        <w:t xml:space="preserve">. </w:t>
      </w:r>
      <w:r w:rsidR="00CD1162" w:rsidRPr="00FA2F36">
        <w:rPr>
          <w:rFonts w:ascii="Times New Roman" w:hAnsi="Times New Roman" w:cs="Times New Roman" w:hint="eastAsia"/>
        </w:rPr>
        <w:t xml:space="preserve">(C) </w:t>
      </w:r>
      <w:bookmarkEnd w:id="1"/>
      <w:r w:rsidR="00CD1162" w:rsidRPr="00FA2F36">
        <w:rPr>
          <w:rFonts w:ascii="Times New Roman" w:hAnsi="Times New Roman" w:cs="Times New Roman" w:hint="eastAsia"/>
        </w:rPr>
        <w:t>Kaplan</w:t>
      </w:r>
      <w:r w:rsidR="00CD1162" w:rsidRPr="00FA2F36">
        <w:rPr>
          <w:rFonts w:ascii="Times New Roman" w:hAnsi="Times New Roman" w:cs="Times New Roman" w:hint="eastAsia"/>
        </w:rPr>
        <w:t>–</w:t>
      </w:r>
      <w:r w:rsidR="00CD1162" w:rsidRPr="00FA2F36">
        <w:rPr>
          <w:rFonts w:ascii="Times New Roman" w:hAnsi="Times New Roman" w:cs="Times New Roman" w:hint="eastAsia"/>
        </w:rPr>
        <w:lastRenderedPageBreak/>
        <w:t>Meier curve showing the overall survival probability of HNSCC patients from the TCGA database with low or high mRNA levels of MMP9. (D) The optimal structural conformation of PTPN1 (Purple) and the ligand resveratrol (Pink). docking score= -4.89.</w:t>
      </w:r>
    </w:p>
    <w:p w14:paraId="54CC2853" w14:textId="78F4D188" w:rsidR="00CD1162" w:rsidRDefault="007364B0" w:rsidP="00CD1162">
      <w:pPr>
        <w:rPr>
          <w:rFonts w:ascii="Times New Roman" w:hAnsi="Times New Roman" w:cs="Times New Roman"/>
        </w:rPr>
      </w:pPr>
      <w:r>
        <w:rPr>
          <w:rFonts w:ascii="Times New Roman" w:hAnsi="Times New Roman" w:cs="Times New Roman"/>
          <w:noProof/>
        </w:rPr>
        <w:drawing>
          <wp:inline distT="0" distB="0" distL="0" distR="0" wp14:anchorId="3F46C627" wp14:editId="6765C689">
            <wp:extent cx="5274310" cy="4451350"/>
            <wp:effectExtent l="0" t="0" r="2540" b="6350"/>
            <wp:docPr id="10102422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242217" name="图片 1010242217"/>
                    <pic:cNvPicPr/>
                  </pic:nvPicPr>
                  <pic:blipFill rotWithShape="1">
                    <a:blip r:embed="rId7" cstate="print">
                      <a:extLst>
                        <a:ext uri="{28A0092B-C50C-407E-A947-70E740481C1C}">
                          <a14:useLocalDpi xmlns:a14="http://schemas.microsoft.com/office/drawing/2010/main" val="0"/>
                        </a:ext>
                      </a:extLst>
                    </a:blip>
                    <a:srcRect b="40335"/>
                    <a:stretch/>
                  </pic:blipFill>
                  <pic:spPr bwMode="auto">
                    <a:xfrm>
                      <a:off x="0" y="0"/>
                      <a:ext cx="5274310" cy="4451350"/>
                    </a:xfrm>
                    <a:prstGeom prst="rect">
                      <a:avLst/>
                    </a:prstGeom>
                    <a:ln>
                      <a:noFill/>
                    </a:ln>
                    <a:extLst>
                      <a:ext uri="{53640926-AAD7-44D8-BBD7-CCE9431645EC}">
                        <a14:shadowObscured xmlns:a14="http://schemas.microsoft.com/office/drawing/2010/main"/>
                      </a:ext>
                    </a:extLst>
                  </pic:spPr>
                </pic:pic>
              </a:graphicData>
            </a:graphic>
          </wp:inline>
        </w:drawing>
      </w:r>
      <w:r w:rsidR="00CD1162" w:rsidRPr="00310978">
        <w:rPr>
          <w:rFonts w:ascii="Times New Roman" w:hAnsi="Times New Roman" w:cs="Times New Roman" w:hint="eastAsia"/>
        </w:rPr>
        <w:t>Supplementary</w:t>
      </w:r>
      <w:r w:rsidR="00CD1162" w:rsidRPr="00FA2F36">
        <w:rPr>
          <w:rFonts w:ascii="Times New Roman" w:hAnsi="Times New Roman" w:cs="Times New Roman"/>
        </w:rPr>
        <w:t xml:space="preserve"> </w:t>
      </w:r>
      <w:r w:rsidR="00CD1162">
        <w:rPr>
          <w:rFonts w:ascii="Times New Roman" w:hAnsi="Times New Roman" w:cs="Times New Roman"/>
        </w:rPr>
        <w:t>Figure</w:t>
      </w:r>
      <w:r w:rsidR="00CD1162">
        <w:rPr>
          <w:rFonts w:ascii="Times New Roman" w:hAnsi="Times New Roman" w:cs="Times New Roman" w:hint="eastAsia"/>
        </w:rPr>
        <w:t>_4</w:t>
      </w:r>
      <w:r w:rsidR="00CD1162" w:rsidRPr="00FA2F36">
        <w:rPr>
          <w:rFonts w:ascii="Times New Roman" w:hAnsi="Times New Roman" w:cs="Times New Roman"/>
        </w:rPr>
        <w:t>.</w:t>
      </w:r>
      <w:r w:rsidR="00CD1162" w:rsidRPr="00FA2F36">
        <w:rPr>
          <w:rFonts w:ascii="Times New Roman" w:hAnsi="Times New Roman" w:cs="Times New Roman" w:hint="eastAsia"/>
        </w:rPr>
        <w:t xml:space="preserve"> (A) EBV/LMP1-positive </w:t>
      </w:r>
      <w:r w:rsidR="00CD1162" w:rsidRPr="00FA2F36">
        <w:rPr>
          <w:rFonts w:ascii="Times New Roman" w:hAnsi="Times New Roman" w:cs="Times New Roman"/>
        </w:rPr>
        <w:t xml:space="preserve">NPC and GC cells treated with </w:t>
      </w:r>
      <w:r w:rsidR="00CD1162" w:rsidRPr="00FA2F36">
        <w:rPr>
          <w:rFonts w:ascii="Times New Roman" w:hAnsi="Times New Roman" w:cs="Times New Roman" w:hint="eastAsia"/>
        </w:rPr>
        <w:t>resveratrol</w:t>
      </w:r>
      <w:r w:rsidR="00CD1162" w:rsidRPr="00FA2F36">
        <w:rPr>
          <w:rFonts w:ascii="Times New Roman" w:hAnsi="Times New Roman" w:cs="Times New Roman"/>
        </w:rPr>
        <w:t xml:space="preserve"> (80 µM) for 24 hours were analyzed by qPCR to detect mRNA expression levels of IFN-α, IFN-β, and IL-6 (</w:t>
      </w:r>
      <w:r w:rsidR="00CD1162" w:rsidRPr="00FA2F36">
        <w:rPr>
          <w:rFonts w:ascii="Times New Roman" w:hAnsi="Times New Roman" w:cs="Times New Roman" w:hint="eastAsia"/>
        </w:rPr>
        <w:t xml:space="preserve">n=3, </w:t>
      </w:r>
      <w:r w:rsidR="00CD1162" w:rsidRPr="00FA2F36">
        <w:rPr>
          <w:rFonts w:ascii="Times New Roman" w:hAnsi="Times New Roman" w:cs="Times New Roman"/>
        </w:rPr>
        <w:t>*</w:t>
      </w:r>
      <w:r w:rsidR="00CD1162" w:rsidRPr="00FA2F36">
        <w:rPr>
          <w:rFonts w:ascii="Times New Roman" w:hAnsi="Times New Roman" w:cs="Times New Roman" w:hint="eastAsia"/>
        </w:rPr>
        <w:t xml:space="preserve">, </w:t>
      </w:r>
      <w:r w:rsidR="00CD1162" w:rsidRPr="00FA2F36">
        <w:rPr>
          <w:rFonts w:ascii="Times New Roman" w:hAnsi="Times New Roman" w:cs="Times New Roman"/>
        </w:rPr>
        <w:t>P &lt; 0.05; **</w:t>
      </w:r>
      <w:r w:rsidR="00CD1162" w:rsidRPr="00FA2F36">
        <w:rPr>
          <w:rFonts w:ascii="Times New Roman" w:hAnsi="Times New Roman" w:cs="Times New Roman" w:hint="eastAsia"/>
        </w:rPr>
        <w:t xml:space="preserve">, </w:t>
      </w:r>
      <w:r w:rsidR="00CD1162" w:rsidRPr="00FA2F36">
        <w:rPr>
          <w:rFonts w:ascii="Times New Roman" w:hAnsi="Times New Roman" w:cs="Times New Roman"/>
        </w:rPr>
        <w:t>P &lt; 0.01; ***</w:t>
      </w:r>
      <w:r w:rsidR="00CD1162" w:rsidRPr="00FA2F36">
        <w:rPr>
          <w:rFonts w:ascii="Times New Roman" w:hAnsi="Times New Roman" w:cs="Times New Roman" w:hint="eastAsia"/>
        </w:rPr>
        <w:t xml:space="preserve">, </w:t>
      </w:r>
      <w:r w:rsidR="00CD1162" w:rsidRPr="00FA2F36">
        <w:rPr>
          <w:rFonts w:ascii="Times New Roman" w:hAnsi="Times New Roman" w:cs="Times New Roman"/>
        </w:rPr>
        <w:t>P &lt; 0.001).</w:t>
      </w:r>
      <w:r w:rsidR="00CD1162" w:rsidRPr="00FA2F36">
        <w:rPr>
          <w:rFonts w:ascii="Times New Roman" w:hAnsi="Times New Roman" w:cs="Times New Roman" w:hint="eastAsia"/>
        </w:rPr>
        <w:t xml:space="preserve"> (B) The mouse weight curve of the different treatment groups (n=5).</w:t>
      </w:r>
    </w:p>
    <w:p w14:paraId="755AA431" w14:textId="77777777" w:rsidR="00144A6D" w:rsidRDefault="00144A6D" w:rsidP="00CD1162">
      <w:pPr>
        <w:rPr>
          <w:rFonts w:ascii="Times New Roman" w:hAnsi="Times New Roman" w:cs="Times New Roman"/>
        </w:rPr>
      </w:pPr>
    </w:p>
    <w:p w14:paraId="618076F4" w14:textId="77777777" w:rsidR="00144A6D" w:rsidRDefault="00144A6D" w:rsidP="00CD1162">
      <w:pPr>
        <w:rPr>
          <w:rFonts w:ascii="Times New Roman" w:hAnsi="Times New Roman" w:cs="Times New Roman"/>
        </w:rPr>
      </w:pPr>
    </w:p>
    <w:p w14:paraId="43DA250D" w14:textId="77777777" w:rsidR="00144A6D" w:rsidRDefault="00144A6D" w:rsidP="00CD1162">
      <w:pPr>
        <w:rPr>
          <w:rFonts w:ascii="Times New Roman" w:hAnsi="Times New Roman" w:cs="Times New Roman"/>
        </w:rPr>
      </w:pPr>
    </w:p>
    <w:p w14:paraId="0E71455C" w14:textId="77777777" w:rsidR="00144A6D" w:rsidRDefault="00144A6D" w:rsidP="00CD1162">
      <w:pPr>
        <w:rPr>
          <w:rFonts w:ascii="Times New Roman" w:hAnsi="Times New Roman" w:cs="Times New Roman"/>
        </w:rPr>
      </w:pPr>
    </w:p>
    <w:p w14:paraId="5760BC55" w14:textId="77777777" w:rsidR="00144A6D" w:rsidRDefault="00144A6D" w:rsidP="00CD1162">
      <w:pPr>
        <w:rPr>
          <w:rFonts w:ascii="Times New Roman" w:hAnsi="Times New Roman" w:cs="Times New Roman"/>
        </w:rPr>
      </w:pPr>
    </w:p>
    <w:p w14:paraId="0C6B7C82" w14:textId="77777777" w:rsidR="00144A6D" w:rsidRDefault="00144A6D" w:rsidP="00CD1162">
      <w:pPr>
        <w:rPr>
          <w:rFonts w:ascii="Times New Roman" w:hAnsi="Times New Roman" w:cs="Times New Roman"/>
        </w:rPr>
      </w:pPr>
    </w:p>
    <w:p w14:paraId="5A18CE85" w14:textId="77777777" w:rsidR="00144A6D" w:rsidRDefault="00144A6D" w:rsidP="00CD1162">
      <w:pPr>
        <w:rPr>
          <w:rFonts w:ascii="Times New Roman" w:hAnsi="Times New Roman" w:cs="Times New Roman"/>
        </w:rPr>
      </w:pPr>
    </w:p>
    <w:p w14:paraId="160CB5BF" w14:textId="77777777" w:rsidR="00144A6D" w:rsidRDefault="00144A6D" w:rsidP="00CD1162">
      <w:pPr>
        <w:rPr>
          <w:rFonts w:ascii="Times New Roman" w:hAnsi="Times New Roman" w:cs="Times New Roman"/>
        </w:rPr>
      </w:pPr>
    </w:p>
    <w:p w14:paraId="581D3546" w14:textId="77777777" w:rsidR="00144A6D" w:rsidRDefault="00144A6D" w:rsidP="00CD1162">
      <w:pPr>
        <w:rPr>
          <w:rFonts w:ascii="Times New Roman" w:hAnsi="Times New Roman" w:cs="Times New Roman"/>
        </w:rPr>
      </w:pPr>
    </w:p>
    <w:p w14:paraId="36F26504" w14:textId="77777777" w:rsidR="00144A6D" w:rsidRDefault="00144A6D" w:rsidP="00CD1162">
      <w:pPr>
        <w:rPr>
          <w:rFonts w:ascii="Times New Roman" w:hAnsi="Times New Roman" w:cs="Times New Roman"/>
        </w:rPr>
      </w:pPr>
    </w:p>
    <w:p w14:paraId="63481366" w14:textId="77777777" w:rsidR="00144A6D" w:rsidRDefault="00144A6D" w:rsidP="00CD1162">
      <w:pPr>
        <w:rPr>
          <w:rFonts w:ascii="Times New Roman" w:hAnsi="Times New Roman" w:cs="Times New Roman"/>
        </w:rPr>
      </w:pPr>
    </w:p>
    <w:p w14:paraId="78A12165" w14:textId="77777777" w:rsidR="00144A6D" w:rsidRDefault="00144A6D" w:rsidP="00CD1162">
      <w:pPr>
        <w:rPr>
          <w:rFonts w:ascii="Times New Roman" w:hAnsi="Times New Roman" w:cs="Times New Roman"/>
        </w:rPr>
      </w:pPr>
    </w:p>
    <w:p w14:paraId="6A1FFF49" w14:textId="77777777" w:rsidR="00144A6D" w:rsidRDefault="00144A6D" w:rsidP="00CD1162">
      <w:pPr>
        <w:rPr>
          <w:rFonts w:ascii="Times New Roman" w:hAnsi="Times New Roman" w:cs="Times New Roman"/>
        </w:rPr>
      </w:pPr>
    </w:p>
    <w:p w14:paraId="3946A747" w14:textId="77777777" w:rsidR="007364B0" w:rsidRDefault="007364B0" w:rsidP="00CD1162">
      <w:pPr>
        <w:rPr>
          <w:rFonts w:ascii="Times New Roman" w:hAnsi="Times New Roman" w:cs="Times New Roman" w:hint="eastAsia"/>
        </w:rPr>
      </w:pPr>
    </w:p>
    <w:p w14:paraId="0A76C03F" w14:textId="77777777" w:rsidR="00144A6D" w:rsidRDefault="00144A6D" w:rsidP="00144A6D">
      <w:pPr>
        <w:jc w:val="center"/>
        <w:rPr>
          <w:rFonts w:ascii="Times New Roman" w:hAnsi="Times New Roman" w:cs="Times New Roman"/>
        </w:rPr>
      </w:pPr>
      <w:r>
        <w:rPr>
          <w:rFonts w:ascii="Times New Roman" w:hAnsi="Times New Roman" w:cs="Times New Roman"/>
        </w:rPr>
        <w:lastRenderedPageBreak/>
        <w:t>Supplementary Table 1 Fifty-eight potential medicinal targets</w:t>
      </w:r>
    </w:p>
    <w:tbl>
      <w:tblPr>
        <w:tblW w:w="0" w:type="auto"/>
        <w:tblCellMar>
          <w:left w:w="0" w:type="dxa"/>
          <w:right w:w="0" w:type="dxa"/>
        </w:tblCellMar>
        <w:tblLook w:val="04A0" w:firstRow="1" w:lastRow="0" w:firstColumn="1" w:lastColumn="0" w:noHBand="0" w:noVBand="1"/>
      </w:tblPr>
      <w:tblGrid>
        <w:gridCol w:w="1938"/>
        <w:gridCol w:w="6262"/>
      </w:tblGrid>
      <w:tr w:rsidR="00144A6D" w14:paraId="3D25AB9A" w14:textId="77777777" w:rsidTr="00144A6D">
        <w:tc>
          <w:tcPr>
            <w:tcW w:w="1938" w:type="dxa"/>
            <w:tcBorders>
              <w:top w:val="single" w:sz="8" w:space="0" w:color="000000"/>
              <w:left w:val="single" w:sz="8" w:space="0" w:color="FFFFFF"/>
              <w:bottom w:val="single" w:sz="8" w:space="0" w:color="000000"/>
              <w:right w:val="single" w:sz="8" w:space="0" w:color="FFFFFF"/>
            </w:tcBorders>
            <w:tcMar>
              <w:top w:w="72" w:type="dxa"/>
              <w:left w:w="144" w:type="dxa"/>
              <w:bottom w:w="72" w:type="dxa"/>
              <w:right w:w="144" w:type="dxa"/>
            </w:tcMar>
            <w:vAlign w:val="center"/>
            <w:hideMark/>
          </w:tcPr>
          <w:p w14:paraId="08B9EABC" w14:textId="77777777" w:rsidR="00144A6D" w:rsidRDefault="00144A6D">
            <w:pPr>
              <w:widowControl/>
              <w:snapToGrid w:val="0"/>
              <w:jc w:val="center"/>
              <w:rPr>
                <w:rFonts w:ascii="Times New Roman" w:eastAsia="宋体" w:hAnsi="Times New Roman" w:cs="Times New Roman"/>
                <w:kern w:val="0"/>
                <w:sz w:val="24"/>
                <w:szCs w:val="24"/>
              </w:rPr>
            </w:pPr>
            <w:r>
              <w:rPr>
                <w:rFonts w:ascii="Times New Roman" w:eastAsia="宋体" w:hAnsi="Times New Roman" w:cs="Times New Roman"/>
                <w:b/>
                <w:bCs/>
                <w:color w:val="000000" w:themeColor="text1"/>
                <w:kern w:val="24"/>
                <w:sz w:val="24"/>
                <w:szCs w:val="24"/>
              </w:rPr>
              <w:t>Gene</w:t>
            </w:r>
          </w:p>
        </w:tc>
        <w:tc>
          <w:tcPr>
            <w:tcW w:w="6262" w:type="dxa"/>
            <w:tcBorders>
              <w:top w:val="single" w:sz="8" w:space="0" w:color="000000"/>
              <w:left w:val="single" w:sz="8" w:space="0" w:color="FFFFFF"/>
              <w:bottom w:val="single" w:sz="8" w:space="0" w:color="000000"/>
              <w:right w:val="single" w:sz="8" w:space="0" w:color="FFFFFF"/>
            </w:tcBorders>
            <w:tcMar>
              <w:top w:w="72" w:type="dxa"/>
              <w:left w:w="144" w:type="dxa"/>
              <w:bottom w:w="72" w:type="dxa"/>
              <w:right w:w="144" w:type="dxa"/>
            </w:tcMar>
            <w:vAlign w:val="center"/>
            <w:hideMark/>
          </w:tcPr>
          <w:p w14:paraId="5F6EEA76" w14:textId="77777777" w:rsidR="00144A6D" w:rsidRDefault="00144A6D">
            <w:pPr>
              <w:widowControl/>
              <w:snapToGrid w:val="0"/>
              <w:jc w:val="center"/>
              <w:rPr>
                <w:rFonts w:ascii="Times New Roman" w:eastAsia="宋体" w:hAnsi="Times New Roman" w:cs="Times New Roman"/>
                <w:kern w:val="0"/>
                <w:sz w:val="24"/>
                <w:szCs w:val="24"/>
              </w:rPr>
            </w:pPr>
            <w:r>
              <w:rPr>
                <w:rFonts w:ascii="Times New Roman" w:eastAsia="宋体" w:hAnsi="Times New Roman" w:cs="Times New Roman"/>
                <w:b/>
                <w:bCs/>
                <w:color w:val="000000" w:themeColor="text1"/>
                <w:kern w:val="24"/>
                <w:sz w:val="24"/>
                <w:szCs w:val="24"/>
              </w:rPr>
              <w:t>Proteins</w:t>
            </w:r>
          </w:p>
        </w:tc>
      </w:tr>
      <w:tr w:rsidR="00144A6D" w14:paraId="5352E226" w14:textId="77777777" w:rsidTr="00144A6D">
        <w:tc>
          <w:tcPr>
            <w:tcW w:w="1938" w:type="dxa"/>
            <w:tcBorders>
              <w:top w:val="single" w:sz="8" w:space="0" w:color="000000"/>
              <w:left w:val="single" w:sz="8" w:space="0" w:color="FFFFFF"/>
              <w:bottom w:val="nil"/>
              <w:right w:val="single" w:sz="8" w:space="0" w:color="FFFFFF"/>
            </w:tcBorders>
            <w:tcMar>
              <w:top w:w="72" w:type="dxa"/>
              <w:left w:w="144" w:type="dxa"/>
              <w:bottom w:w="72" w:type="dxa"/>
              <w:right w:w="144" w:type="dxa"/>
            </w:tcMar>
            <w:vAlign w:val="center"/>
            <w:hideMark/>
          </w:tcPr>
          <w:p w14:paraId="6934FAA6"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MMP2</w:t>
            </w:r>
          </w:p>
        </w:tc>
        <w:tc>
          <w:tcPr>
            <w:tcW w:w="6262" w:type="dxa"/>
            <w:tcBorders>
              <w:top w:val="single" w:sz="8" w:space="0" w:color="000000"/>
              <w:left w:val="single" w:sz="8" w:space="0" w:color="FFFFFF"/>
              <w:bottom w:val="nil"/>
              <w:right w:val="single" w:sz="8" w:space="0" w:color="FFFFFF"/>
            </w:tcBorders>
            <w:tcMar>
              <w:top w:w="72" w:type="dxa"/>
              <w:left w:w="144" w:type="dxa"/>
              <w:bottom w:w="72" w:type="dxa"/>
              <w:right w:w="144" w:type="dxa"/>
            </w:tcMar>
            <w:vAlign w:val="center"/>
            <w:hideMark/>
          </w:tcPr>
          <w:p w14:paraId="3080ABFD"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Matrix metallopeptidase 2</w:t>
            </w:r>
          </w:p>
        </w:tc>
      </w:tr>
      <w:tr w:rsidR="00144A6D" w14:paraId="01CF27BB" w14:textId="77777777" w:rsidTr="00144A6D">
        <w:tc>
          <w:tcPr>
            <w:tcW w:w="1938" w:type="dxa"/>
            <w:tcMar>
              <w:top w:w="72" w:type="dxa"/>
              <w:left w:w="144" w:type="dxa"/>
              <w:bottom w:w="72" w:type="dxa"/>
              <w:right w:w="144" w:type="dxa"/>
            </w:tcMar>
            <w:vAlign w:val="center"/>
            <w:hideMark/>
          </w:tcPr>
          <w:p w14:paraId="2DBAB275"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PTPN1</w:t>
            </w:r>
          </w:p>
        </w:tc>
        <w:tc>
          <w:tcPr>
            <w:tcW w:w="6262" w:type="dxa"/>
            <w:tcMar>
              <w:top w:w="72" w:type="dxa"/>
              <w:left w:w="144" w:type="dxa"/>
              <w:bottom w:w="72" w:type="dxa"/>
              <w:right w:w="144" w:type="dxa"/>
            </w:tcMar>
            <w:vAlign w:val="center"/>
            <w:hideMark/>
          </w:tcPr>
          <w:p w14:paraId="6E5D067F"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Protein tyrosine phosphatase non-receptor type 1</w:t>
            </w:r>
          </w:p>
        </w:tc>
      </w:tr>
      <w:tr w:rsidR="00144A6D" w14:paraId="1C4142C3" w14:textId="77777777" w:rsidTr="00144A6D">
        <w:tc>
          <w:tcPr>
            <w:tcW w:w="1938" w:type="dxa"/>
            <w:tcMar>
              <w:top w:w="72" w:type="dxa"/>
              <w:left w:w="144" w:type="dxa"/>
              <w:bottom w:w="72" w:type="dxa"/>
              <w:right w:w="144" w:type="dxa"/>
            </w:tcMar>
            <w:vAlign w:val="center"/>
            <w:hideMark/>
          </w:tcPr>
          <w:p w14:paraId="0333F280"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PTGS2</w:t>
            </w:r>
          </w:p>
        </w:tc>
        <w:tc>
          <w:tcPr>
            <w:tcW w:w="6262" w:type="dxa"/>
            <w:tcMar>
              <w:top w:w="72" w:type="dxa"/>
              <w:left w:w="144" w:type="dxa"/>
              <w:bottom w:w="72" w:type="dxa"/>
              <w:right w:w="144" w:type="dxa"/>
            </w:tcMar>
            <w:vAlign w:val="center"/>
            <w:hideMark/>
          </w:tcPr>
          <w:p w14:paraId="7AEAC981"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Prostaglandin-endoperoxide synthase 2</w:t>
            </w:r>
          </w:p>
        </w:tc>
      </w:tr>
      <w:tr w:rsidR="00144A6D" w14:paraId="57C9B1C9" w14:textId="77777777" w:rsidTr="00144A6D">
        <w:tc>
          <w:tcPr>
            <w:tcW w:w="1938" w:type="dxa"/>
            <w:tcMar>
              <w:top w:w="72" w:type="dxa"/>
              <w:left w:w="144" w:type="dxa"/>
              <w:bottom w:w="72" w:type="dxa"/>
              <w:right w:w="144" w:type="dxa"/>
            </w:tcMar>
            <w:vAlign w:val="center"/>
            <w:hideMark/>
          </w:tcPr>
          <w:p w14:paraId="0EAAEA37"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BCL2</w:t>
            </w:r>
          </w:p>
        </w:tc>
        <w:tc>
          <w:tcPr>
            <w:tcW w:w="6262" w:type="dxa"/>
            <w:tcMar>
              <w:top w:w="72" w:type="dxa"/>
              <w:left w:w="144" w:type="dxa"/>
              <w:bottom w:w="72" w:type="dxa"/>
              <w:right w:w="144" w:type="dxa"/>
            </w:tcMar>
            <w:vAlign w:val="center"/>
            <w:hideMark/>
          </w:tcPr>
          <w:p w14:paraId="4DE7FC5F"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BCL2 apoptosis regulator</w:t>
            </w:r>
          </w:p>
        </w:tc>
      </w:tr>
      <w:tr w:rsidR="00144A6D" w14:paraId="438A4134" w14:textId="77777777" w:rsidTr="00144A6D">
        <w:tc>
          <w:tcPr>
            <w:tcW w:w="1938" w:type="dxa"/>
            <w:tcMar>
              <w:top w:w="72" w:type="dxa"/>
              <w:left w:w="144" w:type="dxa"/>
              <w:bottom w:w="72" w:type="dxa"/>
              <w:right w:w="144" w:type="dxa"/>
            </w:tcMar>
            <w:vAlign w:val="center"/>
            <w:hideMark/>
          </w:tcPr>
          <w:p w14:paraId="6FB64DB9"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CA2</w:t>
            </w:r>
          </w:p>
        </w:tc>
        <w:tc>
          <w:tcPr>
            <w:tcW w:w="6262" w:type="dxa"/>
            <w:tcMar>
              <w:top w:w="72" w:type="dxa"/>
              <w:left w:w="144" w:type="dxa"/>
              <w:bottom w:w="72" w:type="dxa"/>
              <w:right w:w="144" w:type="dxa"/>
            </w:tcMar>
            <w:vAlign w:val="center"/>
            <w:hideMark/>
          </w:tcPr>
          <w:p w14:paraId="3FD0AD04"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Carbonic anhydrase 2</w:t>
            </w:r>
          </w:p>
        </w:tc>
      </w:tr>
      <w:tr w:rsidR="00144A6D" w14:paraId="312DF30F" w14:textId="77777777" w:rsidTr="00144A6D">
        <w:tc>
          <w:tcPr>
            <w:tcW w:w="1938" w:type="dxa"/>
            <w:tcMar>
              <w:top w:w="72" w:type="dxa"/>
              <w:left w:w="144" w:type="dxa"/>
              <w:bottom w:w="72" w:type="dxa"/>
              <w:right w:w="144" w:type="dxa"/>
            </w:tcMar>
            <w:vAlign w:val="center"/>
            <w:hideMark/>
          </w:tcPr>
          <w:p w14:paraId="29F43E0F"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MMP9</w:t>
            </w:r>
          </w:p>
        </w:tc>
        <w:tc>
          <w:tcPr>
            <w:tcW w:w="6262" w:type="dxa"/>
            <w:tcMar>
              <w:top w:w="72" w:type="dxa"/>
              <w:left w:w="144" w:type="dxa"/>
              <w:bottom w:w="72" w:type="dxa"/>
              <w:right w:w="144" w:type="dxa"/>
            </w:tcMar>
            <w:vAlign w:val="center"/>
            <w:hideMark/>
          </w:tcPr>
          <w:p w14:paraId="19FD9AF2"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Matrix metallopeptidase 9</w:t>
            </w:r>
          </w:p>
        </w:tc>
      </w:tr>
      <w:tr w:rsidR="00144A6D" w14:paraId="614954B5" w14:textId="77777777" w:rsidTr="00144A6D">
        <w:tc>
          <w:tcPr>
            <w:tcW w:w="1938" w:type="dxa"/>
            <w:tcMar>
              <w:top w:w="72" w:type="dxa"/>
              <w:left w:w="144" w:type="dxa"/>
              <w:bottom w:w="72" w:type="dxa"/>
              <w:right w:w="144" w:type="dxa"/>
            </w:tcMar>
            <w:vAlign w:val="center"/>
            <w:hideMark/>
          </w:tcPr>
          <w:p w14:paraId="4AD24251"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SLC6A2</w:t>
            </w:r>
          </w:p>
        </w:tc>
        <w:tc>
          <w:tcPr>
            <w:tcW w:w="6262" w:type="dxa"/>
            <w:tcMar>
              <w:top w:w="72" w:type="dxa"/>
              <w:left w:w="144" w:type="dxa"/>
              <w:bottom w:w="72" w:type="dxa"/>
              <w:right w:w="144" w:type="dxa"/>
            </w:tcMar>
            <w:vAlign w:val="center"/>
            <w:hideMark/>
          </w:tcPr>
          <w:p w14:paraId="7F46FC48"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 xml:space="preserve">Solute carrier family </w:t>
            </w:r>
            <w:proofErr w:type="gramStart"/>
            <w:r>
              <w:rPr>
                <w:rFonts w:ascii="Times New Roman" w:eastAsia="宋体" w:hAnsi="Times New Roman" w:cs="Times New Roman"/>
                <w:color w:val="000000" w:themeColor="text1"/>
                <w:kern w:val="24"/>
                <w:szCs w:val="21"/>
              </w:rPr>
              <w:t>6 member</w:t>
            </w:r>
            <w:proofErr w:type="gramEnd"/>
            <w:r>
              <w:rPr>
                <w:rFonts w:ascii="Times New Roman" w:eastAsia="宋体" w:hAnsi="Times New Roman" w:cs="Times New Roman"/>
                <w:color w:val="000000" w:themeColor="text1"/>
                <w:kern w:val="24"/>
                <w:szCs w:val="21"/>
              </w:rPr>
              <w:t xml:space="preserve"> 2</w:t>
            </w:r>
          </w:p>
        </w:tc>
      </w:tr>
      <w:tr w:rsidR="00144A6D" w14:paraId="2B9F50D4" w14:textId="77777777" w:rsidTr="00144A6D">
        <w:tc>
          <w:tcPr>
            <w:tcW w:w="1938" w:type="dxa"/>
            <w:tcMar>
              <w:top w:w="72" w:type="dxa"/>
              <w:left w:w="144" w:type="dxa"/>
              <w:bottom w:w="72" w:type="dxa"/>
              <w:right w:w="144" w:type="dxa"/>
            </w:tcMar>
            <w:vAlign w:val="center"/>
            <w:hideMark/>
          </w:tcPr>
          <w:p w14:paraId="55439C03"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CA13</w:t>
            </w:r>
          </w:p>
        </w:tc>
        <w:tc>
          <w:tcPr>
            <w:tcW w:w="6262" w:type="dxa"/>
            <w:tcMar>
              <w:top w:w="72" w:type="dxa"/>
              <w:left w:w="144" w:type="dxa"/>
              <w:bottom w:w="72" w:type="dxa"/>
              <w:right w:w="144" w:type="dxa"/>
            </w:tcMar>
            <w:vAlign w:val="center"/>
            <w:hideMark/>
          </w:tcPr>
          <w:p w14:paraId="1DC50D63"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Carbonic anhydrase 13</w:t>
            </w:r>
          </w:p>
        </w:tc>
      </w:tr>
      <w:tr w:rsidR="00144A6D" w14:paraId="2490F6BE" w14:textId="77777777" w:rsidTr="00144A6D">
        <w:tc>
          <w:tcPr>
            <w:tcW w:w="1938" w:type="dxa"/>
            <w:tcMar>
              <w:top w:w="72" w:type="dxa"/>
              <w:left w:w="144" w:type="dxa"/>
              <w:bottom w:w="72" w:type="dxa"/>
              <w:right w:w="144" w:type="dxa"/>
            </w:tcMar>
            <w:vAlign w:val="center"/>
            <w:hideMark/>
          </w:tcPr>
          <w:p w14:paraId="19ECA1E5"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LCK</w:t>
            </w:r>
          </w:p>
        </w:tc>
        <w:tc>
          <w:tcPr>
            <w:tcW w:w="6262" w:type="dxa"/>
            <w:tcMar>
              <w:top w:w="72" w:type="dxa"/>
              <w:left w:w="144" w:type="dxa"/>
              <w:bottom w:w="72" w:type="dxa"/>
              <w:right w:w="144" w:type="dxa"/>
            </w:tcMar>
            <w:vAlign w:val="center"/>
            <w:hideMark/>
          </w:tcPr>
          <w:p w14:paraId="260B8F9B"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LCK proto-oncogene</w:t>
            </w:r>
          </w:p>
        </w:tc>
      </w:tr>
      <w:tr w:rsidR="00144A6D" w14:paraId="34A172F0" w14:textId="77777777" w:rsidTr="00144A6D">
        <w:tc>
          <w:tcPr>
            <w:tcW w:w="1938" w:type="dxa"/>
            <w:tcMar>
              <w:top w:w="72" w:type="dxa"/>
              <w:left w:w="144" w:type="dxa"/>
              <w:bottom w:w="72" w:type="dxa"/>
              <w:right w:w="144" w:type="dxa"/>
            </w:tcMar>
            <w:vAlign w:val="center"/>
            <w:hideMark/>
          </w:tcPr>
          <w:p w14:paraId="68568ACC"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RAF1</w:t>
            </w:r>
          </w:p>
        </w:tc>
        <w:tc>
          <w:tcPr>
            <w:tcW w:w="6262" w:type="dxa"/>
            <w:tcMar>
              <w:top w:w="72" w:type="dxa"/>
              <w:left w:w="144" w:type="dxa"/>
              <w:bottom w:w="72" w:type="dxa"/>
              <w:right w:w="144" w:type="dxa"/>
            </w:tcMar>
            <w:vAlign w:val="center"/>
            <w:hideMark/>
          </w:tcPr>
          <w:p w14:paraId="5B17A1A7"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Raf-1 proto-oncogene</w:t>
            </w:r>
          </w:p>
        </w:tc>
      </w:tr>
      <w:tr w:rsidR="00144A6D" w14:paraId="47C93921" w14:textId="77777777" w:rsidTr="00144A6D">
        <w:tc>
          <w:tcPr>
            <w:tcW w:w="1938" w:type="dxa"/>
            <w:tcMar>
              <w:top w:w="72" w:type="dxa"/>
              <w:left w:w="144" w:type="dxa"/>
              <w:bottom w:w="72" w:type="dxa"/>
              <w:right w:w="144" w:type="dxa"/>
            </w:tcMar>
            <w:vAlign w:val="center"/>
            <w:hideMark/>
          </w:tcPr>
          <w:p w14:paraId="30C330EA"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DRD2</w:t>
            </w:r>
          </w:p>
        </w:tc>
        <w:tc>
          <w:tcPr>
            <w:tcW w:w="6262" w:type="dxa"/>
            <w:tcMar>
              <w:top w:w="72" w:type="dxa"/>
              <w:left w:w="144" w:type="dxa"/>
              <w:bottom w:w="72" w:type="dxa"/>
              <w:right w:w="144" w:type="dxa"/>
            </w:tcMar>
            <w:vAlign w:val="center"/>
            <w:hideMark/>
          </w:tcPr>
          <w:p w14:paraId="4B383EAC"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Dopamine receptor D2</w:t>
            </w:r>
          </w:p>
        </w:tc>
      </w:tr>
      <w:tr w:rsidR="00144A6D" w14:paraId="1947761E" w14:textId="77777777" w:rsidTr="00144A6D">
        <w:tc>
          <w:tcPr>
            <w:tcW w:w="1938" w:type="dxa"/>
            <w:tcMar>
              <w:top w:w="72" w:type="dxa"/>
              <w:left w:w="144" w:type="dxa"/>
              <w:bottom w:w="72" w:type="dxa"/>
              <w:right w:w="144" w:type="dxa"/>
            </w:tcMar>
            <w:vAlign w:val="center"/>
            <w:hideMark/>
          </w:tcPr>
          <w:p w14:paraId="0DA18F5E"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CA5B</w:t>
            </w:r>
          </w:p>
        </w:tc>
        <w:tc>
          <w:tcPr>
            <w:tcW w:w="6262" w:type="dxa"/>
            <w:tcMar>
              <w:top w:w="72" w:type="dxa"/>
              <w:left w:w="144" w:type="dxa"/>
              <w:bottom w:w="72" w:type="dxa"/>
              <w:right w:w="144" w:type="dxa"/>
            </w:tcMar>
            <w:vAlign w:val="center"/>
            <w:hideMark/>
          </w:tcPr>
          <w:p w14:paraId="0A05BD9A"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Carbonic anhydrase 5B</w:t>
            </w:r>
          </w:p>
        </w:tc>
      </w:tr>
      <w:tr w:rsidR="00144A6D" w14:paraId="58129D1E" w14:textId="77777777" w:rsidTr="00144A6D">
        <w:tc>
          <w:tcPr>
            <w:tcW w:w="1938" w:type="dxa"/>
            <w:tcMar>
              <w:top w:w="72" w:type="dxa"/>
              <w:left w:w="144" w:type="dxa"/>
              <w:bottom w:w="72" w:type="dxa"/>
              <w:right w:w="144" w:type="dxa"/>
            </w:tcMar>
            <w:vAlign w:val="center"/>
            <w:hideMark/>
          </w:tcPr>
          <w:p w14:paraId="658B2713"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CYP1A2</w:t>
            </w:r>
          </w:p>
        </w:tc>
        <w:tc>
          <w:tcPr>
            <w:tcW w:w="6262" w:type="dxa"/>
            <w:tcMar>
              <w:top w:w="72" w:type="dxa"/>
              <w:left w:w="144" w:type="dxa"/>
              <w:bottom w:w="72" w:type="dxa"/>
              <w:right w:w="144" w:type="dxa"/>
            </w:tcMar>
            <w:vAlign w:val="center"/>
            <w:hideMark/>
          </w:tcPr>
          <w:p w14:paraId="2666FD5D"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Cytochrome P450 family 1 subfamily A member 2</w:t>
            </w:r>
          </w:p>
        </w:tc>
      </w:tr>
      <w:tr w:rsidR="00144A6D" w14:paraId="3169CE88" w14:textId="77777777" w:rsidTr="00144A6D">
        <w:tc>
          <w:tcPr>
            <w:tcW w:w="1938" w:type="dxa"/>
            <w:tcMar>
              <w:top w:w="72" w:type="dxa"/>
              <w:left w:w="144" w:type="dxa"/>
              <w:bottom w:w="72" w:type="dxa"/>
              <w:right w:w="144" w:type="dxa"/>
            </w:tcMar>
            <w:vAlign w:val="center"/>
            <w:hideMark/>
          </w:tcPr>
          <w:p w14:paraId="5D227AE9"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CA14</w:t>
            </w:r>
          </w:p>
        </w:tc>
        <w:tc>
          <w:tcPr>
            <w:tcW w:w="6262" w:type="dxa"/>
            <w:tcMar>
              <w:top w:w="72" w:type="dxa"/>
              <w:left w:w="144" w:type="dxa"/>
              <w:bottom w:w="72" w:type="dxa"/>
              <w:right w:w="144" w:type="dxa"/>
            </w:tcMar>
            <w:vAlign w:val="center"/>
            <w:hideMark/>
          </w:tcPr>
          <w:p w14:paraId="0ED235E2"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Carbonic anhydrase 14</w:t>
            </w:r>
          </w:p>
        </w:tc>
      </w:tr>
      <w:tr w:rsidR="00144A6D" w14:paraId="47A50D8B" w14:textId="77777777" w:rsidTr="00144A6D">
        <w:tc>
          <w:tcPr>
            <w:tcW w:w="1938" w:type="dxa"/>
            <w:tcMar>
              <w:top w:w="72" w:type="dxa"/>
              <w:left w:w="144" w:type="dxa"/>
              <w:bottom w:w="72" w:type="dxa"/>
              <w:right w:w="144" w:type="dxa"/>
            </w:tcMar>
            <w:vAlign w:val="center"/>
            <w:hideMark/>
          </w:tcPr>
          <w:p w14:paraId="4325106C"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CA9</w:t>
            </w:r>
          </w:p>
        </w:tc>
        <w:tc>
          <w:tcPr>
            <w:tcW w:w="6262" w:type="dxa"/>
            <w:tcMar>
              <w:top w:w="72" w:type="dxa"/>
              <w:left w:w="144" w:type="dxa"/>
              <w:bottom w:w="72" w:type="dxa"/>
              <w:right w:w="144" w:type="dxa"/>
            </w:tcMar>
            <w:vAlign w:val="center"/>
            <w:hideMark/>
          </w:tcPr>
          <w:p w14:paraId="7FF3D0FA"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Carbonic anhydrase 9</w:t>
            </w:r>
          </w:p>
        </w:tc>
      </w:tr>
      <w:tr w:rsidR="00144A6D" w14:paraId="37512424" w14:textId="77777777" w:rsidTr="00144A6D">
        <w:tc>
          <w:tcPr>
            <w:tcW w:w="1938" w:type="dxa"/>
            <w:tcMar>
              <w:top w:w="72" w:type="dxa"/>
              <w:left w:w="144" w:type="dxa"/>
              <w:bottom w:w="72" w:type="dxa"/>
              <w:right w:w="144" w:type="dxa"/>
            </w:tcMar>
            <w:vAlign w:val="center"/>
            <w:hideMark/>
          </w:tcPr>
          <w:p w14:paraId="220557C1"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ABCC1</w:t>
            </w:r>
          </w:p>
        </w:tc>
        <w:tc>
          <w:tcPr>
            <w:tcW w:w="6262" w:type="dxa"/>
            <w:tcMar>
              <w:top w:w="72" w:type="dxa"/>
              <w:left w:w="144" w:type="dxa"/>
              <w:bottom w:w="72" w:type="dxa"/>
              <w:right w:w="144" w:type="dxa"/>
            </w:tcMar>
            <w:vAlign w:val="center"/>
            <w:hideMark/>
          </w:tcPr>
          <w:p w14:paraId="42043AD0"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ATP binding cassette subfamily C member 1</w:t>
            </w:r>
          </w:p>
        </w:tc>
      </w:tr>
      <w:tr w:rsidR="00144A6D" w14:paraId="139D6B16" w14:textId="77777777" w:rsidTr="00144A6D">
        <w:tc>
          <w:tcPr>
            <w:tcW w:w="1938" w:type="dxa"/>
            <w:tcMar>
              <w:top w:w="72" w:type="dxa"/>
              <w:left w:w="144" w:type="dxa"/>
              <w:bottom w:w="72" w:type="dxa"/>
              <w:right w:w="144" w:type="dxa"/>
            </w:tcMar>
            <w:vAlign w:val="center"/>
            <w:hideMark/>
          </w:tcPr>
          <w:p w14:paraId="3EE4461B"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NOX4</w:t>
            </w:r>
          </w:p>
        </w:tc>
        <w:tc>
          <w:tcPr>
            <w:tcW w:w="6262" w:type="dxa"/>
            <w:tcMar>
              <w:top w:w="72" w:type="dxa"/>
              <w:left w:w="144" w:type="dxa"/>
              <w:bottom w:w="72" w:type="dxa"/>
              <w:right w:w="144" w:type="dxa"/>
            </w:tcMar>
            <w:vAlign w:val="center"/>
            <w:hideMark/>
          </w:tcPr>
          <w:p w14:paraId="56624928"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NADPH oxidase 4</w:t>
            </w:r>
          </w:p>
        </w:tc>
      </w:tr>
      <w:tr w:rsidR="00144A6D" w14:paraId="6E0C9B8F" w14:textId="77777777" w:rsidTr="00144A6D">
        <w:tc>
          <w:tcPr>
            <w:tcW w:w="1938" w:type="dxa"/>
            <w:tcMar>
              <w:top w:w="72" w:type="dxa"/>
              <w:left w:w="144" w:type="dxa"/>
              <w:bottom w:w="72" w:type="dxa"/>
              <w:right w:w="144" w:type="dxa"/>
            </w:tcMar>
            <w:vAlign w:val="center"/>
            <w:hideMark/>
          </w:tcPr>
          <w:p w14:paraId="1921DF85"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ESR1</w:t>
            </w:r>
          </w:p>
        </w:tc>
        <w:tc>
          <w:tcPr>
            <w:tcW w:w="6262" w:type="dxa"/>
            <w:tcMar>
              <w:top w:w="72" w:type="dxa"/>
              <w:left w:w="144" w:type="dxa"/>
              <w:bottom w:w="72" w:type="dxa"/>
              <w:right w:w="144" w:type="dxa"/>
            </w:tcMar>
            <w:vAlign w:val="center"/>
            <w:hideMark/>
          </w:tcPr>
          <w:p w14:paraId="4388B175"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Estrogen receptor 1</w:t>
            </w:r>
          </w:p>
        </w:tc>
      </w:tr>
      <w:tr w:rsidR="00144A6D" w14:paraId="2444729B" w14:textId="77777777" w:rsidTr="00144A6D">
        <w:tc>
          <w:tcPr>
            <w:tcW w:w="1938" w:type="dxa"/>
            <w:tcMar>
              <w:top w:w="72" w:type="dxa"/>
              <w:left w:w="144" w:type="dxa"/>
              <w:bottom w:w="72" w:type="dxa"/>
              <w:right w:w="144" w:type="dxa"/>
            </w:tcMar>
            <w:vAlign w:val="center"/>
            <w:hideMark/>
          </w:tcPr>
          <w:p w14:paraId="74B8B6C8"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SHBG</w:t>
            </w:r>
          </w:p>
        </w:tc>
        <w:tc>
          <w:tcPr>
            <w:tcW w:w="6262" w:type="dxa"/>
            <w:tcMar>
              <w:top w:w="72" w:type="dxa"/>
              <w:left w:w="144" w:type="dxa"/>
              <w:bottom w:w="72" w:type="dxa"/>
              <w:right w:w="144" w:type="dxa"/>
            </w:tcMar>
            <w:vAlign w:val="center"/>
            <w:hideMark/>
          </w:tcPr>
          <w:p w14:paraId="6D48FDFB"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Sex hormone binding globulin</w:t>
            </w:r>
          </w:p>
        </w:tc>
      </w:tr>
      <w:tr w:rsidR="00144A6D" w14:paraId="03ADE80C" w14:textId="77777777" w:rsidTr="00144A6D">
        <w:tc>
          <w:tcPr>
            <w:tcW w:w="1938" w:type="dxa"/>
            <w:tcMar>
              <w:top w:w="72" w:type="dxa"/>
              <w:left w:w="144" w:type="dxa"/>
              <w:bottom w:w="72" w:type="dxa"/>
              <w:right w:w="144" w:type="dxa"/>
            </w:tcMar>
            <w:vAlign w:val="center"/>
            <w:hideMark/>
          </w:tcPr>
          <w:p w14:paraId="70ED77DA"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F10</w:t>
            </w:r>
          </w:p>
        </w:tc>
        <w:tc>
          <w:tcPr>
            <w:tcW w:w="6262" w:type="dxa"/>
            <w:tcMar>
              <w:top w:w="72" w:type="dxa"/>
              <w:left w:w="144" w:type="dxa"/>
              <w:bottom w:w="72" w:type="dxa"/>
              <w:right w:w="144" w:type="dxa"/>
            </w:tcMar>
            <w:vAlign w:val="center"/>
            <w:hideMark/>
          </w:tcPr>
          <w:p w14:paraId="611BD457"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Coagulation factor X</w:t>
            </w:r>
          </w:p>
        </w:tc>
      </w:tr>
      <w:tr w:rsidR="00144A6D" w14:paraId="7ABC5272" w14:textId="77777777" w:rsidTr="00144A6D">
        <w:tc>
          <w:tcPr>
            <w:tcW w:w="1938" w:type="dxa"/>
            <w:tcMar>
              <w:top w:w="72" w:type="dxa"/>
              <w:left w:w="144" w:type="dxa"/>
              <w:bottom w:w="72" w:type="dxa"/>
              <w:right w:w="144" w:type="dxa"/>
            </w:tcMar>
            <w:vAlign w:val="center"/>
            <w:hideMark/>
          </w:tcPr>
          <w:p w14:paraId="41ABD10D"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ESRRA</w:t>
            </w:r>
          </w:p>
        </w:tc>
        <w:tc>
          <w:tcPr>
            <w:tcW w:w="6262" w:type="dxa"/>
            <w:tcMar>
              <w:top w:w="72" w:type="dxa"/>
              <w:left w:w="144" w:type="dxa"/>
              <w:bottom w:w="72" w:type="dxa"/>
              <w:right w:w="144" w:type="dxa"/>
            </w:tcMar>
            <w:vAlign w:val="center"/>
            <w:hideMark/>
          </w:tcPr>
          <w:p w14:paraId="777FBE81"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Estrogen related receptor alpha</w:t>
            </w:r>
          </w:p>
        </w:tc>
      </w:tr>
      <w:tr w:rsidR="00144A6D" w14:paraId="42BE237C" w14:textId="77777777" w:rsidTr="00144A6D">
        <w:tc>
          <w:tcPr>
            <w:tcW w:w="1938" w:type="dxa"/>
            <w:tcMar>
              <w:top w:w="72" w:type="dxa"/>
              <w:left w:w="144" w:type="dxa"/>
              <w:bottom w:w="72" w:type="dxa"/>
              <w:right w:w="144" w:type="dxa"/>
            </w:tcMar>
            <w:vAlign w:val="center"/>
            <w:hideMark/>
          </w:tcPr>
          <w:p w14:paraId="25B3DBB9"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BCL2L1</w:t>
            </w:r>
          </w:p>
        </w:tc>
        <w:tc>
          <w:tcPr>
            <w:tcW w:w="6262" w:type="dxa"/>
            <w:tcMar>
              <w:top w:w="72" w:type="dxa"/>
              <w:left w:w="144" w:type="dxa"/>
              <w:bottom w:w="72" w:type="dxa"/>
              <w:right w:w="144" w:type="dxa"/>
            </w:tcMar>
            <w:vAlign w:val="center"/>
            <w:hideMark/>
          </w:tcPr>
          <w:p w14:paraId="000108E0"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BCL2 like 1</w:t>
            </w:r>
          </w:p>
        </w:tc>
      </w:tr>
      <w:tr w:rsidR="00144A6D" w14:paraId="4C6D0A96" w14:textId="77777777" w:rsidTr="00144A6D">
        <w:tc>
          <w:tcPr>
            <w:tcW w:w="1938" w:type="dxa"/>
            <w:tcMar>
              <w:top w:w="72" w:type="dxa"/>
              <w:left w:w="144" w:type="dxa"/>
              <w:bottom w:w="72" w:type="dxa"/>
              <w:right w:w="144" w:type="dxa"/>
            </w:tcMar>
            <w:vAlign w:val="center"/>
            <w:hideMark/>
          </w:tcPr>
          <w:p w14:paraId="1364290A"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AKR1B1</w:t>
            </w:r>
          </w:p>
        </w:tc>
        <w:tc>
          <w:tcPr>
            <w:tcW w:w="6262" w:type="dxa"/>
            <w:tcMar>
              <w:top w:w="72" w:type="dxa"/>
              <w:left w:w="144" w:type="dxa"/>
              <w:bottom w:w="72" w:type="dxa"/>
              <w:right w:w="144" w:type="dxa"/>
            </w:tcMar>
            <w:vAlign w:val="center"/>
            <w:hideMark/>
          </w:tcPr>
          <w:p w14:paraId="04870F92"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Aldo-keto reductase family 1 member B</w:t>
            </w:r>
          </w:p>
        </w:tc>
      </w:tr>
      <w:tr w:rsidR="00144A6D" w14:paraId="6B32597D" w14:textId="77777777" w:rsidTr="00144A6D">
        <w:tc>
          <w:tcPr>
            <w:tcW w:w="1938" w:type="dxa"/>
            <w:tcMar>
              <w:top w:w="72" w:type="dxa"/>
              <w:left w:w="144" w:type="dxa"/>
              <w:bottom w:w="72" w:type="dxa"/>
              <w:right w:w="144" w:type="dxa"/>
            </w:tcMar>
            <w:vAlign w:val="center"/>
            <w:hideMark/>
          </w:tcPr>
          <w:p w14:paraId="0E3BFF53"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ESR2</w:t>
            </w:r>
          </w:p>
        </w:tc>
        <w:tc>
          <w:tcPr>
            <w:tcW w:w="6262" w:type="dxa"/>
            <w:tcMar>
              <w:top w:w="72" w:type="dxa"/>
              <w:left w:w="144" w:type="dxa"/>
              <w:bottom w:w="72" w:type="dxa"/>
              <w:right w:w="144" w:type="dxa"/>
            </w:tcMar>
            <w:vAlign w:val="center"/>
            <w:hideMark/>
          </w:tcPr>
          <w:p w14:paraId="2EBEDD08"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Estrogen receptor 2</w:t>
            </w:r>
          </w:p>
        </w:tc>
      </w:tr>
      <w:tr w:rsidR="00144A6D" w14:paraId="067ACA79" w14:textId="77777777" w:rsidTr="00144A6D">
        <w:tc>
          <w:tcPr>
            <w:tcW w:w="1938" w:type="dxa"/>
            <w:tcMar>
              <w:top w:w="72" w:type="dxa"/>
              <w:left w:w="144" w:type="dxa"/>
              <w:bottom w:w="72" w:type="dxa"/>
              <w:right w:w="144" w:type="dxa"/>
            </w:tcMar>
            <w:vAlign w:val="center"/>
            <w:hideMark/>
          </w:tcPr>
          <w:p w14:paraId="05A00B99"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VCP</w:t>
            </w:r>
          </w:p>
        </w:tc>
        <w:tc>
          <w:tcPr>
            <w:tcW w:w="6262" w:type="dxa"/>
            <w:tcMar>
              <w:top w:w="72" w:type="dxa"/>
              <w:left w:w="144" w:type="dxa"/>
              <w:bottom w:w="72" w:type="dxa"/>
              <w:right w:w="144" w:type="dxa"/>
            </w:tcMar>
            <w:vAlign w:val="center"/>
            <w:hideMark/>
          </w:tcPr>
          <w:p w14:paraId="67E9915F" w14:textId="77777777" w:rsidR="00144A6D" w:rsidRDefault="00144A6D">
            <w:pPr>
              <w:widowControl/>
              <w:snapToGrid w:val="0"/>
              <w:jc w:val="center"/>
              <w:rPr>
                <w:rFonts w:ascii="Times New Roman" w:eastAsia="宋体" w:hAnsi="Times New Roman" w:cs="Times New Roman"/>
                <w:kern w:val="0"/>
                <w:szCs w:val="21"/>
              </w:rPr>
            </w:pPr>
            <w:proofErr w:type="spellStart"/>
            <w:r>
              <w:rPr>
                <w:rFonts w:ascii="Times New Roman" w:eastAsia="宋体" w:hAnsi="Times New Roman" w:cs="Times New Roman"/>
                <w:color w:val="000000" w:themeColor="text1"/>
                <w:kern w:val="24"/>
                <w:szCs w:val="21"/>
              </w:rPr>
              <w:t>Valosin</w:t>
            </w:r>
            <w:proofErr w:type="spellEnd"/>
            <w:r>
              <w:rPr>
                <w:rFonts w:ascii="Times New Roman" w:eastAsia="宋体" w:hAnsi="Times New Roman" w:cs="Times New Roman"/>
                <w:color w:val="000000" w:themeColor="text1"/>
                <w:kern w:val="24"/>
                <w:szCs w:val="21"/>
              </w:rPr>
              <w:t xml:space="preserve"> containing protein</w:t>
            </w:r>
          </w:p>
        </w:tc>
      </w:tr>
      <w:tr w:rsidR="00144A6D" w14:paraId="53B11F9F" w14:textId="77777777" w:rsidTr="00144A6D">
        <w:tc>
          <w:tcPr>
            <w:tcW w:w="1938" w:type="dxa"/>
            <w:tcMar>
              <w:top w:w="72" w:type="dxa"/>
              <w:left w:w="144" w:type="dxa"/>
              <w:bottom w:w="72" w:type="dxa"/>
              <w:right w:w="144" w:type="dxa"/>
            </w:tcMar>
            <w:vAlign w:val="center"/>
            <w:hideMark/>
          </w:tcPr>
          <w:p w14:paraId="2FB63915"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NQO2</w:t>
            </w:r>
          </w:p>
        </w:tc>
        <w:tc>
          <w:tcPr>
            <w:tcW w:w="6262" w:type="dxa"/>
            <w:tcMar>
              <w:top w:w="72" w:type="dxa"/>
              <w:left w:w="144" w:type="dxa"/>
              <w:bottom w:w="72" w:type="dxa"/>
              <w:right w:w="144" w:type="dxa"/>
            </w:tcMar>
            <w:vAlign w:val="center"/>
            <w:hideMark/>
          </w:tcPr>
          <w:p w14:paraId="7CB8AC26"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N-</w:t>
            </w:r>
            <w:proofErr w:type="spellStart"/>
            <w:r>
              <w:rPr>
                <w:rFonts w:ascii="Times New Roman" w:eastAsia="宋体" w:hAnsi="Times New Roman" w:cs="Times New Roman"/>
                <w:color w:val="000000" w:themeColor="text1"/>
                <w:kern w:val="24"/>
                <w:szCs w:val="21"/>
              </w:rPr>
              <w:t>ribosyldihydronicotinamide</w:t>
            </w:r>
            <w:proofErr w:type="spellEnd"/>
            <w:r>
              <w:rPr>
                <w:rFonts w:ascii="Times New Roman" w:eastAsia="宋体" w:hAnsi="Times New Roman" w:cs="Times New Roman"/>
                <w:color w:val="000000" w:themeColor="text1"/>
                <w:kern w:val="24"/>
                <w:szCs w:val="21"/>
              </w:rPr>
              <w:t>: quinone dehydrogenase 2</w:t>
            </w:r>
          </w:p>
        </w:tc>
      </w:tr>
      <w:tr w:rsidR="00144A6D" w14:paraId="5D44F499" w14:textId="77777777" w:rsidTr="00144A6D">
        <w:tc>
          <w:tcPr>
            <w:tcW w:w="1938" w:type="dxa"/>
            <w:tcMar>
              <w:top w:w="72" w:type="dxa"/>
              <w:left w:w="144" w:type="dxa"/>
              <w:bottom w:w="72" w:type="dxa"/>
              <w:right w:w="144" w:type="dxa"/>
            </w:tcMar>
            <w:vAlign w:val="center"/>
            <w:hideMark/>
          </w:tcPr>
          <w:p w14:paraId="4D16ED4E"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MMP1</w:t>
            </w:r>
          </w:p>
        </w:tc>
        <w:tc>
          <w:tcPr>
            <w:tcW w:w="6262" w:type="dxa"/>
            <w:tcMar>
              <w:top w:w="72" w:type="dxa"/>
              <w:left w:w="144" w:type="dxa"/>
              <w:bottom w:w="72" w:type="dxa"/>
              <w:right w:w="144" w:type="dxa"/>
            </w:tcMar>
            <w:vAlign w:val="center"/>
            <w:hideMark/>
          </w:tcPr>
          <w:p w14:paraId="039A9B50"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Matrix metallopeptidase 1</w:t>
            </w:r>
          </w:p>
        </w:tc>
      </w:tr>
      <w:tr w:rsidR="00144A6D" w14:paraId="45624BB1" w14:textId="77777777" w:rsidTr="00144A6D">
        <w:tc>
          <w:tcPr>
            <w:tcW w:w="1938" w:type="dxa"/>
            <w:tcMar>
              <w:top w:w="72" w:type="dxa"/>
              <w:left w:w="144" w:type="dxa"/>
              <w:bottom w:w="72" w:type="dxa"/>
              <w:right w:w="144" w:type="dxa"/>
            </w:tcMar>
            <w:vAlign w:val="center"/>
            <w:hideMark/>
          </w:tcPr>
          <w:p w14:paraId="396875B0"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CA12</w:t>
            </w:r>
          </w:p>
        </w:tc>
        <w:tc>
          <w:tcPr>
            <w:tcW w:w="6262" w:type="dxa"/>
            <w:tcMar>
              <w:top w:w="72" w:type="dxa"/>
              <w:left w:w="144" w:type="dxa"/>
              <w:bottom w:w="72" w:type="dxa"/>
              <w:right w:w="144" w:type="dxa"/>
            </w:tcMar>
            <w:vAlign w:val="center"/>
            <w:hideMark/>
          </w:tcPr>
          <w:p w14:paraId="7777AE2F"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Carbonic anhydrase 12</w:t>
            </w:r>
          </w:p>
        </w:tc>
      </w:tr>
      <w:tr w:rsidR="00144A6D" w14:paraId="3C9959F4" w14:textId="77777777" w:rsidTr="00144A6D">
        <w:tc>
          <w:tcPr>
            <w:tcW w:w="1938" w:type="dxa"/>
            <w:tcMar>
              <w:top w:w="72" w:type="dxa"/>
              <w:left w:w="144" w:type="dxa"/>
              <w:bottom w:w="72" w:type="dxa"/>
              <w:right w:w="144" w:type="dxa"/>
            </w:tcMar>
            <w:vAlign w:val="center"/>
            <w:hideMark/>
          </w:tcPr>
          <w:p w14:paraId="66FEA0A3"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b/>
                <w:bCs/>
                <w:color w:val="000000" w:themeColor="text1"/>
                <w:kern w:val="24"/>
                <w:szCs w:val="21"/>
              </w:rPr>
              <w:t>APP</w:t>
            </w:r>
          </w:p>
        </w:tc>
        <w:tc>
          <w:tcPr>
            <w:tcW w:w="6262" w:type="dxa"/>
            <w:tcMar>
              <w:top w:w="72" w:type="dxa"/>
              <w:left w:w="144" w:type="dxa"/>
              <w:bottom w:w="72" w:type="dxa"/>
              <w:right w:w="144" w:type="dxa"/>
            </w:tcMar>
            <w:vAlign w:val="center"/>
            <w:hideMark/>
          </w:tcPr>
          <w:p w14:paraId="5165772A" w14:textId="77777777" w:rsidR="00144A6D" w:rsidRDefault="00144A6D">
            <w:pPr>
              <w:widowControl/>
              <w:snapToGrid w:val="0"/>
              <w:jc w:val="center"/>
              <w:rPr>
                <w:rFonts w:ascii="Times New Roman" w:eastAsia="宋体" w:hAnsi="Times New Roman" w:cs="Times New Roman"/>
                <w:kern w:val="0"/>
                <w:szCs w:val="21"/>
              </w:rPr>
            </w:pPr>
            <w:r>
              <w:rPr>
                <w:rFonts w:ascii="Times New Roman" w:eastAsia="宋体" w:hAnsi="Times New Roman" w:cs="Times New Roman"/>
                <w:color w:val="000000" w:themeColor="text1"/>
                <w:kern w:val="24"/>
                <w:szCs w:val="21"/>
              </w:rPr>
              <w:t>Amyloid beta precursor protein</w:t>
            </w:r>
          </w:p>
        </w:tc>
      </w:tr>
      <w:tr w:rsidR="00144A6D" w14:paraId="2A68F377" w14:textId="77777777" w:rsidTr="00144A6D">
        <w:tc>
          <w:tcPr>
            <w:tcW w:w="1938" w:type="dxa"/>
            <w:tcMar>
              <w:top w:w="72" w:type="dxa"/>
              <w:left w:w="144" w:type="dxa"/>
              <w:bottom w:w="72" w:type="dxa"/>
              <w:right w:w="144" w:type="dxa"/>
            </w:tcMar>
            <w:vAlign w:val="center"/>
            <w:hideMark/>
          </w:tcPr>
          <w:p w14:paraId="621CBB5B"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CDK2</w:t>
            </w:r>
          </w:p>
        </w:tc>
        <w:tc>
          <w:tcPr>
            <w:tcW w:w="6262" w:type="dxa"/>
            <w:tcMar>
              <w:top w:w="72" w:type="dxa"/>
              <w:left w:w="144" w:type="dxa"/>
              <w:bottom w:w="72" w:type="dxa"/>
              <w:right w:w="144" w:type="dxa"/>
            </w:tcMar>
            <w:vAlign w:val="center"/>
            <w:hideMark/>
          </w:tcPr>
          <w:p w14:paraId="034C8A79"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Cyclin dependent kinase 2</w:t>
            </w:r>
          </w:p>
        </w:tc>
      </w:tr>
      <w:tr w:rsidR="00144A6D" w14:paraId="24ABA652" w14:textId="77777777" w:rsidTr="00144A6D">
        <w:tc>
          <w:tcPr>
            <w:tcW w:w="1938" w:type="dxa"/>
            <w:tcMar>
              <w:top w:w="72" w:type="dxa"/>
              <w:left w:w="144" w:type="dxa"/>
              <w:bottom w:w="72" w:type="dxa"/>
              <w:right w:w="144" w:type="dxa"/>
            </w:tcMar>
            <w:vAlign w:val="center"/>
            <w:hideMark/>
          </w:tcPr>
          <w:p w14:paraId="1750D5DB"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CA7</w:t>
            </w:r>
          </w:p>
        </w:tc>
        <w:tc>
          <w:tcPr>
            <w:tcW w:w="6262" w:type="dxa"/>
            <w:tcMar>
              <w:top w:w="72" w:type="dxa"/>
              <w:left w:w="144" w:type="dxa"/>
              <w:bottom w:w="72" w:type="dxa"/>
              <w:right w:w="144" w:type="dxa"/>
            </w:tcMar>
            <w:vAlign w:val="center"/>
            <w:hideMark/>
          </w:tcPr>
          <w:p w14:paraId="1328F0D4"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Carbonic anhydrase 7</w:t>
            </w:r>
          </w:p>
        </w:tc>
      </w:tr>
      <w:tr w:rsidR="00144A6D" w14:paraId="115EE02F" w14:textId="77777777" w:rsidTr="00144A6D">
        <w:tc>
          <w:tcPr>
            <w:tcW w:w="1938" w:type="dxa"/>
            <w:tcMar>
              <w:top w:w="72" w:type="dxa"/>
              <w:left w:w="144" w:type="dxa"/>
              <w:bottom w:w="72" w:type="dxa"/>
              <w:right w:w="144" w:type="dxa"/>
            </w:tcMar>
            <w:vAlign w:val="center"/>
            <w:hideMark/>
          </w:tcPr>
          <w:p w14:paraId="68185F32"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XDH</w:t>
            </w:r>
          </w:p>
        </w:tc>
        <w:tc>
          <w:tcPr>
            <w:tcW w:w="6262" w:type="dxa"/>
            <w:tcMar>
              <w:top w:w="72" w:type="dxa"/>
              <w:left w:w="144" w:type="dxa"/>
              <w:bottom w:w="72" w:type="dxa"/>
              <w:right w:w="144" w:type="dxa"/>
            </w:tcMar>
            <w:vAlign w:val="center"/>
            <w:hideMark/>
          </w:tcPr>
          <w:p w14:paraId="0A08DEFA"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Xanthine dehydrogenase</w:t>
            </w:r>
          </w:p>
        </w:tc>
      </w:tr>
      <w:tr w:rsidR="00144A6D" w14:paraId="39991826" w14:textId="77777777" w:rsidTr="00144A6D">
        <w:tc>
          <w:tcPr>
            <w:tcW w:w="1938" w:type="dxa"/>
            <w:tcMar>
              <w:top w:w="72" w:type="dxa"/>
              <w:left w:w="144" w:type="dxa"/>
              <w:bottom w:w="72" w:type="dxa"/>
              <w:right w:w="144" w:type="dxa"/>
            </w:tcMar>
            <w:vAlign w:val="center"/>
            <w:hideMark/>
          </w:tcPr>
          <w:p w14:paraId="7FCB29DC"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TP53</w:t>
            </w:r>
          </w:p>
        </w:tc>
        <w:tc>
          <w:tcPr>
            <w:tcW w:w="6262" w:type="dxa"/>
            <w:tcMar>
              <w:top w:w="72" w:type="dxa"/>
              <w:left w:w="144" w:type="dxa"/>
              <w:bottom w:w="72" w:type="dxa"/>
              <w:right w:w="144" w:type="dxa"/>
            </w:tcMar>
            <w:vAlign w:val="center"/>
            <w:hideMark/>
          </w:tcPr>
          <w:p w14:paraId="3011E55E"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Tumor protein p53</w:t>
            </w:r>
          </w:p>
        </w:tc>
      </w:tr>
      <w:tr w:rsidR="00144A6D" w14:paraId="1F4A909E" w14:textId="77777777" w:rsidTr="00144A6D">
        <w:tc>
          <w:tcPr>
            <w:tcW w:w="1938" w:type="dxa"/>
            <w:tcMar>
              <w:top w:w="72" w:type="dxa"/>
              <w:left w:w="144" w:type="dxa"/>
              <w:bottom w:w="72" w:type="dxa"/>
              <w:right w:w="144" w:type="dxa"/>
            </w:tcMar>
            <w:vAlign w:val="center"/>
            <w:hideMark/>
          </w:tcPr>
          <w:p w14:paraId="41402AD8"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TNF</w:t>
            </w:r>
          </w:p>
        </w:tc>
        <w:tc>
          <w:tcPr>
            <w:tcW w:w="6262" w:type="dxa"/>
            <w:tcMar>
              <w:top w:w="72" w:type="dxa"/>
              <w:left w:w="144" w:type="dxa"/>
              <w:bottom w:w="72" w:type="dxa"/>
              <w:right w:w="144" w:type="dxa"/>
            </w:tcMar>
            <w:vAlign w:val="center"/>
            <w:hideMark/>
          </w:tcPr>
          <w:p w14:paraId="55B86D6B"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Tumor necrosis factor</w:t>
            </w:r>
          </w:p>
        </w:tc>
      </w:tr>
      <w:tr w:rsidR="00144A6D" w14:paraId="3A753EBA" w14:textId="77777777" w:rsidTr="00144A6D">
        <w:tc>
          <w:tcPr>
            <w:tcW w:w="1938" w:type="dxa"/>
            <w:tcMar>
              <w:top w:w="72" w:type="dxa"/>
              <w:left w:w="144" w:type="dxa"/>
              <w:bottom w:w="72" w:type="dxa"/>
              <w:right w:w="144" w:type="dxa"/>
            </w:tcMar>
            <w:vAlign w:val="center"/>
            <w:hideMark/>
          </w:tcPr>
          <w:p w14:paraId="0A9AC2B6"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lastRenderedPageBreak/>
              <w:t>SIRT2</w:t>
            </w:r>
          </w:p>
        </w:tc>
        <w:tc>
          <w:tcPr>
            <w:tcW w:w="6262" w:type="dxa"/>
            <w:tcMar>
              <w:top w:w="72" w:type="dxa"/>
              <w:left w:w="144" w:type="dxa"/>
              <w:bottom w:w="72" w:type="dxa"/>
              <w:right w:w="144" w:type="dxa"/>
            </w:tcMar>
            <w:vAlign w:val="center"/>
            <w:hideMark/>
          </w:tcPr>
          <w:p w14:paraId="6E2C7444"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Sirtuin 2</w:t>
            </w:r>
          </w:p>
        </w:tc>
      </w:tr>
      <w:tr w:rsidR="00144A6D" w14:paraId="1E0ED201" w14:textId="77777777" w:rsidTr="00144A6D">
        <w:tc>
          <w:tcPr>
            <w:tcW w:w="1938" w:type="dxa"/>
            <w:tcMar>
              <w:top w:w="72" w:type="dxa"/>
              <w:left w:w="144" w:type="dxa"/>
              <w:bottom w:w="72" w:type="dxa"/>
              <w:right w:w="144" w:type="dxa"/>
            </w:tcMar>
            <w:vAlign w:val="center"/>
            <w:hideMark/>
          </w:tcPr>
          <w:p w14:paraId="3EF4404F"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CCR2</w:t>
            </w:r>
          </w:p>
        </w:tc>
        <w:tc>
          <w:tcPr>
            <w:tcW w:w="6262" w:type="dxa"/>
            <w:tcMar>
              <w:top w:w="72" w:type="dxa"/>
              <w:left w:w="144" w:type="dxa"/>
              <w:bottom w:w="72" w:type="dxa"/>
              <w:right w:w="144" w:type="dxa"/>
            </w:tcMar>
            <w:vAlign w:val="center"/>
            <w:hideMark/>
          </w:tcPr>
          <w:p w14:paraId="3B53EF44"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C-C motif chemokine receptor 2</w:t>
            </w:r>
          </w:p>
        </w:tc>
      </w:tr>
      <w:tr w:rsidR="00144A6D" w14:paraId="2B34E817" w14:textId="77777777" w:rsidTr="00144A6D">
        <w:tc>
          <w:tcPr>
            <w:tcW w:w="1938" w:type="dxa"/>
            <w:tcMar>
              <w:top w:w="72" w:type="dxa"/>
              <w:left w:w="144" w:type="dxa"/>
              <w:bottom w:w="72" w:type="dxa"/>
              <w:right w:w="144" w:type="dxa"/>
            </w:tcMar>
            <w:vAlign w:val="center"/>
            <w:hideMark/>
          </w:tcPr>
          <w:p w14:paraId="399B4316"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XIAP</w:t>
            </w:r>
          </w:p>
        </w:tc>
        <w:tc>
          <w:tcPr>
            <w:tcW w:w="6262" w:type="dxa"/>
            <w:tcMar>
              <w:top w:w="72" w:type="dxa"/>
              <w:left w:w="144" w:type="dxa"/>
              <w:bottom w:w="72" w:type="dxa"/>
              <w:right w:w="144" w:type="dxa"/>
            </w:tcMar>
            <w:vAlign w:val="center"/>
            <w:hideMark/>
          </w:tcPr>
          <w:p w14:paraId="14696ADA"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X-linked inhibitor of apoptosis</w:t>
            </w:r>
          </w:p>
        </w:tc>
      </w:tr>
      <w:tr w:rsidR="00144A6D" w14:paraId="0203030A" w14:textId="77777777" w:rsidTr="00144A6D">
        <w:tc>
          <w:tcPr>
            <w:tcW w:w="1938" w:type="dxa"/>
            <w:tcMar>
              <w:top w:w="72" w:type="dxa"/>
              <w:left w:w="144" w:type="dxa"/>
              <w:bottom w:w="72" w:type="dxa"/>
              <w:right w:w="144" w:type="dxa"/>
            </w:tcMar>
            <w:vAlign w:val="center"/>
            <w:hideMark/>
          </w:tcPr>
          <w:p w14:paraId="27B88B5B"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NQO1</w:t>
            </w:r>
          </w:p>
        </w:tc>
        <w:tc>
          <w:tcPr>
            <w:tcW w:w="6262" w:type="dxa"/>
            <w:tcMar>
              <w:top w:w="72" w:type="dxa"/>
              <w:left w:w="144" w:type="dxa"/>
              <w:bottom w:w="72" w:type="dxa"/>
              <w:right w:w="144" w:type="dxa"/>
            </w:tcMar>
            <w:vAlign w:val="center"/>
            <w:hideMark/>
          </w:tcPr>
          <w:p w14:paraId="6DC6E318"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NAD(P)H quinone dehydrogenase 1</w:t>
            </w:r>
          </w:p>
        </w:tc>
      </w:tr>
      <w:tr w:rsidR="00144A6D" w14:paraId="2B31893B" w14:textId="77777777" w:rsidTr="00144A6D">
        <w:tc>
          <w:tcPr>
            <w:tcW w:w="1938" w:type="dxa"/>
            <w:tcMar>
              <w:top w:w="72" w:type="dxa"/>
              <w:left w:w="144" w:type="dxa"/>
              <w:bottom w:w="72" w:type="dxa"/>
              <w:right w:w="144" w:type="dxa"/>
            </w:tcMar>
            <w:vAlign w:val="center"/>
            <w:hideMark/>
          </w:tcPr>
          <w:p w14:paraId="489838BA"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CCND1</w:t>
            </w:r>
          </w:p>
        </w:tc>
        <w:tc>
          <w:tcPr>
            <w:tcW w:w="6262" w:type="dxa"/>
            <w:tcMar>
              <w:top w:w="72" w:type="dxa"/>
              <w:left w:w="144" w:type="dxa"/>
              <w:bottom w:w="72" w:type="dxa"/>
              <w:right w:w="144" w:type="dxa"/>
            </w:tcMar>
            <w:vAlign w:val="center"/>
            <w:hideMark/>
          </w:tcPr>
          <w:p w14:paraId="12C503DA"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Cyclin D1</w:t>
            </w:r>
          </w:p>
        </w:tc>
      </w:tr>
      <w:tr w:rsidR="00144A6D" w14:paraId="3BA4ACE2" w14:textId="77777777" w:rsidTr="00144A6D">
        <w:tc>
          <w:tcPr>
            <w:tcW w:w="1938" w:type="dxa"/>
            <w:tcMar>
              <w:top w:w="72" w:type="dxa"/>
              <w:left w:w="144" w:type="dxa"/>
              <w:bottom w:w="72" w:type="dxa"/>
              <w:right w:w="144" w:type="dxa"/>
            </w:tcMar>
            <w:vAlign w:val="center"/>
            <w:hideMark/>
          </w:tcPr>
          <w:p w14:paraId="266A5767"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CDK4</w:t>
            </w:r>
          </w:p>
        </w:tc>
        <w:tc>
          <w:tcPr>
            <w:tcW w:w="6262" w:type="dxa"/>
            <w:tcMar>
              <w:top w:w="72" w:type="dxa"/>
              <w:left w:w="144" w:type="dxa"/>
              <w:bottom w:w="72" w:type="dxa"/>
              <w:right w:w="144" w:type="dxa"/>
            </w:tcMar>
            <w:vAlign w:val="center"/>
            <w:hideMark/>
          </w:tcPr>
          <w:p w14:paraId="58A7E262"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Cyclin dependent kinase 4</w:t>
            </w:r>
          </w:p>
        </w:tc>
      </w:tr>
      <w:tr w:rsidR="00144A6D" w14:paraId="41C72E5B" w14:textId="77777777" w:rsidTr="00144A6D">
        <w:tc>
          <w:tcPr>
            <w:tcW w:w="1938" w:type="dxa"/>
            <w:tcMar>
              <w:top w:w="72" w:type="dxa"/>
              <w:left w:w="144" w:type="dxa"/>
              <w:bottom w:w="72" w:type="dxa"/>
              <w:right w:w="144" w:type="dxa"/>
            </w:tcMar>
            <w:vAlign w:val="center"/>
            <w:hideMark/>
          </w:tcPr>
          <w:p w14:paraId="3789276E"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PLAUR</w:t>
            </w:r>
          </w:p>
        </w:tc>
        <w:tc>
          <w:tcPr>
            <w:tcW w:w="6262" w:type="dxa"/>
            <w:tcMar>
              <w:top w:w="72" w:type="dxa"/>
              <w:left w:w="144" w:type="dxa"/>
              <w:bottom w:w="72" w:type="dxa"/>
              <w:right w:w="144" w:type="dxa"/>
            </w:tcMar>
            <w:vAlign w:val="center"/>
            <w:hideMark/>
          </w:tcPr>
          <w:p w14:paraId="23BA6BD2"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Plasminogen activator</w:t>
            </w:r>
          </w:p>
        </w:tc>
      </w:tr>
      <w:tr w:rsidR="00144A6D" w14:paraId="4D9E61BE" w14:textId="77777777" w:rsidTr="00144A6D">
        <w:tc>
          <w:tcPr>
            <w:tcW w:w="1938" w:type="dxa"/>
            <w:tcMar>
              <w:top w:w="72" w:type="dxa"/>
              <w:left w:w="144" w:type="dxa"/>
              <w:bottom w:w="72" w:type="dxa"/>
              <w:right w:w="144" w:type="dxa"/>
            </w:tcMar>
            <w:vAlign w:val="center"/>
            <w:hideMark/>
          </w:tcPr>
          <w:p w14:paraId="114A3573"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PPARG</w:t>
            </w:r>
          </w:p>
        </w:tc>
        <w:tc>
          <w:tcPr>
            <w:tcW w:w="6262" w:type="dxa"/>
            <w:tcMar>
              <w:top w:w="72" w:type="dxa"/>
              <w:left w:w="144" w:type="dxa"/>
              <w:bottom w:w="72" w:type="dxa"/>
              <w:right w:w="144" w:type="dxa"/>
            </w:tcMar>
            <w:vAlign w:val="center"/>
            <w:hideMark/>
          </w:tcPr>
          <w:p w14:paraId="66F12ED4"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Peroxisome proliferator activated receptor gamma</w:t>
            </w:r>
          </w:p>
        </w:tc>
      </w:tr>
      <w:tr w:rsidR="00144A6D" w14:paraId="7856DEC0" w14:textId="77777777" w:rsidTr="00144A6D">
        <w:tc>
          <w:tcPr>
            <w:tcW w:w="1938" w:type="dxa"/>
            <w:tcMar>
              <w:top w:w="72" w:type="dxa"/>
              <w:left w:w="144" w:type="dxa"/>
              <w:bottom w:w="72" w:type="dxa"/>
              <w:right w:w="144" w:type="dxa"/>
            </w:tcMar>
            <w:vAlign w:val="center"/>
            <w:hideMark/>
          </w:tcPr>
          <w:p w14:paraId="501890FC"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MCL1</w:t>
            </w:r>
          </w:p>
        </w:tc>
        <w:tc>
          <w:tcPr>
            <w:tcW w:w="6262" w:type="dxa"/>
            <w:tcMar>
              <w:top w:w="72" w:type="dxa"/>
              <w:left w:w="144" w:type="dxa"/>
              <w:bottom w:w="72" w:type="dxa"/>
              <w:right w:w="144" w:type="dxa"/>
            </w:tcMar>
            <w:vAlign w:val="center"/>
            <w:hideMark/>
          </w:tcPr>
          <w:p w14:paraId="597F0104"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MCL1 apoptosis regulator</w:t>
            </w:r>
          </w:p>
        </w:tc>
      </w:tr>
      <w:tr w:rsidR="00144A6D" w14:paraId="30F63C12" w14:textId="77777777" w:rsidTr="00144A6D">
        <w:tc>
          <w:tcPr>
            <w:tcW w:w="1938" w:type="dxa"/>
            <w:tcMar>
              <w:top w:w="72" w:type="dxa"/>
              <w:left w:w="144" w:type="dxa"/>
              <w:bottom w:w="72" w:type="dxa"/>
              <w:right w:w="144" w:type="dxa"/>
            </w:tcMar>
            <w:vAlign w:val="center"/>
            <w:hideMark/>
          </w:tcPr>
          <w:p w14:paraId="37AC65F5"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PRKCA</w:t>
            </w:r>
          </w:p>
        </w:tc>
        <w:tc>
          <w:tcPr>
            <w:tcW w:w="6262" w:type="dxa"/>
            <w:tcMar>
              <w:top w:w="72" w:type="dxa"/>
              <w:left w:w="144" w:type="dxa"/>
              <w:bottom w:w="72" w:type="dxa"/>
              <w:right w:w="144" w:type="dxa"/>
            </w:tcMar>
            <w:vAlign w:val="center"/>
            <w:hideMark/>
          </w:tcPr>
          <w:p w14:paraId="6BD04BBB"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Protein kinase C alpha</w:t>
            </w:r>
          </w:p>
        </w:tc>
      </w:tr>
      <w:tr w:rsidR="00144A6D" w14:paraId="1E53D8AF" w14:textId="77777777" w:rsidTr="00144A6D">
        <w:tc>
          <w:tcPr>
            <w:tcW w:w="1938" w:type="dxa"/>
            <w:tcMar>
              <w:top w:w="72" w:type="dxa"/>
              <w:left w:w="144" w:type="dxa"/>
              <w:bottom w:w="72" w:type="dxa"/>
              <w:right w:w="144" w:type="dxa"/>
            </w:tcMar>
            <w:vAlign w:val="center"/>
            <w:hideMark/>
          </w:tcPr>
          <w:p w14:paraId="716B512F"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CASP3</w:t>
            </w:r>
          </w:p>
        </w:tc>
        <w:tc>
          <w:tcPr>
            <w:tcW w:w="6262" w:type="dxa"/>
            <w:tcMar>
              <w:top w:w="72" w:type="dxa"/>
              <w:left w:w="144" w:type="dxa"/>
              <w:bottom w:w="72" w:type="dxa"/>
              <w:right w:w="144" w:type="dxa"/>
            </w:tcMar>
            <w:vAlign w:val="center"/>
            <w:hideMark/>
          </w:tcPr>
          <w:p w14:paraId="3D165F53"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Caspase 3</w:t>
            </w:r>
          </w:p>
        </w:tc>
      </w:tr>
      <w:tr w:rsidR="00144A6D" w14:paraId="45D18C31" w14:textId="77777777" w:rsidTr="00144A6D">
        <w:tc>
          <w:tcPr>
            <w:tcW w:w="1938" w:type="dxa"/>
            <w:tcMar>
              <w:top w:w="72" w:type="dxa"/>
              <w:left w:w="144" w:type="dxa"/>
              <w:bottom w:w="72" w:type="dxa"/>
              <w:right w:w="144" w:type="dxa"/>
            </w:tcMar>
            <w:vAlign w:val="center"/>
            <w:hideMark/>
          </w:tcPr>
          <w:p w14:paraId="11AC69C6"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HSP90AA1</w:t>
            </w:r>
          </w:p>
        </w:tc>
        <w:tc>
          <w:tcPr>
            <w:tcW w:w="6262" w:type="dxa"/>
            <w:tcMar>
              <w:top w:w="72" w:type="dxa"/>
              <w:left w:w="144" w:type="dxa"/>
              <w:bottom w:w="72" w:type="dxa"/>
              <w:right w:w="144" w:type="dxa"/>
            </w:tcMar>
            <w:vAlign w:val="center"/>
            <w:hideMark/>
          </w:tcPr>
          <w:p w14:paraId="1E628D40"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Heat shock protein 90 alpha family class A member 1</w:t>
            </w:r>
          </w:p>
        </w:tc>
      </w:tr>
      <w:tr w:rsidR="00144A6D" w14:paraId="212B8526" w14:textId="77777777" w:rsidTr="00144A6D">
        <w:tc>
          <w:tcPr>
            <w:tcW w:w="1938" w:type="dxa"/>
            <w:tcMar>
              <w:top w:w="72" w:type="dxa"/>
              <w:left w:w="144" w:type="dxa"/>
              <w:bottom w:w="72" w:type="dxa"/>
              <w:right w:w="144" w:type="dxa"/>
            </w:tcMar>
            <w:vAlign w:val="center"/>
            <w:hideMark/>
          </w:tcPr>
          <w:p w14:paraId="12FC19A2"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MTOR</w:t>
            </w:r>
          </w:p>
        </w:tc>
        <w:tc>
          <w:tcPr>
            <w:tcW w:w="6262" w:type="dxa"/>
            <w:tcMar>
              <w:top w:w="72" w:type="dxa"/>
              <w:left w:w="144" w:type="dxa"/>
              <w:bottom w:w="72" w:type="dxa"/>
              <w:right w:w="144" w:type="dxa"/>
            </w:tcMar>
            <w:vAlign w:val="center"/>
            <w:hideMark/>
          </w:tcPr>
          <w:p w14:paraId="6C70098E"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Mechanistic target of rapamycin kinase</w:t>
            </w:r>
          </w:p>
        </w:tc>
      </w:tr>
      <w:tr w:rsidR="00144A6D" w14:paraId="226140C2" w14:textId="77777777" w:rsidTr="00144A6D">
        <w:tc>
          <w:tcPr>
            <w:tcW w:w="1938" w:type="dxa"/>
            <w:tcMar>
              <w:top w:w="72" w:type="dxa"/>
              <w:left w:w="144" w:type="dxa"/>
              <w:bottom w:w="72" w:type="dxa"/>
              <w:right w:w="144" w:type="dxa"/>
            </w:tcMar>
            <w:vAlign w:val="center"/>
            <w:hideMark/>
          </w:tcPr>
          <w:p w14:paraId="1D9FC053"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CYP19A1</w:t>
            </w:r>
          </w:p>
        </w:tc>
        <w:tc>
          <w:tcPr>
            <w:tcW w:w="6262" w:type="dxa"/>
            <w:tcMar>
              <w:top w:w="72" w:type="dxa"/>
              <w:left w:w="144" w:type="dxa"/>
              <w:bottom w:w="72" w:type="dxa"/>
              <w:right w:w="144" w:type="dxa"/>
            </w:tcMar>
            <w:vAlign w:val="center"/>
            <w:hideMark/>
          </w:tcPr>
          <w:p w14:paraId="14A1E880"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Cytochrome P450 family 19 subfamily A member 1</w:t>
            </w:r>
          </w:p>
        </w:tc>
      </w:tr>
      <w:tr w:rsidR="00144A6D" w14:paraId="268B9B20" w14:textId="77777777" w:rsidTr="00144A6D">
        <w:tc>
          <w:tcPr>
            <w:tcW w:w="1938" w:type="dxa"/>
            <w:tcMar>
              <w:top w:w="72" w:type="dxa"/>
              <w:left w:w="144" w:type="dxa"/>
              <w:bottom w:w="72" w:type="dxa"/>
              <w:right w:w="144" w:type="dxa"/>
            </w:tcMar>
            <w:vAlign w:val="center"/>
            <w:hideMark/>
          </w:tcPr>
          <w:p w14:paraId="07FE062E"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PLAT</w:t>
            </w:r>
          </w:p>
        </w:tc>
        <w:tc>
          <w:tcPr>
            <w:tcW w:w="6262" w:type="dxa"/>
            <w:tcMar>
              <w:top w:w="72" w:type="dxa"/>
              <w:left w:w="144" w:type="dxa"/>
              <w:bottom w:w="72" w:type="dxa"/>
              <w:right w:w="144" w:type="dxa"/>
            </w:tcMar>
            <w:vAlign w:val="center"/>
            <w:hideMark/>
          </w:tcPr>
          <w:p w14:paraId="373FD2ED"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Plasminogen activator</w:t>
            </w:r>
          </w:p>
        </w:tc>
      </w:tr>
      <w:tr w:rsidR="00144A6D" w14:paraId="28F1709E" w14:textId="77777777" w:rsidTr="00144A6D">
        <w:tc>
          <w:tcPr>
            <w:tcW w:w="1938" w:type="dxa"/>
            <w:tcMar>
              <w:top w:w="72" w:type="dxa"/>
              <w:left w:w="144" w:type="dxa"/>
              <w:bottom w:w="72" w:type="dxa"/>
              <w:right w:w="144" w:type="dxa"/>
            </w:tcMar>
            <w:vAlign w:val="center"/>
            <w:hideMark/>
          </w:tcPr>
          <w:p w14:paraId="54CAE9F9"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CCNE1</w:t>
            </w:r>
          </w:p>
        </w:tc>
        <w:tc>
          <w:tcPr>
            <w:tcW w:w="6262" w:type="dxa"/>
            <w:tcMar>
              <w:top w:w="72" w:type="dxa"/>
              <w:left w:w="144" w:type="dxa"/>
              <w:bottom w:w="72" w:type="dxa"/>
              <w:right w:w="144" w:type="dxa"/>
            </w:tcMar>
            <w:vAlign w:val="center"/>
            <w:hideMark/>
          </w:tcPr>
          <w:p w14:paraId="077EDD03"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Cyclin E1</w:t>
            </w:r>
          </w:p>
        </w:tc>
      </w:tr>
      <w:tr w:rsidR="00144A6D" w14:paraId="30BD1446" w14:textId="77777777" w:rsidTr="00144A6D">
        <w:tc>
          <w:tcPr>
            <w:tcW w:w="1938" w:type="dxa"/>
            <w:tcMar>
              <w:top w:w="72" w:type="dxa"/>
              <w:left w:w="144" w:type="dxa"/>
              <w:bottom w:w="72" w:type="dxa"/>
              <w:right w:w="144" w:type="dxa"/>
            </w:tcMar>
            <w:vAlign w:val="center"/>
            <w:hideMark/>
          </w:tcPr>
          <w:p w14:paraId="517A1D89"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PTGS1</w:t>
            </w:r>
          </w:p>
        </w:tc>
        <w:tc>
          <w:tcPr>
            <w:tcW w:w="6262" w:type="dxa"/>
            <w:tcMar>
              <w:top w:w="72" w:type="dxa"/>
              <w:left w:w="144" w:type="dxa"/>
              <w:bottom w:w="72" w:type="dxa"/>
              <w:right w:w="144" w:type="dxa"/>
            </w:tcMar>
            <w:vAlign w:val="center"/>
            <w:hideMark/>
          </w:tcPr>
          <w:p w14:paraId="54CBFD31"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Prostaglandin-endoperoxide synthase 1</w:t>
            </w:r>
          </w:p>
        </w:tc>
      </w:tr>
      <w:tr w:rsidR="00144A6D" w14:paraId="13843F92" w14:textId="77777777" w:rsidTr="00144A6D">
        <w:tc>
          <w:tcPr>
            <w:tcW w:w="1938" w:type="dxa"/>
            <w:tcMar>
              <w:top w:w="72" w:type="dxa"/>
              <w:left w:w="144" w:type="dxa"/>
              <w:bottom w:w="72" w:type="dxa"/>
              <w:right w:w="144" w:type="dxa"/>
            </w:tcMar>
            <w:vAlign w:val="center"/>
            <w:hideMark/>
          </w:tcPr>
          <w:p w14:paraId="60BF823E"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F3</w:t>
            </w:r>
          </w:p>
        </w:tc>
        <w:tc>
          <w:tcPr>
            <w:tcW w:w="6262" w:type="dxa"/>
            <w:tcMar>
              <w:top w:w="72" w:type="dxa"/>
              <w:left w:w="144" w:type="dxa"/>
              <w:bottom w:w="72" w:type="dxa"/>
              <w:right w:w="144" w:type="dxa"/>
            </w:tcMar>
            <w:vAlign w:val="center"/>
            <w:hideMark/>
          </w:tcPr>
          <w:p w14:paraId="2DF462EF"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Coagulation factor III</w:t>
            </w:r>
          </w:p>
        </w:tc>
      </w:tr>
      <w:tr w:rsidR="00144A6D" w14:paraId="3D401522" w14:textId="77777777" w:rsidTr="00144A6D">
        <w:tc>
          <w:tcPr>
            <w:tcW w:w="1938" w:type="dxa"/>
            <w:tcMar>
              <w:top w:w="72" w:type="dxa"/>
              <w:left w:w="144" w:type="dxa"/>
              <w:bottom w:w="72" w:type="dxa"/>
              <w:right w:w="144" w:type="dxa"/>
            </w:tcMar>
            <w:vAlign w:val="center"/>
            <w:hideMark/>
          </w:tcPr>
          <w:p w14:paraId="53878839"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IGF1R</w:t>
            </w:r>
          </w:p>
        </w:tc>
        <w:tc>
          <w:tcPr>
            <w:tcW w:w="6262" w:type="dxa"/>
            <w:tcMar>
              <w:top w:w="72" w:type="dxa"/>
              <w:left w:w="144" w:type="dxa"/>
              <w:bottom w:w="72" w:type="dxa"/>
              <w:right w:w="144" w:type="dxa"/>
            </w:tcMar>
            <w:vAlign w:val="center"/>
            <w:hideMark/>
          </w:tcPr>
          <w:p w14:paraId="1181D7CA"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Insulin like growth factor 1 receptor</w:t>
            </w:r>
          </w:p>
        </w:tc>
      </w:tr>
      <w:tr w:rsidR="00144A6D" w14:paraId="7E56D257" w14:textId="77777777" w:rsidTr="00144A6D">
        <w:tc>
          <w:tcPr>
            <w:tcW w:w="1938" w:type="dxa"/>
            <w:tcMar>
              <w:top w:w="72" w:type="dxa"/>
              <w:left w:w="144" w:type="dxa"/>
              <w:bottom w:w="72" w:type="dxa"/>
              <w:right w:w="144" w:type="dxa"/>
            </w:tcMar>
            <w:vAlign w:val="center"/>
            <w:hideMark/>
          </w:tcPr>
          <w:p w14:paraId="5E778E65"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CYP1A1</w:t>
            </w:r>
          </w:p>
        </w:tc>
        <w:tc>
          <w:tcPr>
            <w:tcW w:w="6262" w:type="dxa"/>
            <w:tcMar>
              <w:top w:w="72" w:type="dxa"/>
              <w:left w:w="144" w:type="dxa"/>
              <w:bottom w:w="72" w:type="dxa"/>
              <w:right w:w="144" w:type="dxa"/>
            </w:tcMar>
            <w:vAlign w:val="center"/>
            <w:hideMark/>
          </w:tcPr>
          <w:p w14:paraId="2B9E98C0"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Cytochrome P450 family 1 subfamily A member 1</w:t>
            </w:r>
          </w:p>
        </w:tc>
      </w:tr>
      <w:tr w:rsidR="00144A6D" w14:paraId="04E47B5C" w14:textId="77777777" w:rsidTr="00144A6D">
        <w:tc>
          <w:tcPr>
            <w:tcW w:w="1938" w:type="dxa"/>
            <w:tcMar>
              <w:top w:w="72" w:type="dxa"/>
              <w:left w:w="144" w:type="dxa"/>
              <w:bottom w:w="72" w:type="dxa"/>
              <w:right w:w="144" w:type="dxa"/>
            </w:tcMar>
            <w:vAlign w:val="center"/>
            <w:hideMark/>
          </w:tcPr>
          <w:p w14:paraId="63D05694"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RELA</w:t>
            </w:r>
          </w:p>
        </w:tc>
        <w:tc>
          <w:tcPr>
            <w:tcW w:w="6262" w:type="dxa"/>
            <w:tcMar>
              <w:top w:w="72" w:type="dxa"/>
              <w:left w:w="144" w:type="dxa"/>
              <w:bottom w:w="72" w:type="dxa"/>
              <w:right w:w="144" w:type="dxa"/>
            </w:tcMar>
            <w:vAlign w:val="center"/>
            <w:hideMark/>
          </w:tcPr>
          <w:p w14:paraId="4A965916"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NF-kB subunit</w:t>
            </w:r>
          </w:p>
        </w:tc>
      </w:tr>
      <w:tr w:rsidR="00144A6D" w14:paraId="3F3F3B2E" w14:textId="77777777" w:rsidTr="00144A6D">
        <w:tc>
          <w:tcPr>
            <w:tcW w:w="1938" w:type="dxa"/>
            <w:tcMar>
              <w:top w:w="72" w:type="dxa"/>
              <w:left w:w="144" w:type="dxa"/>
              <w:bottom w:w="72" w:type="dxa"/>
              <w:right w:w="144" w:type="dxa"/>
            </w:tcMar>
            <w:vAlign w:val="center"/>
            <w:hideMark/>
          </w:tcPr>
          <w:p w14:paraId="4C5D2E25"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NOS3</w:t>
            </w:r>
          </w:p>
        </w:tc>
        <w:tc>
          <w:tcPr>
            <w:tcW w:w="6262" w:type="dxa"/>
            <w:tcMar>
              <w:top w:w="72" w:type="dxa"/>
              <w:left w:w="144" w:type="dxa"/>
              <w:bottom w:w="72" w:type="dxa"/>
              <w:right w:w="144" w:type="dxa"/>
            </w:tcMar>
            <w:vAlign w:val="center"/>
            <w:hideMark/>
          </w:tcPr>
          <w:p w14:paraId="2DC02459"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Nitric oxide synthase 3</w:t>
            </w:r>
          </w:p>
        </w:tc>
      </w:tr>
      <w:tr w:rsidR="00144A6D" w14:paraId="342A5834" w14:textId="77777777" w:rsidTr="00144A6D">
        <w:tc>
          <w:tcPr>
            <w:tcW w:w="1938" w:type="dxa"/>
            <w:tcMar>
              <w:top w:w="72" w:type="dxa"/>
              <w:left w:w="144" w:type="dxa"/>
              <w:bottom w:w="72" w:type="dxa"/>
              <w:right w:w="144" w:type="dxa"/>
            </w:tcMar>
            <w:vAlign w:val="center"/>
            <w:hideMark/>
          </w:tcPr>
          <w:p w14:paraId="77CE2D2C"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CYP1B1</w:t>
            </w:r>
          </w:p>
        </w:tc>
        <w:tc>
          <w:tcPr>
            <w:tcW w:w="6262" w:type="dxa"/>
            <w:tcMar>
              <w:top w:w="72" w:type="dxa"/>
              <w:left w:w="144" w:type="dxa"/>
              <w:bottom w:w="72" w:type="dxa"/>
              <w:right w:w="144" w:type="dxa"/>
            </w:tcMar>
            <w:vAlign w:val="center"/>
            <w:hideMark/>
          </w:tcPr>
          <w:p w14:paraId="3BA7EC8B"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Cytochrome P450 family 1 subfamily B member 1</w:t>
            </w:r>
          </w:p>
        </w:tc>
      </w:tr>
      <w:tr w:rsidR="00144A6D" w14:paraId="0CD2AE37" w14:textId="77777777" w:rsidTr="00144A6D">
        <w:tc>
          <w:tcPr>
            <w:tcW w:w="1938" w:type="dxa"/>
            <w:tcBorders>
              <w:top w:val="nil"/>
              <w:left w:val="single" w:sz="8" w:space="0" w:color="FFFFFF"/>
              <w:bottom w:val="single" w:sz="8" w:space="0" w:color="000000"/>
              <w:right w:val="single" w:sz="8" w:space="0" w:color="FFFFFF"/>
            </w:tcBorders>
            <w:tcMar>
              <w:top w:w="72" w:type="dxa"/>
              <w:left w:w="144" w:type="dxa"/>
              <w:bottom w:w="72" w:type="dxa"/>
              <w:right w:w="144" w:type="dxa"/>
            </w:tcMar>
            <w:vAlign w:val="center"/>
            <w:hideMark/>
          </w:tcPr>
          <w:p w14:paraId="57869636" w14:textId="77777777" w:rsidR="00144A6D" w:rsidRDefault="00144A6D">
            <w:pPr>
              <w:widowControl/>
              <w:snapToGrid w:val="0"/>
              <w:jc w:val="center"/>
              <w:rPr>
                <w:rFonts w:ascii="Times New Roman" w:eastAsia="宋体" w:hAnsi="Times New Roman" w:cs="Times New Roman"/>
                <w:b/>
                <w:bCs/>
                <w:color w:val="000000" w:themeColor="text1"/>
                <w:kern w:val="24"/>
                <w:szCs w:val="21"/>
              </w:rPr>
            </w:pPr>
            <w:r>
              <w:rPr>
                <w:rFonts w:ascii="Times New Roman" w:eastAsia="宋体" w:hAnsi="Times New Roman" w:cs="Times New Roman"/>
                <w:b/>
                <w:bCs/>
                <w:color w:val="000000" w:themeColor="text1"/>
                <w:kern w:val="24"/>
                <w:szCs w:val="21"/>
              </w:rPr>
              <w:t>AHR</w:t>
            </w:r>
          </w:p>
        </w:tc>
        <w:tc>
          <w:tcPr>
            <w:tcW w:w="6262" w:type="dxa"/>
            <w:tcBorders>
              <w:top w:val="nil"/>
              <w:left w:val="single" w:sz="8" w:space="0" w:color="FFFFFF"/>
              <w:bottom w:val="single" w:sz="8" w:space="0" w:color="000000"/>
              <w:right w:val="single" w:sz="8" w:space="0" w:color="FFFFFF"/>
            </w:tcBorders>
            <w:tcMar>
              <w:top w:w="72" w:type="dxa"/>
              <w:left w:w="144" w:type="dxa"/>
              <w:bottom w:w="72" w:type="dxa"/>
              <w:right w:w="144" w:type="dxa"/>
            </w:tcMar>
            <w:vAlign w:val="center"/>
            <w:hideMark/>
          </w:tcPr>
          <w:p w14:paraId="613D6EDB" w14:textId="77777777" w:rsidR="00144A6D" w:rsidRDefault="00144A6D">
            <w:pPr>
              <w:widowControl/>
              <w:snapToGrid w:val="0"/>
              <w:jc w:val="center"/>
              <w:rPr>
                <w:rFonts w:ascii="Times New Roman" w:eastAsia="宋体" w:hAnsi="Times New Roman" w:cs="Times New Roman"/>
                <w:color w:val="000000" w:themeColor="text1"/>
                <w:kern w:val="24"/>
                <w:szCs w:val="21"/>
              </w:rPr>
            </w:pPr>
            <w:r>
              <w:rPr>
                <w:rFonts w:ascii="Times New Roman" w:eastAsia="宋体" w:hAnsi="Times New Roman" w:cs="Times New Roman"/>
                <w:color w:val="000000" w:themeColor="text1"/>
                <w:kern w:val="24"/>
                <w:szCs w:val="21"/>
              </w:rPr>
              <w:t>Aryl hydrocarbon receptor</w:t>
            </w:r>
          </w:p>
        </w:tc>
      </w:tr>
    </w:tbl>
    <w:p w14:paraId="0972219E" w14:textId="77777777" w:rsidR="00144A6D" w:rsidRDefault="00144A6D" w:rsidP="00144A6D">
      <w:pPr>
        <w:rPr>
          <w:rFonts w:hint="eastAsia"/>
        </w:rPr>
      </w:pPr>
    </w:p>
    <w:p w14:paraId="482BD709" w14:textId="77777777" w:rsidR="00144A6D" w:rsidRPr="00144A6D" w:rsidRDefault="00144A6D" w:rsidP="00CD1162">
      <w:pPr>
        <w:rPr>
          <w:rFonts w:ascii="Times New Roman" w:hAnsi="Times New Roman" w:cs="Times New Roman"/>
        </w:rPr>
      </w:pPr>
    </w:p>
    <w:p w14:paraId="7927BC51" w14:textId="77777777" w:rsidR="00791C43" w:rsidRPr="00CD1162" w:rsidRDefault="00791C43">
      <w:pPr>
        <w:rPr>
          <w:rFonts w:hint="eastAsia"/>
        </w:rPr>
      </w:pPr>
    </w:p>
    <w:sectPr w:rsidR="00791C43" w:rsidRPr="00CD11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84E"/>
    <w:rsid w:val="00144A6D"/>
    <w:rsid w:val="00171FE9"/>
    <w:rsid w:val="001F3F85"/>
    <w:rsid w:val="00326414"/>
    <w:rsid w:val="00487DC5"/>
    <w:rsid w:val="0070684E"/>
    <w:rsid w:val="007364B0"/>
    <w:rsid w:val="00791C43"/>
    <w:rsid w:val="008317E4"/>
    <w:rsid w:val="008476F2"/>
    <w:rsid w:val="00847755"/>
    <w:rsid w:val="00B832AC"/>
    <w:rsid w:val="00C02612"/>
    <w:rsid w:val="00C3322C"/>
    <w:rsid w:val="00CD1162"/>
    <w:rsid w:val="00DB2A47"/>
    <w:rsid w:val="00FB0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738D2"/>
  <w15:chartTrackingRefBased/>
  <w15:docId w15:val="{4BAD7039-11BA-4C6E-94F1-1A65B66FB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116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14602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590</Words>
  <Characters>3367</Characters>
  <Application>Microsoft Office Word</Application>
  <DocSecurity>0</DocSecurity>
  <Lines>28</Lines>
  <Paragraphs>7</Paragraphs>
  <ScaleCrop>false</ScaleCrop>
  <Company/>
  <LinksUpToDate>false</LinksUpToDate>
  <CharactersWithSpaces>3950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娜 刘</dc:creator>
  <cp:keywords/>
  <dc:description/>
  <cp:lastModifiedBy>娜 刘</cp:lastModifiedBy>
  <cp:revision>4</cp:revision>
  <dcterms:created xsi:type="dcterms:W3CDTF">2024-12-18T13:07:00Z</dcterms:created>
  <dcterms:modified xsi:type="dcterms:W3CDTF">2024-12-18T14:16:00Z</dcterms:modified>
</cp:coreProperties>
</file>