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8EB0BC" w14:textId="77777777" w:rsidR="00670AFB" w:rsidRDefault="00670AFB"/>
    <w:p w14:paraId="1F63CFA5" w14:textId="77777777" w:rsidR="00670AFB" w:rsidRDefault="00670AFB"/>
    <w:p w14:paraId="4C7B75E3" w14:textId="06E61993" w:rsidR="00670AFB" w:rsidRDefault="00670AFB">
      <w:r>
        <w:t xml:space="preserve">Graphical Abstract. </w:t>
      </w:r>
    </w:p>
    <w:p w14:paraId="446FC8AF" w14:textId="11725264" w:rsidR="00670AFB" w:rsidRDefault="00670AFB">
      <w:r>
        <w:t>Lavan RP , et al</w:t>
      </w:r>
    </w:p>
    <w:p w14:paraId="515EC614" w14:textId="77777777" w:rsidR="00670AFB" w:rsidRPr="00AD6627" w:rsidRDefault="00670AFB" w:rsidP="00670AFB">
      <w:pPr>
        <w:spacing w:line="480" w:lineRule="auto"/>
        <w:rPr>
          <w:b/>
          <w:bCs/>
        </w:rPr>
      </w:pPr>
      <w:r w:rsidRPr="00AD6627">
        <w:rPr>
          <w:b/>
          <w:bCs/>
        </w:rPr>
        <w:t xml:space="preserve">An assessment of canine ectoparasiticide administration compliance in the United States based on timing of ectoparasiticide purchases recorded in veterinary hospital transactions. </w:t>
      </w:r>
    </w:p>
    <w:p w14:paraId="69CF8830" w14:textId="77777777" w:rsidR="00670AFB" w:rsidRDefault="00670AFB"/>
    <w:p w14:paraId="6E153CFD" w14:textId="77777777" w:rsidR="00670AFB" w:rsidRDefault="00670AFB"/>
    <w:p w14:paraId="676774C5" w14:textId="77777777" w:rsidR="00670AFB" w:rsidRDefault="00670AFB"/>
    <w:p w14:paraId="7616C372" w14:textId="3FD19C56" w:rsidR="00C94E04" w:rsidRDefault="00670AFB">
      <w:r w:rsidRPr="00AD6627">
        <w:rPr>
          <w:rFonts w:cstheme="minorHAnsi"/>
          <w:noProof/>
          <w:color w:val="2E2E2E"/>
          <w:sz w:val="24"/>
          <w:szCs w:val="24"/>
        </w:rPr>
        <w:drawing>
          <wp:inline distT="0" distB="0" distL="0" distR="0" wp14:anchorId="1D1E3FA0" wp14:editId="2C7BA415">
            <wp:extent cx="5262245" cy="3176587"/>
            <wp:effectExtent l="0" t="0" r="14605" b="5080"/>
            <wp:docPr id="20" name="Chart 20">
              <a:extLst xmlns:a="http://schemas.openxmlformats.org/drawingml/2006/main">
                <a:ext uri="{FF2B5EF4-FFF2-40B4-BE49-F238E27FC236}">
                  <a16:creationId xmlns:a16="http://schemas.microsoft.com/office/drawing/2014/main" id="{50719F45-C280-4184-A6F9-A9D57C8AE59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C94E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64FEAE" w14:textId="77777777" w:rsidR="00670AFB" w:rsidRDefault="00670AFB" w:rsidP="00670AFB">
      <w:pPr>
        <w:spacing w:after="0" w:line="240" w:lineRule="auto"/>
      </w:pPr>
      <w:r>
        <w:separator/>
      </w:r>
    </w:p>
  </w:endnote>
  <w:endnote w:type="continuationSeparator" w:id="0">
    <w:p w14:paraId="4AF0B0E6" w14:textId="77777777" w:rsidR="00670AFB" w:rsidRDefault="00670AFB" w:rsidP="00670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54D0F7" w14:textId="77777777" w:rsidR="00670AFB" w:rsidRDefault="00670AFB" w:rsidP="00670AFB">
      <w:pPr>
        <w:spacing w:after="0" w:line="240" w:lineRule="auto"/>
      </w:pPr>
      <w:r>
        <w:separator/>
      </w:r>
    </w:p>
  </w:footnote>
  <w:footnote w:type="continuationSeparator" w:id="0">
    <w:p w14:paraId="699C1903" w14:textId="77777777" w:rsidR="00670AFB" w:rsidRDefault="00670AFB" w:rsidP="00670A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AFB"/>
    <w:rsid w:val="001A1C02"/>
    <w:rsid w:val="00670AFB"/>
    <w:rsid w:val="00C9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B5F92D"/>
  <w15:chartTrackingRefBased/>
  <w15:docId w15:val="{F9197BDE-DC4F-426F-84CB-B06B8DC7D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0A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0AFB"/>
  </w:style>
  <w:style w:type="paragraph" w:styleId="Footer">
    <w:name w:val="footer"/>
    <w:basedOn w:val="Normal"/>
    <w:link w:val="FooterChar"/>
    <w:uiPriority w:val="99"/>
    <w:unhideWhenUsed/>
    <w:rsid w:val="00670A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0A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3405029602384533"/>
          <c:y val="0.15656225698696902"/>
          <c:w val="0.72472851416078121"/>
          <c:h val="0.60423484149647233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Dose 1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Lotilaner</c:v>
                </c:pt>
                <c:pt idx="1">
                  <c:v>Sarolaner</c:v>
                </c:pt>
                <c:pt idx="2">
                  <c:v>Afoxalner</c:v>
                </c:pt>
                <c:pt idx="3">
                  <c:v>Fluralaner-8wk</c:v>
                </c:pt>
                <c:pt idx="4">
                  <c:v>Fluralaner-12wk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4.3</c:v>
                </c:pt>
                <c:pt idx="1">
                  <c:v>4.3</c:v>
                </c:pt>
                <c:pt idx="2">
                  <c:v>4.3</c:v>
                </c:pt>
                <c:pt idx="3">
                  <c:v>8</c:v>
                </c:pt>
                <c:pt idx="4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640-46B9-980D-4123584D6B2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Gap 1</c:v>
                </c:pt>
              </c:strCache>
            </c:strRef>
          </c:tx>
          <c:spPr>
            <a:solidFill>
              <a:schemeClr val="accent2">
                <a:alpha val="7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Lotilaner</c:v>
                </c:pt>
                <c:pt idx="1">
                  <c:v>Sarolaner</c:v>
                </c:pt>
                <c:pt idx="2">
                  <c:v>Afoxalner</c:v>
                </c:pt>
                <c:pt idx="3">
                  <c:v>Fluralaner-8wk</c:v>
                </c:pt>
                <c:pt idx="4">
                  <c:v>Fluralaner-12wk</c:v>
                </c:pt>
              </c:strCache>
            </c:strRef>
          </c:cat>
          <c:val>
            <c:numRef>
              <c:f>Sheet1!$C$2:$C$6</c:f>
              <c:numCache>
                <c:formatCode>0.0</c:formatCode>
                <c:ptCount val="5"/>
                <c:pt idx="0">
                  <c:v>8.9</c:v>
                </c:pt>
                <c:pt idx="1">
                  <c:v>20.3</c:v>
                </c:pt>
                <c:pt idx="2">
                  <c:v>12.9</c:v>
                </c:pt>
                <c:pt idx="3">
                  <c:v>12.8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640-46B9-980D-4123584D6B2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Dose2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Lotilaner</c:v>
                </c:pt>
                <c:pt idx="1">
                  <c:v>Sarolaner</c:v>
                </c:pt>
                <c:pt idx="2">
                  <c:v>Afoxalner</c:v>
                </c:pt>
                <c:pt idx="3">
                  <c:v>Fluralaner-8wk</c:v>
                </c:pt>
                <c:pt idx="4">
                  <c:v>Fluralaner-12wk</c:v>
                </c:pt>
              </c:strCache>
            </c:strRef>
          </c:cat>
          <c:val>
            <c:numRef>
              <c:f>Sheet1!$D$2:$D$6</c:f>
              <c:numCache>
                <c:formatCode>General</c:formatCode>
                <c:ptCount val="5"/>
                <c:pt idx="0">
                  <c:v>4.3</c:v>
                </c:pt>
                <c:pt idx="1">
                  <c:v>4.3</c:v>
                </c:pt>
                <c:pt idx="2">
                  <c:v>4.3</c:v>
                </c:pt>
                <c:pt idx="3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640-46B9-980D-4123584D6B2D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Gap 2</c:v>
                </c:pt>
              </c:strCache>
            </c:strRef>
          </c:tx>
          <c:spPr>
            <a:solidFill>
              <a:schemeClr val="accent4">
                <a:alpha val="7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Lotilaner</c:v>
                </c:pt>
                <c:pt idx="1">
                  <c:v>Sarolaner</c:v>
                </c:pt>
                <c:pt idx="2">
                  <c:v>Afoxalner</c:v>
                </c:pt>
                <c:pt idx="3">
                  <c:v>Fluralaner-8wk</c:v>
                </c:pt>
                <c:pt idx="4">
                  <c:v>Fluralaner-12wk</c:v>
                </c:pt>
              </c:strCache>
            </c:strRef>
          </c:cat>
          <c:val>
            <c:numRef>
              <c:f>Sheet1!$E$2:$E$6</c:f>
              <c:numCache>
                <c:formatCode>General</c:formatCode>
                <c:ptCount val="5"/>
                <c:pt idx="0">
                  <c:v>6.5</c:v>
                </c:pt>
                <c:pt idx="1">
                  <c:v>16.399999999999999</c:v>
                </c:pt>
                <c:pt idx="2">
                  <c:v>9.9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640-46B9-980D-4123584D6B2D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Dose 3</c:v>
                </c:pt>
              </c:strCache>
            </c:strRef>
          </c:tx>
          <c:spPr>
            <a:solidFill>
              <a:schemeClr val="accent5">
                <a:alpha val="70000"/>
              </a:schemeClr>
            </a:solidFill>
            <a:ln>
              <a:noFill/>
            </a:ln>
            <a:effectLst/>
          </c:spPr>
          <c:invertIfNegative val="0"/>
          <c:dLbls>
            <c:spPr>
              <a:solidFill>
                <a:schemeClr val="accent5"/>
              </a:solidFill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Lotilaner</c:v>
                </c:pt>
                <c:pt idx="1">
                  <c:v>Sarolaner</c:v>
                </c:pt>
                <c:pt idx="2">
                  <c:v>Afoxalner</c:v>
                </c:pt>
                <c:pt idx="3">
                  <c:v>Fluralaner-8wk</c:v>
                </c:pt>
                <c:pt idx="4">
                  <c:v>Fluralaner-12wk</c:v>
                </c:pt>
              </c:strCache>
            </c:strRef>
          </c:cat>
          <c:val>
            <c:numRef>
              <c:f>Sheet1!$F$2:$F$6</c:f>
              <c:numCache>
                <c:formatCode>General</c:formatCode>
                <c:ptCount val="5"/>
                <c:pt idx="0">
                  <c:v>4.3</c:v>
                </c:pt>
                <c:pt idx="1">
                  <c:v>4.3</c:v>
                </c:pt>
                <c:pt idx="2">
                  <c:v>4.3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640-46B9-980D-4123584D6B2D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50"/>
        <c:overlap val="100"/>
        <c:axId val="1104756680"/>
        <c:axId val="1104747496"/>
      </c:barChart>
      <c:catAx>
        <c:axId val="110475668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  <a:headEnd type="none" w="sm" len="sm"/>
            <a:tailEnd type="none" w="sm" len="sm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4747496"/>
        <c:crosses val="autoZero"/>
        <c:auto val="1"/>
        <c:lblAlgn val="ctr"/>
        <c:lblOffset val="100"/>
        <c:noMultiLvlLbl val="0"/>
      </c:catAx>
      <c:valAx>
        <c:axId val="110474749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0">
                    <a:schemeClr val="tx1">
                      <a:lumMod val="5000"/>
                      <a:lumOff val="95000"/>
                    </a:schemeClr>
                  </a:gs>
                  <a:gs pos="100000">
                    <a:schemeClr val="tx1">
                      <a:lumMod val="15000"/>
                      <a:lumOff val="85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Weeks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47566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0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  <a:headEnd type="none" w="sm" len="sm"/>
        <a:tailEnd type="none" w="sm" len="sm"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>
          <a:alpha val="70000"/>
        </a:schemeClr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>
          <a:alpha val="70000"/>
        </a:schemeClr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46000">
            <a:schemeClr val="phClr"/>
          </a:gs>
          <a:gs pos="100000">
            <a:schemeClr val="phClr">
              <a:lumMod val="20000"/>
              <a:lumOff val="80000"/>
              <a:alpha val="0"/>
            </a:schemeClr>
          </a:gs>
        </a:gsLst>
        <a:path path="circle">
          <a:fillToRect l="50000" t="-80000" r="50000" b="180000"/>
        </a:path>
      </a:gradFill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0">
              <a:schemeClr val="tx1">
                <a:lumMod val="5000"/>
                <a:lumOff val="95000"/>
              </a:schemeClr>
            </a:gs>
            <a:gs pos="100000">
              <a:schemeClr val="tx1">
                <a:lumMod val="15000"/>
                <a:lumOff val="85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0">
              <a:schemeClr val="tx1">
                <a:lumMod val="5000"/>
                <a:lumOff val="95000"/>
              </a:schemeClr>
            </a:gs>
            <a:gs pos="100000">
              <a:schemeClr val="tx1">
                <a:lumMod val="15000"/>
                <a:lumOff val="85000"/>
              </a:schemeClr>
            </a:gs>
          </a:gsLst>
          <a:lin ang="5400000" scaled="0"/>
        </a:gra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  <a:headEnd type="none" w="sm" len="sm"/>
        <a:tailEnd type="none" w="sm" len="sm"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1" kern="1200" cap="all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a10f9ac0-5937-4b4f-b459-96aedd9ed2c5" origin="userSelected">
  <element uid="9920fcc9-9f43-4d43-9e3e-b98a219cfd55" value=""/>
</sisl>
</file>

<file path=customXml/itemProps1.xml><?xml version="1.0" encoding="utf-8"?>
<ds:datastoreItem xmlns:ds="http://schemas.openxmlformats.org/officeDocument/2006/customXml" ds:itemID="{7B75A529-BA94-495A-A170-D194E1C578C1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Lavan, Robert Philip</dc:creator>
  <cp:keywords/>
  <dc:description/>
  <cp:lastModifiedBy>Lavan, Robert Philip</cp:lastModifiedBy>
  <cp:revision>2</cp:revision>
  <dcterms:created xsi:type="dcterms:W3CDTF">2021-06-10T20:28:00Z</dcterms:created>
  <dcterms:modified xsi:type="dcterms:W3CDTF">2021-06-10T20:28:00Z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621a4414-5125-46ae-907c-4f8b04ba73e8</vt:lpwstr>
  </property>
  <property fmtid="{D5CDD505-2E9C-101B-9397-08002B2CF9AE}" pid="3" name="bjSaver">
    <vt:lpwstr>/KAXS7AVPcaBYBaPUMIXeHdzhD19cCZ3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policy="a10f9ac0-5937-4b4f-b459-96aedd9ed2c5" origin="userSelected" xmlns="http://www.boldonj</vt:lpwstr>
  </property>
  <property fmtid="{D5CDD505-2E9C-101B-9397-08002B2CF9AE}" pid="5" name="bjDocumentLabelXML-0">
    <vt:lpwstr>ames.com/2008/01/sie/internal/label"&gt;&lt;element uid="9920fcc9-9f43-4d43-9e3e-b98a219cfd55" value="" /&gt;&lt;/sisl&gt;</vt:lpwstr>
  </property>
  <property fmtid="{D5CDD505-2E9C-101B-9397-08002B2CF9AE}" pid="6" name="bjDocumentSecurityLabel">
    <vt:lpwstr>Not Classified</vt:lpwstr>
  </property>
</Properties>
</file>