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842C4" w14:textId="77777777" w:rsidR="009E4DE0" w:rsidRPr="00B65007" w:rsidRDefault="009E4DE0" w:rsidP="009E4DE0">
      <w:pPr>
        <w:spacing w:line="276" w:lineRule="auto"/>
        <w:jc w:val="left"/>
        <w:rPr>
          <w:rFonts w:ascii="Times New Roman" w:hAnsi="Times New Roman" w:cs="Times New Roman"/>
          <w:b/>
          <w:sz w:val="24"/>
          <w:szCs w:val="24"/>
          <w:lang w:val="en-CA"/>
        </w:rPr>
      </w:pPr>
      <w:r>
        <w:rPr>
          <w:rFonts w:ascii="Times New Roman" w:hAnsi="Times New Roman" w:cs="Times New Roman"/>
          <w:b/>
          <w:sz w:val="24"/>
          <w:szCs w:val="24"/>
          <w:lang w:val="en-CA"/>
        </w:rPr>
        <w:t>Supplementary data.</w:t>
      </w:r>
    </w:p>
    <w:p w14:paraId="6936307E" w14:textId="77777777" w:rsidR="009E4DE0" w:rsidRDefault="009E4DE0" w:rsidP="009E4DE0">
      <w:pPr>
        <w:spacing w:line="480" w:lineRule="auto"/>
        <w:rPr>
          <w:rFonts w:ascii="Times New Roman" w:hAnsi="Times New Roman" w:cs="Times New Roman"/>
        </w:rPr>
      </w:pPr>
      <w:r>
        <w:rPr>
          <w:rFonts w:ascii="Times New Roman" w:hAnsi="Times New Roman" w:cs="Times New Roman"/>
          <w:noProof/>
        </w:rPr>
        <w:drawing>
          <wp:inline distT="0" distB="0" distL="0" distR="0" wp14:anchorId="57EBC1B0" wp14:editId="0A72544F">
            <wp:extent cx="5486400" cy="7754620"/>
            <wp:effectExtent l="0" t="0" r="0" b="0"/>
            <wp:docPr id="107822985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229856" name="Picture 1078229856"/>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86400" cy="7754620"/>
                    </a:xfrm>
                    <a:prstGeom prst="rect">
                      <a:avLst/>
                    </a:prstGeom>
                  </pic:spPr>
                </pic:pic>
              </a:graphicData>
            </a:graphic>
          </wp:inline>
        </w:drawing>
      </w:r>
    </w:p>
    <w:p w14:paraId="5EEF4310" w14:textId="77777777" w:rsidR="009E4DE0" w:rsidRDefault="009E4DE0" w:rsidP="009E4DE0">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5F19063B" wp14:editId="5E10F3BA">
            <wp:extent cx="5486400" cy="7754620"/>
            <wp:effectExtent l="0" t="0" r="0" b="0"/>
            <wp:docPr id="109778452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784524" name="Picture 1097784524"/>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7754620"/>
                    </a:xfrm>
                    <a:prstGeom prst="rect">
                      <a:avLst/>
                    </a:prstGeom>
                  </pic:spPr>
                </pic:pic>
              </a:graphicData>
            </a:graphic>
          </wp:inline>
        </w:drawing>
      </w:r>
    </w:p>
    <w:p w14:paraId="1BECAF3B" w14:textId="77777777" w:rsidR="009E4DE0" w:rsidRDefault="009E4DE0" w:rsidP="009E4DE0">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4B630ECC" wp14:editId="323B74FD">
            <wp:extent cx="5486400" cy="7754620"/>
            <wp:effectExtent l="0" t="0" r="0" b="0"/>
            <wp:docPr id="92891847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18470" name="Picture 92891847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86400" cy="7754620"/>
                    </a:xfrm>
                    <a:prstGeom prst="rect">
                      <a:avLst/>
                    </a:prstGeom>
                  </pic:spPr>
                </pic:pic>
              </a:graphicData>
            </a:graphic>
          </wp:inline>
        </w:drawing>
      </w:r>
    </w:p>
    <w:p w14:paraId="620B2BEB" w14:textId="77777777" w:rsidR="009E4DE0" w:rsidRDefault="009E4DE0" w:rsidP="009E4DE0">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2E03CF53" wp14:editId="63356C95">
            <wp:extent cx="5486400" cy="7754620"/>
            <wp:effectExtent l="0" t="0" r="0" b="0"/>
            <wp:docPr id="150386958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869588" name="Picture 150386958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7754620"/>
                    </a:xfrm>
                    <a:prstGeom prst="rect">
                      <a:avLst/>
                    </a:prstGeom>
                  </pic:spPr>
                </pic:pic>
              </a:graphicData>
            </a:graphic>
          </wp:inline>
        </w:drawing>
      </w:r>
    </w:p>
    <w:p w14:paraId="61A0CD21" w14:textId="77777777" w:rsidR="009E4DE0" w:rsidRDefault="009E4DE0" w:rsidP="009E4DE0">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13936A45" wp14:editId="1960A040">
            <wp:extent cx="5486400" cy="5292725"/>
            <wp:effectExtent l="0" t="0" r="0" b="0"/>
            <wp:docPr id="14623009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300922" name="Picture 146230092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5292725"/>
                    </a:xfrm>
                    <a:prstGeom prst="rect">
                      <a:avLst/>
                    </a:prstGeom>
                  </pic:spPr>
                </pic:pic>
              </a:graphicData>
            </a:graphic>
          </wp:inline>
        </w:drawing>
      </w:r>
    </w:p>
    <w:p w14:paraId="70EA675E" w14:textId="77777777" w:rsidR="009E4DE0" w:rsidRDefault="009E4DE0" w:rsidP="009E4DE0">
      <w:pPr>
        <w:spacing w:after="0" w:line="276" w:lineRule="auto"/>
        <w:rPr>
          <w:rFonts w:ascii="Times New Roman" w:hAnsi="Times New Roman" w:cs="Times New Roman"/>
          <w:color w:val="000000" w:themeColor="text1"/>
          <w:lang w:val="en-GB"/>
        </w:rPr>
      </w:pPr>
      <w:r w:rsidRPr="00075322">
        <w:rPr>
          <w:rFonts w:ascii="Times New Roman" w:hAnsi="Times New Roman" w:cs="Times New Roman"/>
          <w:b/>
          <w:bCs/>
          <w:lang w:val="en-GB"/>
        </w:rPr>
        <w:t>Supplement</w:t>
      </w:r>
      <w:r>
        <w:rPr>
          <w:rFonts w:ascii="Times New Roman" w:hAnsi="Times New Roman" w:cs="Times New Roman"/>
          <w:b/>
          <w:bCs/>
          <w:lang w:val="en-GB"/>
        </w:rPr>
        <w:t>ary</w:t>
      </w:r>
      <w:r w:rsidRPr="00075322">
        <w:rPr>
          <w:rFonts w:ascii="Times New Roman" w:hAnsi="Times New Roman" w:cs="Times New Roman"/>
          <w:b/>
          <w:bCs/>
          <w:lang w:val="en-GB"/>
        </w:rPr>
        <w:t xml:space="preserve"> </w:t>
      </w:r>
      <w:r w:rsidRPr="007F1F67">
        <w:rPr>
          <w:rFonts w:ascii="Times New Roman" w:hAnsi="Times New Roman" w:cs="Times New Roman"/>
          <w:b/>
          <w:bCs/>
          <w:lang w:val="en-GB"/>
        </w:rPr>
        <w:t xml:space="preserve">Figure </w:t>
      </w:r>
      <w:r>
        <w:rPr>
          <w:rFonts w:ascii="Times New Roman" w:hAnsi="Times New Roman" w:cs="Times New Roman"/>
          <w:b/>
          <w:bCs/>
          <w:color w:val="000000" w:themeColor="text1"/>
          <w:lang w:val="en-GB"/>
        </w:rPr>
        <w:t xml:space="preserve">1: Structural models of the </w:t>
      </w:r>
      <w:r>
        <w:rPr>
          <w:rFonts w:ascii="Times New Roman" w:hAnsi="Times New Roman" w:cs="Times New Roman"/>
          <w:b/>
          <w:bCs/>
          <w:i/>
          <w:iCs/>
          <w:color w:val="000000" w:themeColor="text1"/>
          <w:lang w:val="en-GB"/>
        </w:rPr>
        <w:t>A</w:t>
      </w:r>
      <w:r w:rsidRPr="00075322">
        <w:rPr>
          <w:rFonts w:ascii="Times New Roman" w:hAnsi="Times New Roman" w:cs="Times New Roman"/>
          <w:b/>
          <w:bCs/>
          <w:i/>
          <w:iCs/>
          <w:color w:val="000000" w:themeColor="text1"/>
          <w:lang w:val="en-GB"/>
        </w:rPr>
        <w:t xml:space="preserve">. </w:t>
      </w:r>
      <w:r>
        <w:rPr>
          <w:rFonts w:ascii="Times New Roman" w:hAnsi="Times New Roman" w:cs="Times New Roman"/>
          <w:b/>
          <w:bCs/>
          <w:i/>
          <w:iCs/>
          <w:color w:val="000000" w:themeColor="text1"/>
          <w:lang w:val="en-GB"/>
        </w:rPr>
        <w:t>thaliana</w:t>
      </w:r>
      <w:r>
        <w:rPr>
          <w:rFonts w:ascii="Times New Roman" w:hAnsi="Times New Roman" w:cs="Times New Roman"/>
          <w:b/>
          <w:bCs/>
          <w:color w:val="000000" w:themeColor="text1"/>
          <w:lang w:val="en-GB"/>
        </w:rPr>
        <w:t xml:space="preserve"> NUP subcomplexes modeled using AlphaFold2. </w:t>
      </w:r>
      <w:r>
        <w:rPr>
          <w:rFonts w:ascii="Times New Roman" w:hAnsi="Times New Roman" w:cs="Times New Roman"/>
          <w:color w:val="000000" w:themeColor="text1"/>
          <w:lang w:val="en-GB"/>
        </w:rPr>
        <w:t>Each row shows, from left to right: a model colored by the NUP color code; a model colored by the local confidence estimated with predicted local distance difference test (pLDDT), as returned by AlphaFold. pLDDT &gt; 90 (dark blue) indicates high estimated accuracy of backbone and side chain rotamers, whereas pLDDT &gt; 70 (yellow) indicates confident backbone prediction</w:t>
      </w:r>
      <w:r>
        <w:rPr>
          <w:rFonts w:ascii="Times New Roman" w:hAnsi="Times New Roman" w:cs="Times New Roman"/>
          <w:color w:val="000000" w:themeColor="text1"/>
          <w:lang w:val="en-GB"/>
        </w:rPr>
        <w:fldChar w:fldCharType="begin">
          <w:fldData xml:space="preserve">PEVuZE5vdGU+PENpdGU+PEF1dGhvcj5KdW1wZXI8L0F1dGhvcj48WWVhcj4yMDIxPC9ZZWFyPjxS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==
</w:fldData>
        </w:fldChar>
      </w:r>
      <w:r>
        <w:rPr>
          <w:rFonts w:ascii="Times New Roman" w:hAnsi="Times New Roman" w:cs="Times New Roman"/>
          <w:color w:val="000000" w:themeColor="text1"/>
          <w:lang w:val="en-GB"/>
        </w:rPr>
        <w:instrText xml:space="preserve"> ADDIN EN.CITE </w:instrText>
      </w:r>
      <w:r>
        <w:rPr>
          <w:rFonts w:ascii="Times New Roman" w:hAnsi="Times New Roman" w:cs="Times New Roman"/>
          <w:color w:val="000000" w:themeColor="text1"/>
          <w:lang w:val="en-GB"/>
        </w:rPr>
        <w:fldChar w:fldCharType="begin">
          <w:fldData xml:space="preserve">PEVuZE5vdGU+PENpdGU+PEF1dGhvcj5KdW1wZXI8L0F1dGhvcj48WWVhcj4yMDIxPC9ZZWFyPjxS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==
</w:fldData>
        </w:fldChar>
      </w:r>
      <w:r>
        <w:rPr>
          <w:rFonts w:ascii="Times New Roman" w:hAnsi="Times New Roman" w:cs="Times New Roman"/>
          <w:color w:val="000000" w:themeColor="text1"/>
          <w:lang w:val="en-GB"/>
        </w:rPr>
        <w:instrText xml:space="preserve"> ADDIN EN.CITE.DATA </w:instrText>
      </w:r>
      <w:r>
        <w:rPr>
          <w:rFonts w:ascii="Times New Roman" w:hAnsi="Times New Roman" w:cs="Times New Roman"/>
          <w:color w:val="000000" w:themeColor="text1"/>
          <w:lang w:val="en-GB"/>
        </w:rPr>
      </w:r>
      <w:r>
        <w:rPr>
          <w:rFonts w:ascii="Times New Roman" w:hAnsi="Times New Roman" w:cs="Times New Roman"/>
          <w:color w:val="000000" w:themeColor="text1"/>
          <w:lang w:val="en-GB"/>
        </w:rPr>
        <w:fldChar w:fldCharType="end"/>
      </w:r>
      <w:r>
        <w:rPr>
          <w:rFonts w:ascii="Times New Roman" w:hAnsi="Times New Roman" w:cs="Times New Roman"/>
          <w:color w:val="000000" w:themeColor="text1"/>
          <w:lang w:val="en-GB"/>
        </w:rPr>
      </w:r>
      <w:r>
        <w:rPr>
          <w:rFonts w:ascii="Times New Roman" w:hAnsi="Times New Roman" w:cs="Times New Roman"/>
          <w:color w:val="000000" w:themeColor="text1"/>
          <w:lang w:val="en-GB"/>
        </w:rPr>
        <w:fldChar w:fldCharType="separate"/>
      </w:r>
      <w:r w:rsidRPr="007F1F67">
        <w:rPr>
          <w:rFonts w:ascii="Times New Roman" w:hAnsi="Times New Roman" w:cs="Times New Roman"/>
          <w:noProof/>
          <w:color w:val="000000" w:themeColor="text1"/>
          <w:vertAlign w:val="superscript"/>
          <w:lang w:val="en-GB"/>
        </w:rPr>
        <w:t>51</w:t>
      </w:r>
      <w:r>
        <w:rPr>
          <w:rFonts w:ascii="Times New Roman" w:hAnsi="Times New Roman" w:cs="Times New Roman"/>
          <w:color w:val="000000" w:themeColor="text1"/>
          <w:lang w:val="en-GB"/>
        </w:rPr>
        <w:fldChar w:fldCharType="end"/>
      </w:r>
      <w:r w:rsidRPr="008746FB">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hAnsi="Times New Roman" w:cs="Times New Roman"/>
          <w:color w:val="000000" w:themeColor="text1"/>
          <w:lang w:val="en-GB"/>
        </w:rPr>
        <w:t xml:space="preserve">The confidence of interdomain and inter-chain orientations estimated with the expected distance error between all pairs of residues in the complex, as returned by AlphaPulldown. The color at each (x, y) position of the matrix corresponds to the expected distance error in residue x’s position when the prediction and true (unknown) structure are aligned on residue y. Blue indicates low error. The heat maps show the sequence covered in the initial prediction and indicated in brackets. Long disordered regions, indicated with grey bars next to the matrix are not shown in the figures of model structures. aa. – amino acid residues. </w:t>
      </w:r>
    </w:p>
    <w:p w14:paraId="6B8C6F11" w14:textId="77777777" w:rsidR="009E4DE0" w:rsidRDefault="009E4DE0" w:rsidP="009E4DE0">
      <w:pPr>
        <w:spacing w:after="0" w:line="276" w:lineRule="auto"/>
        <w:rPr>
          <w:rFonts w:ascii="Times New Roman" w:hAnsi="Times New Roman" w:cs="Times New Roman"/>
          <w:color w:val="000000" w:themeColor="text1"/>
          <w:lang w:val="en-GB"/>
        </w:rPr>
      </w:pPr>
    </w:p>
    <w:p w14:paraId="058DCB00" w14:textId="77777777" w:rsidR="009E4DE0" w:rsidRDefault="009E4DE0" w:rsidP="009E4DE0">
      <w:pPr>
        <w:spacing w:line="276" w:lineRule="auto"/>
        <w:rPr>
          <w:rFonts w:ascii="Times New Roman" w:hAnsi="Times New Roman" w:cs="Times New Roman"/>
          <w:b/>
          <w:bCs/>
          <w:sz w:val="24"/>
          <w:szCs w:val="24"/>
        </w:rPr>
      </w:pPr>
    </w:p>
    <w:p w14:paraId="2BB1812A" w14:textId="77777777" w:rsidR="009E4DE0" w:rsidRDefault="009E4DE0" w:rsidP="009E4DE0">
      <w:pPr>
        <w:spacing w:line="276"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figure 2. </w:t>
      </w:r>
      <w:r w:rsidRPr="00BC5CB6">
        <w:rPr>
          <w:rFonts w:ascii="Times New Roman" w:hAnsi="Times New Roman" w:cs="Times New Roman"/>
          <w:b/>
          <w:bCs/>
          <w:sz w:val="24"/>
          <w:szCs w:val="24"/>
        </w:rPr>
        <w:t xml:space="preserve">The unassigned density in the CR of the AtNPC. </w:t>
      </w:r>
      <w:r>
        <w:rPr>
          <w:rFonts w:ascii="Times New Roman" w:hAnsi="Times New Roman" w:cs="Times New Roman"/>
          <w:sz w:val="24"/>
          <w:szCs w:val="24"/>
        </w:rPr>
        <w:t>U</w:t>
      </w:r>
      <w:r w:rsidRPr="00CA796B">
        <w:rPr>
          <w:rFonts w:ascii="Times New Roman" w:hAnsi="Times New Roman" w:cs="Times New Roman"/>
          <w:sz w:val="24"/>
          <w:szCs w:val="24"/>
        </w:rPr>
        <w:t xml:space="preserve">nassigned region </w:t>
      </w:r>
      <w:r>
        <w:rPr>
          <w:rFonts w:ascii="Times New Roman" w:hAnsi="Times New Roman" w:cs="Times New Roman"/>
          <w:sz w:val="24"/>
          <w:szCs w:val="24"/>
        </w:rPr>
        <w:t>of</w:t>
      </w:r>
      <w:r w:rsidRPr="00CA796B">
        <w:rPr>
          <w:rFonts w:ascii="Times New Roman" w:hAnsi="Times New Roman" w:cs="Times New Roman"/>
          <w:sz w:val="24"/>
          <w:szCs w:val="24"/>
        </w:rPr>
        <w:t xml:space="preserve"> density</w:t>
      </w:r>
      <w:r>
        <w:rPr>
          <w:rFonts w:ascii="Times New Roman" w:hAnsi="Times New Roman" w:cs="Times New Roman"/>
          <w:sz w:val="24"/>
          <w:szCs w:val="24"/>
        </w:rPr>
        <w:t xml:space="preserve"> that could correspond to the second Y-ring of the CR in </w:t>
      </w:r>
      <w:r>
        <w:rPr>
          <w:rFonts w:ascii="Times New Roman" w:hAnsi="Times New Roman" w:cs="Times New Roman"/>
          <w:i/>
          <w:iCs/>
          <w:sz w:val="24"/>
          <w:szCs w:val="24"/>
        </w:rPr>
        <w:t xml:space="preserve">A. thaliana </w:t>
      </w:r>
      <w:r>
        <w:rPr>
          <w:rFonts w:ascii="Times New Roman" w:hAnsi="Times New Roman" w:cs="Times New Roman"/>
          <w:sz w:val="24"/>
          <w:szCs w:val="24"/>
        </w:rPr>
        <w:t>NPC.</w:t>
      </w:r>
    </w:p>
    <w:p w14:paraId="53B4EAA5" w14:textId="77777777" w:rsidR="009E4DE0" w:rsidRDefault="009E4DE0" w:rsidP="009E4DE0">
      <w:pPr>
        <w:spacing w:line="276" w:lineRule="auto"/>
        <w:rPr>
          <w:rFonts w:ascii="Times New Roman" w:hAnsi="Times New Roman" w:cs="Times New Roman"/>
          <w:sz w:val="24"/>
          <w:szCs w:val="24"/>
        </w:rPr>
      </w:pPr>
    </w:p>
    <w:p w14:paraId="5E9A933B" w14:textId="77777777" w:rsidR="009E4DE0" w:rsidRPr="00CA796B" w:rsidRDefault="009E4DE0" w:rsidP="009E4DE0">
      <w:pPr>
        <w:spacing w:line="276"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AF08028" wp14:editId="67714E41">
            <wp:extent cx="3158640" cy="2196059"/>
            <wp:effectExtent l="0" t="0" r="3810" b="1270"/>
            <wp:docPr id="206345758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457583" name="Picture 2063457583"/>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96232" cy="2222195"/>
                    </a:xfrm>
                    <a:prstGeom prst="rect">
                      <a:avLst/>
                    </a:prstGeom>
                  </pic:spPr>
                </pic:pic>
              </a:graphicData>
            </a:graphic>
          </wp:inline>
        </w:drawing>
      </w:r>
    </w:p>
    <w:p w14:paraId="6B0F2FB9" w14:textId="77777777" w:rsidR="009E4DE0" w:rsidRPr="00713995" w:rsidRDefault="009E4DE0" w:rsidP="009E4DE0">
      <w:pPr>
        <w:spacing w:line="276" w:lineRule="auto"/>
        <w:rPr>
          <w:rFonts w:ascii="Times New Roman" w:hAnsi="Times New Roman" w:cs="Times New Roman"/>
          <w:sz w:val="24"/>
          <w:szCs w:val="24"/>
        </w:rPr>
      </w:pPr>
    </w:p>
    <w:p w14:paraId="40A6BE9F" w14:textId="77777777" w:rsidR="009E4DE0" w:rsidRPr="007F1F67" w:rsidRDefault="009E4DE0" w:rsidP="009E4DE0">
      <w:pPr>
        <w:spacing w:line="259" w:lineRule="auto"/>
        <w:jc w:val="left"/>
        <w:rPr>
          <w:rFonts w:ascii="Times New Roman" w:hAnsi="Times New Roman" w:cs="Times New Roman"/>
          <w:color w:val="000000" w:themeColor="text1"/>
        </w:rPr>
      </w:pPr>
      <w:r>
        <w:rPr>
          <w:rFonts w:ascii="Times New Roman" w:hAnsi="Times New Roman" w:cs="Times New Roman"/>
          <w:color w:val="000000" w:themeColor="text1"/>
        </w:rPr>
        <w:br w:type="page"/>
      </w:r>
    </w:p>
    <w:p w14:paraId="45E1D2C6"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DE0"/>
    <w:rsid w:val="00095A63"/>
    <w:rsid w:val="009E4DE0"/>
    <w:rsid w:val="00A3738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A92B3"/>
  <w15:chartTrackingRefBased/>
  <w15:docId w15:val="{D1BBD347-A355-4315-973E-CD7E01E07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DE0"/>
    <w:pPr>
      <w:spacing w:line="240" w:lineRule="auto"/>
      <w:jc w:val="both"/>
    </w:pPr>
    <w:rPr>
      <w:kern w:val="0"/>
      <w14:ligatures w14:val="none"/>
    </w:rPr>
  </w:style>
  <w:style w:type="paragraph" w:styleId="Heading1">
    <w:name w:val="heading 1"/>
    <w:basedOn w:val="Normal"/>
    <w:next w:val="Normal"/>
    <w:link w:val="Heading1Char"/>
    <w:uiPriority w:val="9"/>
    <w:qFormat/>
    <w:rsid w:val="009E4DE0"/>
    <w:pPr>
      <w:keepNext/>
      <w:keepLine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E4DE0"/>
    <w:pPr>
      <w:keepNext/>
      <w:keepLine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E4DE0"/>
    <w:pPr>
      <w:keepNext/>
      <w:keepLines/>
      <w:spacing w:before="160" w:after="80" w:line="259" w:lineRule="auto"/>
      <w:jc w:val="left"/>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E4DE0"/>
    <w:pPr>
      <w:keepNext/>
      <w:keepLines/>
      <w:spacing w:before="80" w:after="40" w:line="259" w:lineRule="auto"/>
      <w:jc w:val="left"/>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E4DE0"/>
    <w:pPr>
      <w:keepNext/>
      <w:keepLines/>
      <w:spacing w:before="80" w:after="40" w:line="259" w:lineRule="auto"/>
      <w:jc w:val="left"/>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E4DE0"/>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E4DE0"/>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E4DE0"/>
    <w:pPr>
      <w:keepNext/>
      <w:keepLines/>
      <w:spacing w:after="0" w:line="259" w:lineRule="auto"/>
      <w:jc w:val="left"/>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E4DE0"/>
    <w:pPr>
      <w:keepNext/>
      <w:keepLines/>
      <w:spacing w:after="0" w:line="259" w:lineRule="auto"/>
      <w:jc w:val="left"/>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4D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4D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4D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4D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4D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4D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4D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4D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4DE0"/>
    <w:rPr>
      <w:rFonts w:eastAsiaTheme="majorEastAsia" w:cstheme="majorBidi"/>
      <w:color w:val="272727" w:themeColor="text1" w:themeTint="D8"/>
    </w:rPr>
  </w:style>
  <w:style w:type="paragraph" w:styleId="Title">
    <w:name w:val="Title"/>
    <w:basedOn w:val="Normal"/>
    <w:next w:val="Normal"/>
    <w:link w:val="TitleChar"/>
    <w:uiPriority w:val="10"/>
    <w:qFormat/>
    <w:rsid w:val="009E4DE0"/>
    <w:pPr>
      <w:spacing w:after="8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E4D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4DE0"/>
    <w:pPr>
      <w:numPr>
        <w:ilvl w:val="1"/>
      </w:numPr>
      <w:spacing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E4D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4DE0"/>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E4DE0"/>
    <w:rPr>
      <w:i/>
      <w:iCs/>
      <w:color w:val="404040" w:themeColor="text1" w:themeTint="BF"/>
    </w:rPr>
  </w:style>
  <w:style w:type="paragraph" w:styleId="ListParagraph">
    <w:name w:val="List Paragraph"/>
    <w:basedOn w:val="Normal"/>
    <w:uiPriority w:val="34"/>
    <w:qFormat/>
    <w:rsid w:val="009E4DE0"/>
    <w:pPr>
      <w:spacing w:line="259" w:lineRule="auto"/>
      <w:ind w:left="720"/>
      <w:contextualSpacing/>
      <w:jc w:val="left"/>
    </w:pPr>
    <w:rPr>
      <w:kern w:val="2"/>
      <w14:ligatures w14:val="standardContextual"/>
    </w:rPr>
  </w:style>
  <w:style w:type="character" w:styleId="IntenseEmphasis">
    <w:name w:val="Intense Emphasis"/>
    <w:basedOn w:val="DefaultParagraphFont"/>
    <w:uiPriority w:val="21"/>
    <w:qFormat/>
    <w:rsid w:val="009E4DE0"/>
    <w:rPr>
      <w:i/>
      <w:iCs/>
      <w:color w:val="0F4761" w:themeColor="accent1" w:themeShade="BF"/>
    </w:rPr>
  </w:style>
  <w:style w:type="paragraph" w:styleId="IntenseQuote">
    <w:name w:val="Intense Quote"/>
    <w:basedOn w:val="Normal"/>
    <w:next w:val="Normal"/>
    <w:link w:val="IntenseQuoteChar"/>
    <w:uiPriority w:val="30"/>
    <w:qFormat/>
    <w:rsid w:val="009E4DE0"/>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9E4DE0"/>
    <w:rPr>
      <w:i/>
      <w:iCs/>
      <w:color w:val="0F4761" w:themeColor="accent1" w:themeShade="BF"/>
    </w:rPr>
  </w:style>
  <w:style w:type="character" w:styleId="IntenseReference">
    <w:name w:val="Intense Reference"/>
    <w:basedOn w:val="DefaultParagraphFont"/>
    <w:uiPriority w:val="32"/>
    <w:qFormat/>
    <w:rsid w:val="009E4D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203</Words>
  <Characters>1160</Characters>
  <Application>Microsoft Office Word</Application>
  <DocSecurity>0</DocSecurity>
  <Lines>9</Lines>
  <Paragraphs>2</Paragraphs>
  <ScaleCrop>false</ScaleCrop>
  <Company>Springer Nature</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2025-03-20T09:58:00Z</dcterms:created>
  <dcterms:modified xsi:type="dcterms:W3CDTF">2025-03-20T09:58:00Z</dcterms:modified>
</cp:coreProperties>
</file>