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2BBF5">
      <w:pPr>
        <w:widowControl/>
        <w:suppressLineNumbers/>
        <w:spacing w:after="360" w:line="260" w:lineRule="atLeast"/>
        <w:jc w:val="center"/>
        <w:rPr>
          <w:rFonts w:hint="default" w:ascii="Times New Roman" w:hAnsi="Times New Roman" w:eastAsia="宋体" w:cs="Times New Roman"/>
          <w:b/>
          <w:color w:val="000000"/>
          <w:kern w:val="0"/>
          <w:sz w:val="32"/>
          <w:szCs w:val="32"/>
          <w:lang w:val="en-US"/>
          <w14:ligatures w14:val="none"/>
        </w:rPr>
      </w:pPr>
      <w:r>
        <w:rPr>
          <w:rFonts w:hint="default" w:ascii="Times New Roman" w:hAnsi="Times New Roman" w:eastAsia="宋体" w:cs="Times New Roman"/>
          <w:b/>
          <w:color w:val="000000"/>
          <w:kern w:val="0"/>
          <w:sz w:val="32"/>
          <w:szCs w:val="32"/>
          <w:lang w:val="en-US" w:eastAsia="zh-CN"/>
          <w14:ligatures w14:val="none"/>
        </w:rPr>
        <w:t xml:space="preserve">Dissecting Causal Relationships Between gut microbiota imbalance, inflammatory cytokines, and structural connectivity in the brain: A Mendelian Randomization Study </w:t>
      </w:r>
    </w:p>
    <w:p w14:paraId="63907847">
      <w:pPr>
        <w:widowControl/>
        <w:suppressLineNumbers/>
        <w:spacing w:after="360" w:line="260" w:lineRule="atLeast"/>
        <w:jc w:val="center"/>
        <w:rPr>
          <w:rFonts w:ascii="Times New Roman" w:hAnsi="Times New Roman" w:eastAsia="宋体" w:cs="Times New Roman"/>
          <w:b/>
          <w:color w:val="000000"/>
          <w:kern w:val="0"/>
          <w:sz w:val="32"/>
          <w:szCs w:val="32"/>
          <w14:ligatures w14:val="none"/>
        </w:rPr>
      </w:pPr>
    </w:p>
    <w:p w14:paraId="1DD75A9E">
      <w:pPr>
        <w:rPr>
          <w:rFonts w:hint="eastAsia" w:ascii="Times New Roman" w:hAnsi="Times New Roman" w:cs="Times New Roman"/>
          <w:b/>
          <w:bCs/>
          <w:sz w:val="24"/>
          <w:szCs w:val="24"/>
          <w14:ligatures w14:val="none"/>
        </w:rPr>
      </w:pPr>
    </w:p>
    <w:p w14:paraId="52C30409">
      <w:pPr>
        <w:widowControl/>
        <w:adjustRightInd w:val="0"/>
        <w:snapToGrid w:val="0"/>
        <w:spacing w:before="100" w:beforeAutospacing="1" w:after="100" w:afterAutospacing="1" w:line="360" w:lineRule="auto"/>
        <w:jc w:val="left"/>
        <w:rPr>
          <w:rFonts w:hint="eastAsia" w:ascii="Times New Roman" w:hAnsi="Times New Roman" w:eastAsia="Times New Roman" w:cs="Times New Roman"/>
          <w:b/>
          <w:bCs w:val="0"/>
          <w:color w:val="000000"/>
          <w:kern w:val="0"/>
          <w:sz w:val="24"/>
          <w:szCs w:val="24"/>
          <w14:ligatures w14:val="none"/>
        </w:rPr>
      </w:pPr>
      <w:r>
        <w:rPr>
          <w:rFonts w:hint="eastAsia" w:ascii="Times New Roman" w:hAnsi="Times New Roman" w:eastAsia="Times New Roman" w:cs="Times New Roman"/>
          <w:b/>
          <w:bCs w:val="0"/>
          <w:color w:val="000000"/>
          <w:kern w:val="0"/>
          <w:sz w:val="24"/>
          <w:szCs w:val="24"/>
          <w14:ligatures w14:val="none"/>
        </w:rPr>
        <w:t>Supplementary Contents</w:t>
      </w:r>
    </w:p>
    <w:p w14:paraId="28D9D2D3"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bCs w:val="0"/>
          <w:color w:val="000000"/>
          <w:kern w:val="0"/>
          <w:sz w:val="24"/>
          <w:szCs w:val="24"/>
          <w14:ligatures w14:val="none"/>
        </w:rPr>
        <w:t xml:space="preserve">Figure </w:t>
      </w:r>
      <w:r>
        <w:rPr>
          <w:rFonts w:hint="eastAsia" w:ascii="Times New Roman" w:hAnsi="Times New Roman" w:eastAsia="Times New Roman" w:cs="Times New Roman"/>
          <w:b/>
          <w:bCs w:val="0"/>
          <w:color w:val="000000"/>
          <w:kern w:val="0"/>
          <w:sz w:val="24"/>
          <w:szCs w:val="24"/>
          <w:lang w:val="en-US" w:eastAsia="zh-CN"/>
          <w14:ligatures w14:val="none"/>
        </w:rPr>
        <w:t>S1.</w:t>
      </w:r>
      <w:r>
        <w:rPr>
          <w:rFonts w:ascii="Times New Roman" w:hAnsi="Times New Roman" w:eastAsia="Times New Roman" w:cs="Times New Roman"/>
          <w:b/>
          <w:bCs w:val="0"/>
          <w:color w:val="000000"/>
          <w:kern w:val="0"/>
          <w:sz w:val="24"/>
          <w:szCs w:val="24"/>
          <w14:ligatures w14:val="none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Scatter plot of a two sample Mendelian randomization study of </w:t>
      </w:r>
      <w:r>
        <w:rPr>
          <w:rFonts w:hint="eastAsia" w:ascii="Times New Roman" w:hAnsi="Times New Roman" w:eastAsia="宋体" w:cs="Times New Roman"/>
          <w:sz w:val="24"/>
          <w:szCs w:val="24"/>
        </w:rPr>
        <w:t>gut microbiota</w:t>
      </w:r>
      <w:r>
        <w:rPr>
          <w:rFonts w:ascii="Times New Roman" w:hAnsi="Times New Roman" w:eastAsia="宋体" w:cs="Times New Roman"/>
          <w:sz w:val="24"/>
          <w:szCs w:val="24"/>
        </w:rPr>
        <w:t xml:space="preserve"> and </w:t>
      </w:r>
      <w:r>
        <w:rPr>
          <w:rFonts w:hint="eastAsia" w:ascii="Times New Roman" w:hAnsi="Times New Roman" w:eastAsia="宋体" w:cs="Times New Roman"/>
          <w:sz w:val="24"/>
          <w:szCs w:val="24"/>
        </w:rPr>
        <w:t>brain structural connectivity</w:t>
      </w:r>
      <w:r>
        <w:rPr>
          <w:rFonts w:ascii="Times New Roman" w:hAnsi="Times New Roman" w:eastAsia="宋体" w:cs="Times New Roman"/>
          <w:sz w:val="24"/>
          <w:szCs w:val="24"/>
        </w:rPr>
        <w:t xml:space="preserve">. </w:t>
      </w:r>
    </w:p>
    <w:p w14:paraId="4849FEDB">
      <w:pPr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S2.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Funnel plot of a two-sample Mendelian randomization study of gut microbiota and brain structural connectivity. </w:t>
      </w:r>
    </w:p>
    <w:p w14:paraId="6617462C">
      <w:pPr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Figure S3.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Forest plot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 of a two-sample Mendelian randomization study of gut microbiota and brain structural connectivity. </w:t>
      </w:r>
    </w:p>
    <w:p w14:paraId="3D3F362D">
      <w:r>
        <w:rPr>
          <w:rFonts w:hint="eastAsia"/>
        </w:rPr>
        <w:drawing>
          <wp:inline distT="0" distB="0" distL="0" distR="0">
            <wp:extent cx="5334000" cy="7125335"/>
            <wp:effectExtent l="0" t="0" r="0" b="8890"/>
            <wp:docPr id="1126171073" name="图片 1" descr="图形用户界面, 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171073" name="图片 1" descr="图形用户界面, 图表, 散点图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4887" cy="71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D1CA6F">
      <w:pPr>
        <w:rPr>
          <w:rFonts w:ascii="Times New Roman" w:hAnsi="Times New Roman" w:eastAsia="宋体" w:cs="Times New Roman"/>
          <w:szCs w:val="21"/>
        </w:rPr>
      </w:pPr>
      <w:bookmarkStart w:id="0" w:name="_Hlk185338361"/>
      <w:r>
        <w:rPr>
          <w:rFonts w:ascii="Times New Roman" w:hAnsi="Times New Roman" w:eastAsia="宋体" w:cs="Times New Roman"/>
          <w:b/>
          <w:bCs/>
          <w:szCs w:val="21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S1.</w:t>
      </w:r>
      <w:r>
        <w:rPr>
          <w:rFonts w:ascii="Times New Roman" w:hAnsi="Times New Roman" w:eastAsia="宋体" w:cs="Times New Roman"/>
          <w:szCs w:val="21"/>
        </w:rPr>
        <w:t xml:space="preserve"> Scatter plot of a two sample Mendelian randomization study of </w:t>
      </w:r>
      <w:r>
        <w:rPr>
          <w:rFonts w:hint="eastAsia" w:ascii="Times New Roman" w:hAnsi="Times New Roman" w:eastAsia="宋体" w:cs="Times New Roman"/>
          <w:szCs w:val="21"/>
        </w:rPr>
        <w:t>gut microbiota</w:t>
      </w:r>
      <w:r>
        <w:rPr>
          <w:rFonts w:ascii="Times New Roman" w:hAnsi="Times New Roman" w:eastAsia="宋体" w:cs="Times New Roman"/>
          <w:szCs w:val="21"/>
        </w:rPr>
        <w:t xml:space="preserve"> and </w:t>
      </w:r>
      <w:r>
        <w:rPr>
          <w:rFonts w:hint="eastAsia" w:ascii="Times New Roman" w:hAnsi="Times New Roman" w:eastAsia="宋体" w:cs="Times New Roman"/>
          <w:szCs w:val="21"/>
        </w:rPr>
        <w:t>brain structural connectivity</w:t>
      </w:r>
      <w:r>
        <w:rPr>
          <w:rFonts w:ascii="Times New Roman" w:hAnsi="Times New Roman" w:eastAsia="宋体" w:cs="Times New Roman"/>
          <w:szCs w:val="21"/>
        </w:rPr>
        <w:t xml:space="preserve">. </w:t>
      </w:r>
      <w:bookmarkStart w:id="1" w:name="_Hlk177930049"/>
      <w:r>
        <w:rPr>
          <w:rFonts w:ascii="Times New Roman" w:hAnsi="Times New Roman" w:eastAsia="宋体" w:cs="Times New Roman"/>
          <w:b/>
          <w:bCs/>
          <w:szCs w:val="21"/>
        </w:rPr>
        <w:t>(A)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 xml:space="preserve">on Left−hemisphere somatomotor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(B)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Veillonella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dorsal attention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(C)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Desulfovibrionales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SNP effect on Left−hemisphere somatomotor network to right−hemisphere somatomotor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(D)</w:t>
      </w:r>
      <w:r>
        <w:rPr>
          <w:rFonts w:ascii="Times New Roman" w:hAnsi="Times New Roman" w:eastAsia="宋体" w:cs="Times New Roman"/>
          <w:szCs w:val="21"/>
        </w:rPr>
        <w:t xml:space="preserve"> </w:t>
      </w:r>
      <w:bookmarkEnd w:id="1"/>
      <w:r>
        <w:rPr>
          <w:rFonts w:hint="eastAsia" w:ascii="Times New Roman" w:hAnsi="Times New Roman" w:eastAsia="宋体" w:cs="Times New Roman"/>
          <w:szCs w:val="21"/>
        </w:rPr>
        <w:t>Genus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 Escherichia Shigella</w:t>
      </w:r>
      <w:r>
        <w:rPr>
          <w:rFonts w:ascii="Times New Roman" w:hAnsi="Times New Roman" w:eastAsia="宋体" w:cs="Times New Roman"/>
          <w:szCs w:val="21"/>
        </w:rPr>
        <w:t xml:space="preserve"> on Left−hemisphere dorsal attention network to right−hemisphere limbic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(E)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Desulfovibrionaceae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(F)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(G)</w:t>
      </w:r>
      <w:r>
        <w:rPr>
          <w:rFonts w:hint="eastAsia" w:ascii="Times New Roman" w:hAnsi="Times New Roman" w:eastAsia="宋体" w:cs="Times New Roman"/>
          <w:szCs w:val="21"/>
        </w:rPr>
        <w:t xml:space="preserve"> 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Ruminococcus gnavus</w:t>
      </w:r>
      <w:r>
        <w:rPr>
          <w:rFonts w:hint="eastAsia" w:ascii="Times New Roman" w:hAnsi="Times New Roman" w:eastAsia="宋体" w:cs="Times New Roman"/>
          <w:szCs w:val="21"/>
        </w:rPr>
        <w:t xml:space="preserve"> group </w:t>
      </w:r>
      <w:r>
        <w:rPr>
          <w:rFonts w:ascii="Times New Roman" w:hAnsi="Times New Roman" w:eastAsia="宋体" w:cs="Times New Roman"/>
          <w:szCs w:val="21"/>
        </w:rPr>
        <w:t>on</w:t>
      </w:r>
      <w:r>
        <w:t xml:space="preserve"> </w:t>
      </w:r>
      <w:r>
        <w:rPr>
          <w:rFonts w:ascii="Times New Roman" w:hAnsi="Times New Roman" w:eastAsia="宋体" w:cs="Times New Roman"/>
          <w:szCs w:val="21"/>
        </w:rPr>
        <w:t>Left−hemisphere limbic network to right−hemisphere default mode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(H)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Howardella </w:t>
      </w:r>
      <w:r>
        <w:rPr>
          <w:rFonts w:ascii="Times New Roman" w:hAnsi="Times New Roman" w:eastAsia="宋体" w:cs="Times New Roman"/>
          <w:szCs w:val="21"/>
        </w:rPr>
        <w:t xml:space="preserve">on Left−hemisphere limbic network to left−hemisphere control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I</w:t>
      </w:r>
      <w:r>
        <w:rPr>
          <w:rFonts w:ascii="Times New Roman" w:hAnsi="Times New Roman" w:eastAsia="宋体" w:cs="Times New Roman"/>
          <w:b/>
          <w:bCs/>
          <w:szCs w:val="21"/>
        </w:rPr>
        <w:t>)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Rhodospirillaceae</w:t>
      </w:r>
      <w:r>
        <w:rPr>
          <w:rFonts w:ascii="Times New Roman" w:hAnsi="Times New Roman" w:eastAsia="宋体" w:cs="Times New Roman"/>
          <w:b/>
          <w:bCs/>
          <w:i/>
          <w:i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on </w:t>
      </w:r>
      <w:r>
        <w:rPr>
          <w:rFonts w:ascii="Times New Roman" w:hAnsi="Times New Roman" w:eastAsia="宋体" w:cs="Times New Roman"/>
          <w:szCs w:val="21"/>
        </w:rPr>
        <w:t>Left−hemisphere visual network to hippocampus white−matter structural connectivity</w:t>
      </w:r>
      <w:r>
        <w:rPr>
          <w:rFonts w:hint="eastAsia" w:ascii="Times New Roman" w:hAnsi="Times New Roman" w:eastAsia="宋体" w:cs="Times New Roman"/>
          <w:szCs w:val="21"/>
        </w:rPr>
        <w:t>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(J)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visual network to hippocampus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(K)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bookmarkStart w:id="3" w:name="_GoBack"/>
      <w:r>
        <w:rPr>
          <w:rFonts w:hint="eastAsia" w:ascii="Times New Roman" w:hAnsi="Times New Roman" w:eastAsia="宋体" w:cs="Times New Roman"/>
          <w:i/>
          <w:iCs/>
          <w:szCs w:val="21"/>
        </w:rPr>
        <w:t>Senegalimassilia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bookmarkEnd w:id="3"/>
      <w:r>
        <w:rPr>
          <w:rFonts w:ascii="Times New Roman" w:hAnsi="Times New Roman" w:eastAsia="宋体" w:cs="Times New Roman"/>
          <w:szCs w:val="21"/>
        </w:rPr>
        <w:t>on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Right−hemisphere somatomotor network to caudate white−matter structural connectivity.</w:t>
      </w:r>
    </w:p>
    <w:bookmarkEnd w:id="0"/>
    <w:p w14:paraId="3F470DDA">
      <w:pPr>
        <w:rPr>
          <w:rFonts w:ascii="Times New Roman" w:hAnsi="Times New Roman" w:eastAsia="宋体" w:cs="Times New Roman"/>
          <w:szCs w:val="21"/>
        </w:rPr>
      </w:pPr>
    </w:p>
    <w:p w14:paraId="13A36657">
      <w:pPr>
        <w:rPr>
          <w:rFonts w:ascii="Times New Roman" w:hAnsi="Times New Roman" w:eastAsia="宋体" w:cs="Times New Roman"/>
          <w:szCs w:val="21"/>
        </w:rPr>
      </w:pPr>
    </w:p>
    <w:p w14:paraId="6E192A66">
      <w:pPr>
        <w:rPr>
          <w:rFonts w:hint="eastAsia" w:ascii="Times New Roman" w:hAnsi="Times New Roman" w:eastAsia="宋体" w:cs="Times New Roman"/>
          <w:szCs w:val="21"/>
          <w:lang w:eastAsia="zh-CN"/>
        </w:rPr>
      </w:pPr>
      <w:r>
        <w:rPr>
          <w:rFonts w:hint="eastAsia" w:ascii="Times New Roman" w:hAnsi="Times New Roman" w:eastAsia="宋体" w:cs="Times New Roman"/>
          <w:szCs w:val="21"/>
          <w:lang w:eastAsia="zh-CN"/>
        </w:rPr>
        <w:drawing>
          <wp:inline distT="0" distB="0" distL="114300" distR="114300">
            <wp:extent cx="5271770" cy="6594475"/>
            <wp:effectExtent l="0" t="0" r="5080" b="6350"/>
            <wp:docPr id="2" name="图片 2" descr="漏斗图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漏斗图2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59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4DF921">
      <w:pPr>
        <w:rPr>
          <w:rFonts w:ascii="Times New Roman" w:hAnsi="Times New Roman" w:eastAsia="宋体" w:cs="Times New Roman"/>
          <w:szCs w:val="21"/>
        </w:rPr>
      </w:pPr>
      <w:r>
        <w:rPr>
          <w:rFonts w:ascii="Times New Roman" w:hAnsi="Times New Roman" w:eastAsia="宋体" w:cs="Times New Roman"/>
          <w:b/>
          <w:bCs/>
          <w:szCs w:val="21"/>
        </w:rPr>
        <w:t xml:space="preserve">Figure </w:t>
      </w:r>
      <w:r>
        <w:rPr>
          <w:rFonts w:hint="eastAsia" w:ascii="Times New Roman" w:hAnsi="Times New Roman" w:eastAsia="宋体" w:cs="Times New Roman"/>
          <w:b/>
          <w:bCs/>
          <w:szCs w:val="21"/>
          <w:lang w:val="en-US" w:eastAsia="zh-CN"/>
        </w:rPr>
        <w:t>S2.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Funnel plot </w:t>
      </w:r>
      <w:bookmarkStart w:id="2" w:name="_Hlk185338621"/>
      <w:r>
        <w:rPr>
          <w:rFonts w:hint="eastAsia" w:ascii="Times New Roman" w:hAnsi="Times New Roman" w:eastAsia="宋体" w:cs="Times New Roman"/>
          <w:szCs w:val="21"/>
        </w:rPr>
        <w:t>of a two-sample Mendelian randomization study of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gut microbiota and brain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(A)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 xml:space="preserve">on Left−hemisphere somatomotor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(B)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Veillonella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dorsal attention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(C)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Desulfovibrionales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SNP effect on Left−hemisphere somatomotor network to right−hemisphere somatomotor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(D)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Escherichia Shigella</w:t>
      </w:r>
      <w:r>
        <w:rPr>
          <w:rFonts w:ascii="Times New Roman" w:hAnsi="Times New Roman" w:eastAsia="宋体" w:cs="Times New Roman"/>
          <w:szCs w:val="21"/>
        </w:rPr>
        <w:t xml:space="preserve"> on Left−hemisphere dorsal attention network to right−hemisphere limbic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(E)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Desulfovibrionaceae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(F)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(G)</w:t>
      </w:r>
      <w:r>
        <w:rPr>
          <w:rFonts w:hint="eastAsia" w:ascii="Times New Roman" w:hAnsi="Times New Roman" w:eastAsia="宋体" w:cs="Times New Roman"/>
          <w:szCs w:val="21"/>
        </w:rPr>
        <w:t xml:space="preserve"> Genus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 Ruminococcus gnavus </w:t>
      </w:r>
      <w:r>
        <w:rPr>
          <w:rFonts w:hint="eastAsia" w:ascii="Times New Roman" w:hAnsi="Times New Roman" w:eastAsia="宋体" w:cs="Times New Roman"/>
          <w:szCs w:val="21"/>
        </w:rPr>
        <w:t xml:space="preserve">group </w:t>
      </w:r>
      <w:r>
        <w:rPr>
          <w:rFonts w:ascii="Times New Roman" w:hAnsi="Times New Roman" w:eastAsia="宋体" w:cs="Times New Roman"/>
          <w:szCs w:val="21"/>
        </w:rPr>
        <w:t>on</w:t>
      </w:r>
      <w:r>
        <w:t xml:space="preserve"> </w:t>
      </w:r>
      <w:r>
        <w:rPr>
          <w:rFonts w:ascii="Times New Roman" w:hAnsi="Times New Roman" w:eastAsia="宋体" w:cs="Times New Roman"/>
          <w:szCs w:val="21"/>
        </w:rPr>
        <w:t>Left−hemisphere limbic network to right−hemisphere default mode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(H)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Howardella </w:t>
      </w:r>
      <w:r>
        <w:rPr>
          <w:rFonts w:ascii="Times New Roman" w:hAnsi="Times New Roman" w:eastAsia="宋体" w:cs="Times New Roman"/>
          <w:szCs w:val="21"/>
        </w:rPr>
        <w:t xml:space="preserve">on Left−hemisphere limbic network to left−hemisphere control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I</w:t>
      </w:r>
      <w:r>
        <w:rPr>
          <w:rFonts w:ascii="Times New Roman" w:hAnsi="Times New Roman" w:eastAsia="宋体" w:cs="Times New Roman"/>
          <w:b/>
          <w:bCs/>
          <w:szCs w:val="21"/>
        </w:rPr>
        <w:t>)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Rhodospirillaceae</w:t>
      </w:r>
      <w:r>
        <w:rPr>
          <w:rFonts w:ascii="Times New Roman" w:hAnsi="Times New Roman" w:eastAsia="宋体" w:cs="Times New Roman"/>
          <w:b/>
          <w:bCs/>
          <w:i/>
          <w:i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on </w:t>
      </w:r>
      <w:r>
        <w:rPr>
          <w:rFonts w:ascii="Times New Roman" w:hAnsi="Times New Roman" w:eastAsia="宋体" w:cs="Times New Roman"/>
          <w:szCs w:val="21"/>
        </w:rPr>
        <w:t>Left−hemisphere visual network to hippocampus white−matter structural connectivity</w:t>
      </w:r>
      <w:r>
        <w:rPr>
          <w:rFonts w:hint="eastAsia" w:ascii="Times New Roman" w:hAnsi="Times New Roman" w:eastAsia="宋体" w:cs="Times New Roman"/>
          <w:szCs w:val="21"/>
        </w:rPr>
        <w:t>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(J)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visual network to hippocampus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(K)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Senegalimassilia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on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Right−hemisphere somatomotor network to caudate white−matter structural connectivity.</w:t>
      </w:r>
      <w:bookmarkEnd w:id="2"/>
    </w:p>
    <w:p w14:paraId="6AE00878"/>
    <w:p w14:paraId="4CE12062">
      <w:r>
        <w:rPr>
          <w:rFonts w:hint="eastAsia"/>
        </w:rPr>
        <w:drawing>
          <wp:inline distT="0" distB="0" distL="0" distR="0">
            <wp:extent cx="5274310" cy="5594985"/>
            <wp:effectExtent l="0" t="0" r="2540" b="5715"/>
            <wp:docPr id="258378526" name="图片 4" descr="图片包含 表格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378526" name="图片 4" descr="图片包含 表格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9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045C8F">
      <w:pPr>
        <w:rPr>
          <w:rFonts w:hint="eastAsia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Figure S3.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ascii="Times New Roman" w:hAnsi="Times New Roman" w:cs="Times New Roman"/>
          <w:szCs w:val="21"/>
        </w:rPr>
        <w:t>Forest plot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of a two-sample Mendelian randomization study of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gut microbiota and brain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(A)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 xml:space="preserve">on Left−hemisphere somatomotor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(B)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Veillonella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dorsal attention network to right−hemisphere dorsal attention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(C)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Desulfovibrionales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SNP effect on Left−hemisphere somatomotor network to right−hemisphere somatomotor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(D)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Genus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 Escherichia Shigella</w:t>
      </w:r>
      <w:r>
        <w:rPr>
          <w:rFonts w:ascii="Times New Roman" w:hAnsi="Times New Roman" w:eastAsia="宋体" w:cs="Times New Roman"/>
          <w:szCs w:val="21"/>
        </w:rPr>
        <w:t xml:space="preserve"> on Left−hemisphere dorsal attention network to right−hemisphere limbic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(E)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Desulfovibrionaceae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(F)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 xml:space="preserve">Desulfovibrionales </w:t>
      </w:r>
      <w:r>
        <w:rPr>
          <w:rFonts w:ascii="Times New Roman" w:hAnsi="Times New Roman" w:eastAsia="宋体" w:cs="Times New Roman"/>
          <w:szCs w:val="21"/>
        </w:rPr>
        <w:t>on Left−hemisphere salience/ventral attention network to right−hemisphere control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(G)</w:t>
      </w:r>
      <w:r>
        <w:rPr>
          <w:rFonts w:hint="eastAsia" w:ascii="Times New Roman" w:hAnsi="Times New Roman" w:eastAsia="宋体" w:cs="Times New Roman"/>
          <w:szCs w:val="21"/>
        </w:rPr>
        <w:t xml:space="preserve"> 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Ruminococcus gnavus</w:t>
      </w:r>
      <w:r>
        <w:rPr>
          <w:rFonts w:hint="eastAsia" w:ascii="Times New Roman" w:hAnsi="Times New Roman" w:eastAsia="宋体" w:cs="Times New Roman"/>
          <w:szCs w:val="21"/>
        </w:rPr>
        <w:t xml:space="preserve"> group </w:t>
      </w:r>
      <w:r>
        <w:rPr>
          <w:rFonts w:ascii="Times New Roman" w:hAnsi="Times New Roman" w:eastAsia="宋体" w:cs="Times New Roman"/>
          <w:szCs w:val="21"/>
        </w:rPr>
        <w:t>on</w:t>
      </w:r>
      <w:r>
        <w:t xml:space="preserve"> </w:t>
      </w:r>
      <w:r>
        <w:rPr>
          <w:rFonts w:ascii="Times New Roman" w:hAnsi="Times New Roman" w:eastAsia="宋体" w:cs="Times New Roman"/>
          <w:szCs w:val="21"/>
        </w:rPr>
        <w:t>Left−hemisphere limbic network to right−hemisphere default mode network white−matter structural connectivity.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(H)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Howardella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limbic network to left−hemisphere control network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</w:t>
      </w:r>
      <w:r>
        <w:rPr>
          <w:rFonts w:hint="eastAsia" w:ascii="Times New Roman" w:hAnsi="Times New Roman" w:eastAsia="宋体" w:cs="Times New Roman"/>
          <w:b/>
          <w:bCs/>
          <w:szCs w:val="21"/>
        </w:rPr>
        <w:t>I</w:t>
      </w:r>
      <w:r>
        <w:rPr>
          <w:rFonts w:ascii="Times New Roman" w:hAnsi="Times New Roman" w:eastAsia="宋体" w:cs="Times New Roman"/>
          <w:b/>
          <w:bCs/>
          <w:szCs w:val="21"/>
        </w:rPr>
        <w:t>)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Family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Rhodospirillaceae</w:t>
      </w:r>
      <w:r>
        <w:rPr>
          <w:rFonts w:ascii="Times New Roman" w:hAnsi="Times New Roman" w:eastAsia="宋体" w:cs="Times New Roman"/>
          <w:b/>
          <w:bCs/>
          <w:i/>
          <w:iCs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on </w:t>
      </w:r>
      <w:r>
        <w:rPr>
          <w:rFonts w:ascii="Times New Roman" w:hAnsi="Times New Roman" w:eastAsia="宋体" w:cs="Times New Roman"/>
          <w:szCs w:val="21"/>
        </w:rPr>
        <w:t>Left−hemisphere visual network to hippocampus white−matter structural connectivity</w:t>
      </w:r>
      <w:r>
        <w:rPr>
          <w:rFonts w:hint="eastAsia" w:ascii="Times New Roman" w:hAnsi="Times New Roman" w:eastAsia="宋体" w:cs="Times New Roman"/>
          <w:szCs w:val="21"/>
        </w:rPr>
        <w:t>.</w:t>
      </w:r>
      <w:r>
        <w:rPr>
          <w:rFonts w:ascii="Times New Roman" w:hAnsi="Times New Roman" w:eastAsia="宋体" w:cs="Times New Roman"/>
          <w:b/>
          <w:bCs/>
          <w:szCs w:val="21"/>
        </w:rPr>
        <w:t xml:space="preserve"> (J) </w:t>
      </w:r>
      <w:r>
        <w:rPr>
          <w:rFonts w:hint="eastAsia" w:ascii="Times New Roman" w:hAnsi="Times New Roman" w:eastAsia="宋体" w:cs="Times New Roman"/>
          <w:szCs w:val="21"/>
        </w:rPr>
        <w:t xml:space="preserve">Order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Rhodospirillales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 xml:space="preserve">on Left−hemisphere visual network to hippocampus white−matter structural connectivity. </w:t>
      </w:r>
      <w:r>
        <w:rPr>
          <w:rFonts w:ascii="Times New Roman" w:hAnsi="Times New Roman" w:eastAsia="宋体" w:cs="Times New Roman"/>
          <w:b/>
          <w:bCs/>
          <w:szCs w:val="21"/>
        </w:rPr>
        <w:t>(K)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 xml:space="preserve">Genus </w:t>
      </w:r>
      <w:r>
        <w:rPr>
          <w:rFonts w:hint="eastAsia" w:ascii="Times New Roman" w:hAnsi="Times New Roman" w:eastAsia="宋体" w:cs="Times New Roman"/>
          <w:i/>
          <w:iCs/>
          <w:szCs w:val="21"/>
        </w:rPr>
        <w:t>Senegalimassilia</w:t>
      </w:r>
      <w:r>
        <w:rPr>
          <w:rFonts w:ascii="Times New Roman" w:hAnsi="Times New Roman" w:eastAsia="宋体" w:cs="Times New Roman"/>
          <w:i/>
          <w:iCs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on</w:t>
      </w:r>
      <w:r>
        <w:rPr>
          <w:rFonts w:hint="eastAsia" w:ascii="Times New Roman" w:hAnsi="Times New Roman" w:eastAsia="宋体" w:cs="Times New Roman"/>
          <w:szCs w:val="21"/>
        </w:rPr>
        <w:t xml:space="preserve"> </w:t>
      </w:r>
      <w:r>
        <w:rPr>
          <w:rFonts w:ascii="Times New Roman" w:hAnsi="Times New Roman" w:eastAsia="宋体" w:cs="Times New Roman"/>
          <w:szCs w:val="21"/>
        </w:rPr>
        <w:t>Right−hemisphere somatomotor network to caudate white−matter structural connectivity.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2D9"/>
    <w:rsid w:val="000D62D9"/>
    <w:rsid w:val="003B16EF"/>
    <w:rsid w:val="00781190"/>
    <w:rsid w:val="00836168"/>
    <w:rsid w:val="00A824CB"/>
    <w:rsid w:val="00BC2332"/>
    <w:rsid w:val="00CD4E77"/>
    <w:rsid w:val="00DE4F32"/>
    <w:rsid w:val="00E26992"/>
    <w:rsid w:val="00F1498E"/>
    <w:rsid w:val="232B2041"/>
    <w:rsid w:val="6D883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533</Words>
  <Characters>4460</Characters>
  <Lines>35</Lines>
  <Paragraphs>9</Paragraphs>
  <TotalTime>13</TotalTime>
  <ScaleCrop>false</ScaleCrop>
  <LinksUpToDate>false</LinksUpToDate>
  <CharactersWithSpaces>4990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2024-12-17T06:09:00Z</dcterms:created>
  <dc:creator>365VIP</dc:creator>
  <cp:lastModifiedBy>Qianling</cp:lastModifiedBy>
  <dcterms:modified xsi:type="dcterms:W3CDTF">2025-01-06T07:20:12Z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eyJoZGlkIjoiODIyMWU3ZGI0OTUxNjk0NWI2ZWZhNWQwZjQ3N2MzZmIiLCJ1c2VySWQiOiI2MDMxMTUxNjMifQ==</vt:lpwstr>
  </property>
  <property fmtid="{D5CDD505-2E9C-101B-9397-08002B2CF9AE}" pid="3" name="KSOProductBuildVer">
    <vt:lpwstr>2052-12.1.0.19302</vt:lpwstr>
  </property>
  <property fmtid="{D5CDD505-2E9C-101B-9397-08002B2CF9AE}" pid="4" name="ICV">
    <vt:lpwstr>00FB5B4B04604A09B5350554DECBEF49_12</vt:lpwstr>
  </property>
</Properties>
</file>