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E0922" w14:textId="77777777" w:rsidR="000359D4" w:rsidRDefault="000359D4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7651EDE2" w14:textId="39BA6436" w:rsidR="00DF7A72" w:rsidRPr="00DF7A72" w:rsidRDefault="00DF7A72" w:rsidP="000359D4">
      <w:pPr>
        <w:spacing w:after="0" w:line="240" w:lineRule="auto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  <w:r w:rsidRPr="00DF7A72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Table 1. Descriptive statistics for all the variables used in the analysis</w:t>
      </w:r>
    </w:p>
    <w:p w14:paraId="14E0D6E4" w14:textId="2BB74E04" w:rsidR="00DF7A72" w:rsidRDefault="00DF7A72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DF7A72">
        <w:rPr>
          <w:noProof/>
          <w:lang w:eastAsia="en-GB"/>
        </w:rPr>
        <w:drawing>
          <wp:inline distT="0" distB="0" distL="0" distR="0" wp14:anchorId="3EC91F2E" wp14:editId="42499019">
            <wp:extent cx="3688573" cy="7574680"/>
            <wp:effectExtent l="0" t="0" r="7620" b="7620"/>
            <wp:docPr id="29959728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712" cy="758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14B79" w14:textId="71631ACD" w:rsidR="00DF7A72" w:rsidRPr="00DF7A72" w:rsidRDefault="00DF7A72" w:rsidP="000359D4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>Source</w:t>
      </w:r>
      <w:r>
        <w:rPr>
          <w:rFonts w:ascii="Calibri" w:hAnsi="Calibri" w:cs="Calibri"/>
          <w:sz w:val="18"/>
          <w:szCs w:val="18"/>
          <w:shd w:val="clear" w:color="auto" w:fill="FFFFFF"/>
        </w:rPr>
        <w:t>: authors’ own analysis</w:t>
      </w:r>
      <w:r w:rsidR="004D38AF">
        <w:rPr>
          <w:rFonts w:ascii="Calibri" w:hAnsi="Calibri" w:cs="Calibri"/>
          <w:sz w:val="18"/>
          <w:szCs w:val="18"/>
          <w:shd w:val="clear" w:color="auto" w:fill="FFFFFF"/>
        </w:rPr>
        <w:t xml:space="preserve"> of NFHS data</w:t>
      </w:r>
    </w:p>
    <w:p w14:paraId="326115AE" w14:textId="77777777" w:rsidR="004D38AF" w:rsidRDefault="004D38AF" w:rsidP="000359D4">
      <w:pPr>
        <w:spacing w:after="0" w:line="480" w:lineRule="auto"/>
        <w:jc w:val="both"/>
        <w:rPr>
          <w:rFonts w:ascii="Calibri" w:hAnsi="Calibri" w:cs="Calibri"/>
          <w:i/>
          <w:iCs/>
          <w:sz w:val="22"/>
          <w:szCs w:val="22"/>
          <w:shd w:val="clear" w:color="auto" w:fill="FFFFFF"/>
        </w:rPr>
      </w:pPr>
    </w:p>
    <w:p w14:paraId="376EBF48" w14:textId="77777777" w:rsidR="00476095" w:rsidRDefault="00476095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2EACEEB8" w14:textId="00805CE0" w:rsidR="00476095" w:rsidRDefault="00476095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lastRenderedPageBreak/>
        <w:t>Table 2.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1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F72919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Grouped NFHS4 and 5 individual-level results</w:t>
      </w:r>
      <w:r w:rsidR="000359D4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– key independent variables</w:t>
      </w:r>
    </w:p>
    <w:p w14:paraId="3B4EE036" w14:textId="77777777" w:rsidR="00476095" w:rsidRDefault="00476095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DF7A72">
        <w:rPr>
          <w:noProof/>
          <w:lang w:eastAsia="en-GB"/>
        </w:rPr>
        <w:drawing>
          <wp:inline distT="0" distB="0" distL="0" distR="0" wp14:anchorId="789D14E2" wp14:editId="3D370A54">
            <wp:extent cx="5731510" cy="2872105"/>
            <wp:effectExtent l="0" t="0" r="2540" b="4445"/>
            <wp:docPr id="445099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C4983" w14:textId="4E6F976C" w:rsidR="00476095" w:rsidRPr="00B1463D" w:rsidRDefault="00476095" w:rsidP="000359D4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>
        <w:rPr>
          <w:rFonts w:ascii="Calibri" w:hAnsi="Calibri" w:cs="Calibri"/>
          <w:sz w:val="18"/>
          <w:szCs w:val="18"/>
          <w:shd w:val="clear" w:color="auto" w:fill="FFFFFF"/>
        </w:rPr>
        <w:t>The table lists first coefficients and below Z scores for each key independent variable. ***p&lt;0.001, **p&lt;.01, *p&lt;0.05. Results for control variables are included in Table 2.2 in the Appendix.</w:t>
      </w:r>
    </w:p>
    <w:p w14:paraId="6FDAC970" w14:textId="77777777" w:rsidR="00476095" w:rsidRDefault="00476095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22102611" w14:textId="77777777" w:rsidR="00DF7A72" w:rsidRDefault="00DF7A72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1215007A" w14:textId="6CA4FC95" w:rsidR="00DF7A72" w:rsidRDefault="00DF7A72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Table 3.</w:t>
      </w:r>
      <w:r w:rsidR="00797BD5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1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District-level results from merged NFHS 4 and 5 data</w:t>
      </w:r>
      <w:r w:rsidR="00482707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– key independent variables</w:t>
      </w:r>
    </w:p>
    <w:p w14:paraId="379AE7D3" w14:textId="6730A2E9" w:rsidR="00DF7A72" w:rsidRDefault="00DF7A72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DF7A72">
        <w:rPr>
          <w:noProof/>
          <w:lang w:eastAsia="en-GB"/>
        </w:rPr>
        <w:drawing>
          <wp:inline distT="0" distB="0" distL="0" distR="0" wp14:anchorId="68CA2906" wp14:editId="273B1612">
            <wp:extent cx="5731510" cy="3185160"/>
            <wp:effectExtent l="0" t="0" r="2540" b="0"/>
            <wp:docPr id="14250716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D3532" w14:textId="45410814" w:rsidR="00797BD5" w:rsidRPr="00B1463D" w:rsidRDefault="00B1463D" w:rsidP="000359D4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>
        <w:rPr>
          <w:rFonts w:ascii="Calibri" w:hAnsi="Calibri" w:cs="Calibri"/>
          <w:sz w:val="18"/>
          <w:szCs w:val="18"/>
          <w:shd w:val="clear" w:color="auto" w:fill="FFFFFF"/>
        </w:rPr>
        <w:t>The table lists first coefficients and below Z scores for each key independent variable. ***p&lt;0.001, **p&lt;.01, *p&lt;0.05</w:t>
      </w:r>
      <w:r w:rsidR="00797BD5">
        <w:rPr>
          <w:rFonts w:ascii="Calibri" w:hAnsi="Calibri" w:cs="Calibri"/>
          <w:sz w:val="18"/>
          <w:szCs w:val="18"/>
          <w:shd w:val="clear" w:color="auto" w:fill="FFFFFF"/>
        </w:rPr>
        <w:t>. Results for control variables are included in Table 3.2 in the Appendix.</w:t>
      </w:r>
    </w:p>
    <w:p w14:paraId="547DB923" w14:textId="73BEA3A4" w:rsidR="00B1463D" w:rsidRPr="00B1463D" w:rsidRDefault="00B1463D" w:rsidP="000359D4">
      <w:pPr>
        <w:spacing w:after="0" w:line="48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</w:p>
    <w:p w14:paraId="4F4F4BE8" w14:textId="77777777" w:rsidR="00632E35" w:rsidRDefault="00632E35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4717AF43" w14:textId="54EB4D53" w:rsidR="00632E35" w:rsidRDefault="00632E35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Table 4. ICDS provision in NFHS4 and 5, pre- and during the pandemic</w:t>
      </w:r>
    </w:p>
    <w:p w14:paraId="5310AD4F" w14:textId="1F43826A" w:rsidR="00632E35" w:rsidRDefault="00F05C60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F05C60">
        <w:rPr>
          <w:noProof/>
          <w:lang w:eastAsia="en-GB"/>
        </w:rPr>
        <w:lastRenderedPageBreak/>
        <w:drawing>
          <wp:inline distT="0" distB="0" distL="0" distR="0" wp14:anchorId="71FC02DE" wp14:editId="1493BCAD">
            <wp:extent cx="5880334" cy="928370"/>
            <wp:effectExtent l="0" t="0" r="6350" b="5080"/>
            <wp:docPr id="182593564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630" cy="934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E3256" w14:textId="1E6DCA57" w:rsidR="001727AF" w:rsidRPr="004D38AF" w:rsidRDefault="004D38AF" w:rsidP="000359D4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 w:rsidRPr="004D38AF"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>Source</w:t>
      </w:r>
      <w:r w:rsidRPr="004D38AF">
        <w:rPr>
          <w:rFonts w:ascii="Calibri" w:hAnsi="Calibri" w:cs="Calibri"/>
          <w:sz w:val="18"/>
          <w:szCs w:val="18"/>
          <w:shd w:val="clear" w:color="auto" w:fill="FFFFFF"/>
        </w:rPr>
        <w:t>: authors’ own analysis of NFHS data</w:t>
      </w:r>
    </w:p>
    <w:p w14:paraId="42884302" w14:textId="77777777" w:rsidR="004D38AF" w:rsidRDefault="004D38AF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3A406C0B" w14:textId="77777777" w:rsidR="00B1463D" w:rsidRDefault="00B1463D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692FE583" w14:textId="77777777" w:rsidR="0046118D" w:rsidRPr="00FA145E" w:rsidRDefault="0046118D" w:rsidP="000359D4">
      <w:pPr>
        <w:spacing w:after="0" w:line="240" w:lineRule="auto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Table 5. Links between ICDS services, the pandemic, and nutrition outcomes</w:t>
      </w:r>
    </w:p>
    <w:p w14:paraId="1DDB62DF" w14:textId="0A813E33" w:rsidR="00070AF5" w:rsidRDefault="00070AF5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070AF5">
        <w:rPr>
          <w:noProof/>
          <w:lang w:eastAsia="en-GB"/>
        </w:rPr>
        <w:drawing>
          <wp:inline distT="0" distB="0" distL="0" distR="0" wp14:anchorId="7DA992F3" wp14:editId="7C9B2F71">
            <wp:extent cx="5731510" cy="1268095"/>
            <wp:effectExtent l="0" t="0" r="2540" b="8255"/>
            <wp:docPr id="9731909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6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63000" w14:textId="52E856E1" w:rsidR="00070AF5" w:rsidRPr="004D38AF" w:rsidRDefault="004D38AF" w:rsidP="000359D4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 w:rsidRPr="004D38AF">
        <w:rPr>
          <w:rFonts w:ascii="Calibri" w:hAnsi="Calibri" w:cs="Calibri"/>
          <w:sz w:val="18"/>
          <w:szCs w:val="18"/>
          <w:shd w:val="clear" w:color="auto" w:fill="FFFFFF"/>
        </w:rPr>
        <w:t>Partial results of regressions akin to those in Tables 3.1 and 3.2, with a substitution of the ICDS variable and its interaction with the pandemic. The table lists first coefficients and below Z scores for each key independent variable. ***p&lt;0.001, **p&lt;.01, *p&lt;0.05.</w:t>
      </w:r>
    </w:p>
    <w:p w14:paraId="4649CB53" w14:textId="77777777" w:rsidR="004D38AF" w:rsidRDefault="004D38AF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74F2FFE6" w14:textId="77777777" w:rsidR="005F7F32" w:rsidRDefault="005F7F32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18DF6A47" w14:textId="6E9B2A13" w:rsidR="005F7F32" w:rsidRPr="00F05C60" w:rsidRDefault="005F7F32" w:rsidP="000359D4">
      <w:pPr>
        <w:spacing w:after="0" w:line="240" w:lineRule="auto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  <w:r w:rsidRPr="00F05C60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Table 6. </w:t>
      </w:r>
      <w:r w:rsidR="0080486C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D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isease and WASH </w:t>
      </w:r>
      <w:r w:rsidR="0080486C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change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s </w:t>
      </w:r>
      <w:r w:rsidR="0080486C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from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NFHS 4 </w:t>
      </w:r>
      <w:r w:rsidR="0080486C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to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5</w:t>
      </w:r>
      <w:r w:rsidR="0080486C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for districts by pandemic status</w:t>
      </w:r>
    </w:p>
    <w:p w14:paraId="4DFCF3F1" w14:textId="77777777" w:rsidR="005F7F32" w:rsidRDefault="005F7F32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F05C60">
        <w:rPr>
          <w:noProof/>
          <w:lang w:eastAsia="en-GB"/>
        </w:rPr>
        <w:drawing>
          <wp:inline distT="0" distB="0" distL="0" distR="0" wp14:anchorId="0B295621" wp14:editId="4BD9EA35">
            <wp:extent cx="5731510" cy="1045210"/>
            <wp:effectExtent l="0" t="0" r="2540" b="2540"/>
            <wp:docPr id="165303261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74FB2" w14:textId="04D4CD31" w:rsidR="005F7F32" w:rsidRPr="00FD7D60" w:rsidRDefault="00FD7D60" w:rsidP="000359D4">
      <w:pPr>
        <w:spacing w:after="0" w:line="240" w:lineRule="auto"/>
        <w:jc w:val="both"/>
        <w:rPr>
          <w:rFonts w:ascii="Calibri" w:hAnsi="Calibri" w:cs="Calibri"/>
          <w:i/>
          <w:iCs/>
          <w:sz w:val="18"/>
          <w:szCs w:val="18"/>
          <w:shd w:val="clear" w:color="auto" w:fill="FFFFFF"/>
        </w:rPr>
      </w:pPr>
      <w:r w:rsidRPr="00FD7D60"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 xml:space="preserve">Source: authors’ </w:t>
      </w:r>
      <w:r w:rsidR="004D38AF"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 xml:space="preserve">own </w:t>
      </w:r>
      <w:r w:rsidRPr="00FD7D60"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>analysis</w:t>
      </w:r>
      <w:r w:rsidR="004D38AF"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 xml:space="preserve"> of NFHS data</w:t>
      </w:r>
    </w:p>
    <w:p w14:paraId="10EC9F2C" w14:textId="77777777" w:rsidR="00F05C60" w:rsidRDefault="00F05C60" w:rsidP="000359D4">
      <w:pPr>
        <w:spacing w:after="0" w:line="48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14:paraId="0EB1E46F" w14:textId="14FDB522" w:rsidR="00E74A92" w:rsidRPr="00CD469A" w:rsidRDefault="00FD7D60" w:rsidP="000359D4">
      <w:pPr>
        <w:spacing w:after="0" w:line="240" w:lineRule="auto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  <w:r w:rsidRPr="00CD469A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Table 7. </w:t>
      </w:r>
      <w:r w:rsidR="00CD469A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Rajasthan and Himachal – Selected characteristics</w:t>
      </w:r>
    </w:p>
    <w:p w14:paraId="4A23D2A3" w14:textId="00EF9C5D" w:rsidR="00E74A92" w:rsidRDefault="00E74A92" w:rsidP="000359D4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E74A92">
        <w:rPr>
          <w:noProof/>
          <w:lang w:eastAsia="en-GB"/>
        </w:rPr>
        <w:drawing>
          <wp:inline distT="0" distB="0" distL="0" distR="0" wp14:anchorId="6D193452" wp14:editId="2F70440E">
            <wp:extent cx="4541520" cy="1303020"/>
            <wp:effectExtent l="0" t="0" r="0" b="0"/>
            <wp:docPr id="79118475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52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4B5CD" w14:textId="12383AE3" w:rsidR="00E74A92" w:rsidRDefault="00CD469A" w:rsidP="000359D4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 w:rsidRPr="00CD469A">
        <w:rPr>
          <w:rFonts w:ascii="Calibri" w:hAnsi="Calibri" w:cs="Calibri"/>
          <w:i/>
          <w:iCs/>
          <w:sz w:val="18"/>
          <w:szCs w:val="18"/>
          <w:shd w:val="clear" w:color="auto" w:fill="FFFFFF"/>
        </w:rPr>
        <w:t xml:space="preserve">Source: </w:t>
      </w:r>
      <w:r w:rsidR="00451CAB">
        <w:rPr>
          <w:rFonts w:ascii="Calibri" w:hAnsi="Calibri" w:cs="Calibri"/>
          <w:sz w:val="18"/>
          <w:szCs w:val="18"/>
          <w:shd w:val="clear" w:color="auto" w:fill="FFFFFF"/>
        </w:rPr>
        <w:t>2, 3, 67</w:t>
      </w:r>
    </w:p>
    <w:p w14:paraId="73D693A0" w14:textId="77777777" w:rsidR="00CD469A" w:rsidRDefault="00CD469A" w:rsidP="000359D4">
      <w:pPr>
        <w:spacing w:after="0" w:line="48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</w:p>
    <w:sectPr w:rsidR="00CD469A" w:rsidSect="000359D4">
      <w:footerReference w:type="default" r:id="rId1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15DB4" w14:textId="77777777" w:rsidR="00D63AB6" w:rsidRDefault="00D63AB6" w:rsidP="00A7476B">
      <w:pPr>
        <w:spacing w:after="0" w:line="240" w:lineRule="auto"/>
      </w:pPr>
      <w:r>
        <w:separator/>
      </w:r>
    </w:p>
  </w:endnote>
  <w:endnote w:type="continuationSeparator" w:id="0">
    <w:p w14:paraId="75BF87E9" w14:textId="77777777" w:rsidR="00D63AB6" w:rsidRDefault="00D63AB6" w:rsidP="00A747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5172371"/>
      <w:docPartObj>
        <w:docPartGallery w:val="Page Numbers (Bottom of Page)"/>
        <w:docPartUnique/>
      </w:docPartObj>
    </w:sdtPr>
    <w:sdtEndPr>
      <w:rPr>
        <w:rFonts w:ascii="Calibri" w:hAnsi="Calibri" w:cs="Calibri"/>
        <w:noProof/>
        <w:sz w:val="20"/>
        <w:szCs w:val="20"/>
      </w:rPr>
    </w:sdtEndPr>
    <w:sdtContent>
      <w:p w14:paraId="4F558FFE" w14:textId="2DCE68E1" w:rsidR="000359D4" w:rsidRPr="000359D4" w:rsidRDefault="000359D4">
        <w:pPr>
          <w:pStyle w:val="Footer"/>
          <w:jc w:val="center"/>
          <w:rPr>
            <w:rFonts w:ascii="Calibri" w:hAnsi="Calibri" w:cs="Calibri"/>
            <w:sz w:val="20"/>
            <w:szCs w:val="20"/>
          </w:rPr>
        </w:pPr>
        <w:r w:rsidRPr="000359D4">
          <w:rPr>
            <w:rFonts w:ascii="Calibri" w:hAnsi="Calibri" w:cs="Calibri"/>
            <w:sz w:val="20"/>
            <w:szCs w:val="20"/>
          </w:rPr>
          <w:fldChar w:fldCharType="begin"/>
        </w:r>
        <w:r w:rsidRPr="000359D4">
          <w:rPr>
            <w:rFonts w:ascii="Calibri" w:hAnsi="Calibri" w:cs="Calibri"/>
            <w:sz w:val="20"/>
            <w:szCs w:val="20"/>
          </w:rPr>
          <w:instrText xml:space="preserve"> PAGE   \* MERGEFORMAT </w:instrText>
        </w:r>
        <w:r w:rsidRPr="000359D4">
          <w:rPr>
            <w:rFonts w:ascii="Calibri" w:hAnsi="Calibri" w:cs="Calibri"/>
            <w:sz w:val="20"/>
            <w:szCs w:val="20"/>
          </w:rPr>
          <w:fldChar w:fldCharType="separate"/>
        </w:r>
        <w:r w:rsidR="00615AEC">
          <w:rPr>
            <w:rFonts w:ascii="Calibri" w:hAnsi="Calibri" w:cs="Calibri"/>
            <w:noProof/>
            <w:sz w:val="20"/>
            <w:szCs w:val="20"/>
          </w:rPr>
          <w:t>40</w:t>
        </w:r>
        <w:r w:rsidRPr="000359D4">
          <w:rPr>
            <w:rFonts w:ascii="Calibri" w:hAnsi="Calibri" w:cs="Calibri"/>
            <w:noProof/>
            <w:sz w:val="20"/>
            <w:szCs w:val="20"/>
          </w:rPr>
          <w:fldChar w:fldCharType="end"/>
        </w:r>
      </w:p>
    </w:sdtContent>
  </w:sdt>
  <w:p w14:paraId="58181EDF" w14:textId="77777777" w:rsidR="000359D4" w:rsidRDefault="000359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38C34" w14:textId="77777777" w:rsidR="00D63AB6" w:rsidRDefault="00D63AB6" w:rsidP="00A7476B">
      <w:pPr>
        <w:spacing w:after="0" w:line="240" w:lineRule="auto"/>
      </w:pPr>
      <w:r>
        <w:separator/>
      </w:r>
    </w:p>
  </w:footnote>
  <w:footnote w:type="continuationSeparator" w:id="0">
    <w:p w14:paraId="5A2B27E6" w14:textId="77777777" w:rsidR="00D63AB6" w:rsidRDefault="00D63AB6" w:rsidP="00A747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D4F42A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CFEA00E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2158B04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07D835E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4FA602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9FA7423"/>
    <w:multiLevelType w:val="hybridMultilevel"/>
    <w:tmpl w:val="570270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0055ED"/>
    <w:multiLevelType w:val="hybridMultilevel"/>
    <w:tmpl w:val="D8D60E10"/>
    <w:lvl w:ilvl="0" w:tplc="E42E3760">
      <w:start w:val="5"/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755246675">
    <w:abstractNumId w:val="6"/>
  </w:num>
  <w:num w:numId="2" w16cid:durableId="1057974672">
    <w:abstractNumId w:val="5"/>
  </w:num>
  <w:num w:numId="3" w16cid:durableId="1496648749">
    <w:abstractNumId w:val="4"/>
  </w:num>
  <w:num w:numId="4" w16cid:durableId="540555613">
    <w:abstractNumId w:val="3"/>
  </w:num>
  <w:num w:numId="5" w16cid:durableId="354237729">
    <w:abstractNumId w:val="2"/>
  </w:num>
  <w:num w:numId="6" w16cid:durableId="846138036">
    <w:abstractNumId w:val="1"/>
  </w:num>
  <w:num w:numId="7" w16cid:durableId="868759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ABF"/>
    <w:rsid w:val="00007201"/>
    <w:rsid w:val="000359D4"/>
    <w:rsid w:val="00067A8B"/>
    <w:rsid w:val="00070AF5"/>
    <w:rsid w:val="00097713"/>
    <w:rsid w:val="000A5A69"/>
    <w:rsid w:val="000B21EA"/>
    <w:rsid w:val="001137DC"/>
    <w:rsid w:val="001650DA"/>
    <w:rsid w:val="001654FC"/>
    <w:rsid w:val="001727AF"/>
    <w:rsid w:val="00185818"/>
    <w:rsid w:val="00186C2B"/>
    <w:rsid w:val="001B3EF7"/>
    <w:rsid w:val="001D6BF3"/>
    <w:rsid w:val="0025650A"/>
    <w:rsid w:val="00281012"/>
    <w:rsid w:val="002B1BC1"/>
    <w:rsid w:val="002E0582"/>
    <w:rsid w:val="00310DEE"/>
    <w:rsid w:val="0031505F"/>
    <w:rsid w:val="00315A63"/>
    <w:rsid w:val="0033171D"/>
    <w:rsid w:val="00354486"/>
    <w:rsid w:val="003A4C2C"/>
    <w:rsid w:val="003C6DB7"/>
    <w:rsid w:val="003D2068"/>
    <w:rsid w:val="003E30EA"/>
    <w:rsid w:val="00401289"/>
    <w:rsid w:val="00423D69"/>
    <w:rsid w:val="00451CAB"/>
    <w:rsid w:val="0046118D"/>
    <w:rsid w:val="0047298C"/>
    <w:rsid w:val="00474CCF"/>
    <w:rsid w:val="00476095"/>
    <w:rsid w:val="00482707"/>
    <w:rsid w:val="00487823"/>
    <w:rsid w:val="004979E9"/>
    <w:rsid w:val="004B2A60"/>
    <w:rsid w:val="004D38AF"/>
    <w:rsid w:val="00507457"/>
    <w:rsid w:val="005165B4"/>
    <w:rsid w:val="0053443A"/>
    <w:rsid w:val="00546C22"/>
    <w:rsid w:val="005476A1"/>
    <w:rsid w:val="005612D9"/>
    <w:rsid w:val="00577B6C"/>
    <w:rsid w:val="005E4FCB"/>
    <w:rsid w:val="005F7F32"/>
    <w:rsid w:val="00615AEC"/>
    <w:rsid w:val="00632E35"/>
    <w:rsid w:val="00676540"/>
    <w:rsid w:val="00696340"/>
    <w:rsid w:val="006E2CCA"/>
    <w:rsid w:val="006E4B3B"/>
    <w:rsid w:val="0070084F"/>
    <w:rsid w:val="00797BD5"/>
    <w:rsid w:val="007C0A9F"/>
    <w:rsid w:val="0080486C"/>
    <w:rsid w:val="008055ED"/>
    <w:rsid w:val="00815AEC"/>
    <w:rsid w:val="00822198"/>
    <w:rsid w:val="00825F1F"/>
    <w:rsid w:val="00844DB3"/>
    <w:rsid w:val="00854B26"/>
    <w:rsid w:val="00886F5C"/>
    <w:rsid w:val="008A0395"/>
    <w:rsid w:val="008D7AE7"/>
    <w:rsid w:val="008E029A"/>
    <w:rsid w:val="008F7947"/>
    <w:rsid w:val="00907ABF"/>
    <w:rsid w:val="0093494E"/>
    <w:rsid w:val="009A5BA6"/>
    <w:rsid w:val="009D7AF1"/>
    <w:rsid w:val="00A250DE"/>
    <w:rsid w:val="00A51E49"/>
    <w:rsid w:val="00A7476B"/>
    <w:rsid w:val="00A80372"/>
    <w:rsid w:val="00A96013"/>
    <w:rsid w:val="00AA0DC7"/>
    <w:rsid w:val="00AA1C2F"/>
    <w:rsid w:val="00AB1141"/>
    <w:rsid w:val="00AB631F"/>
    <w:rsid w:val="00B1463D"/>
    <w:rsid w:val="00B5203A"/>
    <w:rsid w:val="00B670C7"/>
    <w:rsid w:val="00BB1785"/>
    <w:rsid w:val="00BD677E"/>
    <w:rsid w:val="00BE6401"/>
    <w:rsid w:val="00C363FE"/>
    <w:rsid w:val="00C4497F"/>
    <w:rsid w:val="00CA7469"/>
    <w:rsid w:val="00CC1076"/>
    <w:rsid w:val="00CD469A"/>
    <w:rsid w:val="00CD5C90"/>
    <w:rsid w:val="00D04DEE"/>
    <w:rsid w:val="00D63AB6"/>
    <w:rsid w:val="00D658EC"/>
    <w:rsid w:val="00D76A04"/>
    <w:rsid w:val="00D8077A"/>
    <w:rsid w:val="00D82610"/>
    <w:rsid w:val="00D97CF4"/>
    <w:rsid w:val="00DA6956"/>
    <w:rsid w:val="00DB0C32"/>
    <w:rsid w:val="00DD01FD"/>
    <w:rsid w:val="00DD24F5"/>
    <w:rsid w:val="00DF7A72"/>
    <w:rsid w:val="00E0595A"/>
    <w:rsid w:val="00E137B7"/>
    <w:rsid w:val="00E57414"/>
    <w:rsid w:val="00E74A92"/>
    <w:rsid w:val="00E91A9C"/>
    <w:rsid w:val="00E95C5E"/>
    <w:rsid w:val="00EA52A1"/>
    <w:rsid w:val="00EB2095"/>
    <w:rsid w:val="00EC246A"/>
    <w:rsid w:val="00F05C60"/>
    <w:rsid w:val="00F30328"/>
    <w:rsid w:val="00F82252"/>
    <w:rsid w:val="00F87D7D"/>
    <w:rsid w:val="00FD7D60"/>
    <w:rsid w:val="00FE3911"/>
    <w:rsid w:val="00FF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F8F45"/>
  <w15:chartTrackingRefBased/>
  <w15:docId w15:val="{556DC62B-62FE-4C8C-A13A-89E07A50B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C5E"/>
  </w:style>
  <w:style w:type="paragraph" w:styleId="Heading1">
    <w:name w:val="heading 1"/>
    <w:basedOn w:val="Normal"/>
    <w:next w:val="Normal"/>
    <w:link w:val="Heading1Char"/>
    <w:uiPriority w:val="9"/>
    <w:qFormat/>
    <w:rsid w:val="0090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0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AB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747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747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476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747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A1C2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221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198"/>
  </w:style>
  <w:style w:type="paragraph" w:styleId="Footer">
    <w:name w:val="footer"/>
    <w:basedOn w:val="Normal"/>
    <w:link w:val="FooterChar"/>
    <w:uiPriority w:val="99"/>
    <w:unhideWhenUsed/>
    <w:rsid w:val="008221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19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203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unhideWhenUsed/>
    <w:rsid w:val="00615AEC"/>
    <w:rPr>
      <w:rFonts w:ascii="Calibri" w:hAnsi="Calibri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5650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BDDAD-F0F0-426A-907F-A3BC13ADF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Petrikova, Ivica</dc:creator>
  <cp:keywords/>
  <dc:description/>
  <cp:lastModifiedBy>Trupti Sudge</cp:lastModifiedBy>
  <cp:revision>2</cp:revision>
  <cp:lastPrinted>2025-03-17T05:25:00Z</cp:lastPrinted>
  <dcterms:created xsi:type="dcterms:W3CDTF">2025-03-17T05:31:00Z</dcterms:created>
  <dcterms:modified xsi:type="dcterms:W3CDTF">2025-03-17T05:31:00Z</dcterms:modified>
</cp:coreProperties>
</file>