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1EE70B" w14:textId="3889B3D4" w:rsidR="00C77794" w:rsidRPr="0042192D" w:rsidRDefault="007863BE">
      <w:pPr>
        <w:rPr>
          <w:rFonts w:ascii="Arial" w:hAnsi="Arial" w:cs="Arial"/>
          <w:sz w:val="22"/>
          <w:szCs w:val="22"/>
        </w:rPr>
      </w:pPr>
      <w:r w:rsidRPr="0042192D">
        <w:rPr>
          <w:rFonts w:ascii="Arial" w:hAnsi="Arial" w:cs="Arial"/>
          <w:b/>
          <w:bCs/>
          <w:sz w:val="22"/>
          <w:szCs w:val="22"/>
        </w:rPr>
        <w:t>Supplementary Table S</w:t>
      </w:r>
      <w:r w:rsidR="001967BA" w:rsidRPr="0042192D">
        <w:rPr>
          <w:rFonts w:ascii="Arial" w:hAnsi="Arial" w:cs="Arial"/>
          <w:b/>
          <w:bCs/>
          <w:sz w:val="22"/>
          <w:szCs w:val="22"/>
        </w:rPr>
        <w:t>7</w:t>
      </w:r>
      <w:r w:rsidR="008949A7" w:rsidRPr="0042192D">
        <w:rPr>
          <w:rFonts w:ascii="Arial" w:hAnsi="Arial" w:cs="Arial"/>
          <w:sz w:val="22"/>
          <w:szCs w:val="22"/>
        </w:rPr>
        <w:t xml:space="preserve">. </w:t>
      </w:r>
      <w:r w:rsidR="0042192D" w:rsidRPr="0042192D">
        <w:rPr>
          <w:rFonts w:ascii="Arial" w:hAnsi="Arial" w:cs="Arial"/>
          <w:sz w:val="22"/>
          <w:szCs w:val="22"/>
        </w:rPr>
        <w:t xml:space="preserve">Functions and conditions associated with genes affected by the primary </w:t>
      </w:r>
      <w:r w:rsidR="00537FE7">
        <w:rPr>
          <w:rFonts w:ascii="Arial" w:hAnsi="Arial" w:cs="Arial"/>
          <w:sz w:val="22"/>
          <w:szCs w:val="22"/>
        </w:rPr>
        <w:t xml:space="preserve">neurodevelopmental disorder </w:t>
      </w:r>
      <w:r w:rsidR="0042192D" w:rsidRPr="0042192D">
        <w:rPr>
          <w:rFonts w:ascii="Arial" w:hAnsi="Arial" w:cs="Arial"/>
          <w:sz w:val="22"/>
          <w:szCs w:val="22"/>
        </w:rPr>
        <w:t>variants observed as schizophrenia de novo variants.</w:t>
      </w:r>
    </w:p>
    <w:p w14:paraId="5CA392C7" w14:textId="77777777" w:rsidR="007863BE" w:rsidRDefault="007863BE"/>
    <w:tbl>
      <w:tblPr>
        <w:tblStyle w:val="TableGrid"/>
        <w:tblpPr w:leftFromText="180" w:rightFromText="180" w:vertAnchor="text" w:tblpXSpec="center" w:tblpY="1"/>
        <w:tblOverlap w:val="never"/>
        <w:tblW w:w="13288" w:type="dxa"/>
        <w:tblLook w:val="04A0" w:firstRow="1" w:lastRow="0" w:firstColumn="1" w:lastColumn="0" w:noHBand="0" w:noVBand="1"/>
      </w:tblPr>
      <w:tblGrid>
        <w:gridCol w:w="1286"/>
        <w:gridCol w:w="1998"/>
        <w:gridCol w:w="1419"/>
        <w:gridCol w:w="2268"/>
        <w:gridCol w:w="1585"/>
        <w:gridCol w:w="1574"/>
        <w:gridCol w:w="1281"/>
        <w:gridCol w:w="1877"/>
      </w:tblGrid>
      <w:tr w:rsidR="00517FC6" w:rsidRPr="00517FC6" w14:paraId="019D8AF1" w14:textId="77777777" w:rsidTr="00C93EF9">
        <w:tc>
          <w:tcPr>
            <w:tcW w:w="1286" w:type="dxa"/>
          </w:tcPr>
          <w:p w14:paraId="1FE58321" w14:textId="271E653F" w:rsidR="00C77794"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Gene ID</w:t>
            </w:r>
          </w:p>
        </w:tc>
        <w:tc>
          <w:tcPr>
            <w:tcW w:w="1998" w:type="dxa"/>
          </w:tcPr>
          <w:p w14:paraId="42E439C4" w14:textId="77777777" w:rsidR="00CC44D3"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Gene Name</w:t>
            </w:r>
          </w:p>
        </w:tc>
        <w:tc>
          <w:tcPr>
            <w:tcW w:w="1419" w:type="dxa"/>
          </w:tcPr>
          <w:p w14:paraId="4888F78F" w14:textId="77777777" w:rsidR="00CC44D3" w:rsidRPr="00517FC6" w:rsidRDefault="00CC44D3" w:rsidP="00C93EF9">
            <w:pPr>
              <w:rPr>
                <w:rFonts w:asciiTheme="majorHAnsi" w:hAnsiTheme="majorHAnsi" w:cstheme="majorHAnsi"/>
                <w:b/>
                <w:bCs/>
                <w:i/>
                <w:iCs/>
                <w:color w:val="000000" w:themeColor="text1"/>
                <w:sz w:val="16"/>
                <w:szCs w:val="16"/>
              </w:rPr>
            </w:pPr>
            <w:r w:rsidRPr="00517FC6">
              <w:rPr>
                <w:rFonts w:asciiTheme="majorHAnsi" w:hAnsiTheme="majorHAnsi" w:cstheme="majorHAnsi"/>
                <w:b/>
                <w:bCs/>
                <w:i/>
                <w:iCs/>
                <w:color w:val="000000" w:themeColor="text1"/>
                <w:sz w:val="16"/>
                <w:szCs w:val="16"/>
              </w:rPr>
              <w:t>Alternative ID</w:t>
            </w:r>
          </w:p>
        </w:tc>
        <w:tc>
          <w:tcPr>
            <w:tcW w:w="2268" w:type="dxa"/>
          </w:tcPr>
          <w:p w14:paraId="498DFD3E" w14:textId="77777777" w:rsidR="00CC44D3"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General Function</w:t>
            </w:r>
          </w:p>
        </w:tc>
        <w:tc>
          <w:tcPr>
            <w:tcW w:w="1585" w:type="dxa"/>
          </w:tcPr>
          <w:p w14:paraId="67391A9F" w14:textId="77777777" w:rsidR="00CC44D3"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Related Conditions</w:t>
            </w:r>
          </w:p>
        </w:tc>
        <w:tc>
          <w:tcPr>
            <w:tcW w:w="1574" w:type="dxa"/>
          </w:tcPr>
          <w:p w14:paraId="14BF4392" w14:textId="77777777" w:rsidR="00CC44D3"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Expression Profile</w:t>
            </w:r>
          </w:p>
        </w:tc>
        <w:tc>
          <w:tcPr>
            <w:tcW w:w="1281" w:type="dxa"/>
          </w:tcPr>
          <w:p w14:paraId="088FEA8B" w14:textId="77777777" w:rsidR="00CC44D3"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Key References</w:t>
            </w:r>
          </w:p>
        </w:tc>
        <w:tc>
          <w:tcPr>
            <w:tcW w:w="1877" w:type="dxa"/>
          </w:tcPr>
          <w:p w14:paraId="14259A4F" w14:textId="77777777" w:rsidR="00CC44D3" w:rsidRPr="00517FC6" w:rsidRDefault="00CC44D3" w:rsidP="00C93EF9">
            <w:pPr>
              <w:rPr>
                <w:rFonts w:asciiTheme="majorHAnsi" w:hAnsiTheme="majorHAnsi" w:cstheme="majorHAnsi"/>
                <w:b/>
                <w:bCs/>
                <w:color w:val="000000" w:themeColor="text1"/>
                <w:sz w:val="16"/>
                <w:szCs w:val="16"/>
              </w:rPr>
            </w:pPr>
            <w:r w:rsidRPr="00517FC6">
              <w:rPr>
                <w:rFonts w:asciiTheme="majorHAnsi" w:hAnsiTheme="majorHAnsi" w:cstheme="majorHAnsi"/>
                <w:b/>
                <w:bCs/>
                <w:color w:val="000000" w:themeColor="text1"/>
                <w:sz w:val="16"/>
                <w:szCs w:val="16"/>
              </w:rPr>
              <w:t>Notes</w:t>
            </w:r>
          </w:p>
        </w:tc>
      </w:tr>
      <w:tr w:rsidR="00517FC6" w:rsidRPr="00517FC6" w14:paraId="5AFF8D91" w14:textId="77777777" w:rsidTr="00C93EF9">
        <w:tc>
          <w:tcPr>
            <w:tcW w:w="1286" w:type="dxa"/>
          </w:tcPr>
          <w:p w14:paraId="13E7E28C"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KMT2D</w:t>
            </w:r>
          </w:p>
        </w:tc>
        <w:tc>
          <w:tcPr>
            <w:tcW w:w="1998" w:type="dxa"/>
          </w:tcPr>
          <w:p w14:paraId="41EAC1AB" w14:textId="77777777" w:rsidR="00CC44D3" w:rsidRPr="00517FC6" w:rsidRDefault="001A7F48"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L</w:t>
            </w:r>
            <w:r w:rsidR="00CC44D3" w:rsidRPr="00517FC6">
              <w:rPr>
                <w:rFonts w:asciiTheme="majorHAnsi" w:hAnsiTheme="majorHAnsi" w:cstheme="majorHAnsi"/>
                <w:color w:val="000000" w:themeColor="text1"/>
                <w:sz w:val="16"/>
                <w:szCs w:val="16"/>
              </w:rPr>
              <w:t>ysine methyltransferase 2D</w:t>
            </w:r>
          </w:p>
        </w:tc>
        <w:tc>
          <w:tcPr>
            <w:tcW w:w="1419" w:type="dxa"/>
          </w:tcPr>
          <w:p w14:paraId="661493EC" w14:textId="77777777" w:rsidR="005E4956" w:rsidRPr="00517FC6" w:rsidRDefault="005E4956" w:rsidP="00C93EF9">
            <w:pPr>
              <w:rPr>
                <w:rFonts w:asciiTheme="majorHAnsi" w:hAnsiTheme="majorHAnsi" w:cstheme="majorHAnsi"/>
                <w:i/>
                <w:iCs/>
                <w:color w:val="000000" w:themeColor="text1"/>
                <w:sz w:val="16"/>
                <w:szCs w:val="16"/>
                <w:shd w:val="clear" w:color="auto" w:fill="FFFFFF"/>
              </w:rPr>
            </w:pPr>
            <w:r w:rsidRPr="00517FC6">
              <w:rPr>
                <w:rFonts w:asciiTheme="majorHAnsi" w:hAnsiTheme="majorHAnsi" w:cstheme="majorHAnsi"/>
                <w:i/>
                <w:iCs/>
                <w:color w:val="000000" w:themeColor="text1"/>
                <w:sz w:val="16"/>
                <w:szCs w:val="16"/>
                <w:shd w:val="clear" w:color="auto" w:fill="FFFFFF"/>
              </w:rPr>
              <w:t>ALR</w:t>
            </w:r>
            <w:r w:rsidR="00103ABC" w:rsidRPr="00517FC6">
              <w:rPr>
                <w:rFonts w:asciiTheme="majorHAnsi" w:hAnsiTheme="majorHAnsi" w:cstheme="majorHAnsi"/>
                <w:i/>
                <w:iCs/>
                <w:color w:val="000000" w:themeColor="text1"/>
                <w:sz w:val="16"/>
                <w:szCs w:val="16"/>
                <w:shd w:val="clear" w:color="auto" w:fill="FFFFFF"/>
              </w:rPr>
              <w:t xml:space="preserve">, </w:t>
            </w:r>
            <w:r w:rsidR="00CC44D3" w:rsidRPr="00517FC6">
              <w:rPr>
                <w:rFonts w:asciiTheme="majorHAnsi" w:hAnsiTheme="majorHAnsi" w:cstheme="majorHAnsi"/>
                <w:i/>
                <w:iCs/>
                <w:color w:val="000000" w:themeColor="text1"/>
                <w:sz w:val="16"/>
                <w:szCs w:val="16"/>
                <w:shd w:val="clear" w:color="auto" w:fill="FFFFFF"/>
              </w:rPr>
              <w:t>MLL2</w:t>
            </w:r>
            <w:r w:rsidR="00103ABC" w:rsidRPr="00517FC6">
              <w:rPr>
                <w:rFonts w:asciiTheme="majorHAnsi" w:hAnsiTheme="majorHAnsi" w:cstheme="majorHAnsi"/>
                <w:i/>
                <w:iCs/>
                <w:color w:val="000000" w:themeColor="text1"/>
                <w:sz w:val="16"/>
                <w:szCs w:val="16"/>
                <w:shd w:val="clear" w:color="auto" w:fill="FFFFFF"/>
              </w:rPr>
              <w:t xml:space="preserve">, </w:t>
            </w:r>
            <w:r w:rsidRPr="00517FC6">
              <w:rPr>
                <w:rFonts w:asciiTheme="majorHAnsi" w:hAnsiTheme="majorHAnsi" w:cstheme="majorHAnsi"/>
                <w:i/>
                <w:iCs/>
                <w:color w:val="000000" w:themeColor="text1"/>
                <w:sz w:val="16"/>
                <w:szCs w:val="16"/>
                <w:shd w:val="clear" w:color="auto" w:fill="FFFFFF"/>
              </w:rPr>
              <w:t>MLL4</w:t>
            </w:r>
          </w:p>
          <w:p w14:paraId="3E7BC251" w14:textId="77777777" w:rsidR="00CC44D3" w:rsidRPr="00517FC6" w:rsidRDefault="00CC44D3" w:rsidP="00C93EF9">
            <w:pPr>
              <w:rPr>
                <w:rFonts w:asciiTheme="majorHAnsi" w:hAnsiTheme="majorHAnsi" w:cstheme="majorHAnsi"/>
                <w:i/>
                <w:iCs/>
                <w:color w:val="000000" w:themeColor="text1"/>
                <w:sz w:val="16"/>
                <w:szCs w:val="16"/>
              </w:rPr>
            </w:pPr>
          </w:p>
        </w:tc>
        <w:tc>
          <w:tcPr>
            <w:tcW w:w="2268" w:type="dxa"/>
          </w:tcPr>
          <w:p w14:paraId="2CDA6163" w14:textId="77777777" w:rsidR="005E4956" w:rsidRPr="00517FC6" w:rsidRDefault="001A7F48"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A m</w:t>
            </w:r>
            <w:r w:rsidR="00CC44D3" w:rsidRPr="00517FC6">
              <w:rPr>
                <w:rFonts w:asciiTheme="majorHAnsi" w:hAnsiTheme="majorHAnsi" w:cstheme="majorHAnsi"/>
                <w:color w:val="000000" w:themeColor="text1"/>
                <w:sz w:val="16"/>
                <w:szCs w:val="16"/>
              </w:rPr>
              <w:t>ethyltransferase</w:t>
            </w:r>
            <w:r w:rsidR="005E4956" w:rsidRPr="00517FC6">
              <w:rPr>
                <w:rFonts w:asciiTheme="majorHAnsi" w:hAnsiTheme="majorHAnsi" w:cstheme="majorHAnsi"/>
                <w:color w:val="000000" w:themeColor="text1"/>
                <w:sz w:val="16"/>
                <w:szCs w:val="16"/>
              </w:rPr>
              <w:t xml:space="preserve">, </w:t>
            </w:r>
            <w:r w:rsidR="005E4956" w:rsidRPr="00517FC6">
              <w:rPr>
                <w:rFonts w:asciiTheme="majorHAnsi" w:hAnsiTheme="majorHAnsi" w:cstheme="majorHAnsi"/>
                <w:color w:val="000000" w:themeColor="text1"/>
                <w:sz w:val="16"/>
                <w:szCs w:val="16"/>
                <w:shd w:val="clear" w:color="auto" w:fill="FFFFFF"/>
              </w:rPr>
              <w:t>responsible for a majority of the H3K4me1/2 marks in mammalian cells along with KMT2C. </w:t>
            </w:r>
          </w:p>
          <w:p w14:paraId="50D6E323" w14:textId="77777777" w:rsidR="00CC44D3" w:rsidRPr="00517FC6" w:rsidRDefault="00CC44D3" w:rsidP="00C93EF9">
            <w:pPr>
              <w:rPr>
                <w:rFonts w:asciiTheme="majorHAnsi" w:hAnsiTheme="majorHAnsi" w:cstheme="majorHAnsi"/>
                <w:color w:val="000000" w:themeColor="text1"/>
                <w:sz w:val="16"/>
                <w:szCs w:val="16"/>
              </w:rPr>
            </w:pPr>
          </w:p>
          <w:p w14:paraId="5ED49D30" w14:textId="77777777" w:rsidR="005E4956" w:rsidRPr="00517FC6" w:rsidRDefault="005E495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shd w:val="clear" w:color="auto" w:fill="FFFFFF"/>
              </w:rPr>
              <w:t>Together they have been linked to a role in neuronal differentiation.</w:t>
            </w:r>
          </w:p>
          <w:p w14:paraId="1D9F34B9" w14:textId="77777777" w:rsidR="00CC44D3" w:rsidRPr="00517FC6" w:rsidRDefault="00CC44D3" w:rsidP="00C93EF9">
            <w:pPr>
              <w:rPr>
                <w:rFonts w:asciiTheme="majorHAnsi" w:hAnsiTheme="majorHAnsi" w:cstheme="majorHAnsi"/>
                <w:color w:val="000000" w:themeColor="text1"/>
                <w:sz w:val="16"/>
                <w:szCs w:val="16"/>
              </w:rPr>
            </w:pPr>
          </w:p>
          <w:p w14:paraId="7FB66177" w14:textId="77777777" w:rsidR="00CC44D3"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KMT2D plays critical roles in regulating development, differentiation, metabolism, and </w:t>
            </w:r>
            <w:r w:rsidR="00F36E50" w:rsidRPr="00517FC6">
              <w:rPr>
                <w:rFonts w:asciiTheme="majorHAnsi" w:hAnsiTheme="majorHAnsi" w:cstheme="majorHAnsi"/>
                <w:color w:val="000000" w:themeColor="text1"/>
                <w:sz w:val="16"/>
                <w:szCs w:val="16"/>
              </w:rPr>
              <w:t>tumour</w:t>
            </w:r>
            <w:r w:rsidRPr="00517FC6">
              <w:rPr>
                <w:rFonts w:asciiTheme="majorHAnsi" w:hAnsiTheme="majorHAnsi" w:cstheme="majorHAnsi"/>
                <w:color w:val="000000" w:themeColor="text1"/>
                <w:sz w:val="16"/>
                <w:szCs w:val="16"/>
              </w:rPr>
              <w:t xml:space="preserve"> suppression.</w:t>
            </w:r>
            <w:r w:rsidR="00F36E50" w:rsidRPr="00517FC6">
              <w:rPr>
                <w:rFonts w:asciiTheme="majorHAnsi" w:hAnsiTheme="majorHAnsi" w:cstheme="majorHAnsi"/>
                <w:color w:val="000000" w:themeColor="text1"/>
                <w:sz w:val="16"/>
                <w:szCs w:val="16"/>
              </w:rPr>
              <w:t xml:space="preserve"> </w:t>
            </w:r>
          </w:p>
        </w:tc>
        <w:tc>
          <w:tcPr>
            <w:tcW w:w="1585" w:type="dxa"/>
          </w:tcPr>
          <w:p w14:paraId="226A5677" w14:textId="54ABEE47" w:rsidR="00090EC4" w:rsidRPr="00517FC6" w:rsidRDefault="00CC44D3" w:rsidP="00E9161A">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Kabuki syndrome</w:t>
            </w:r>
            <w:r w:rsidR="00F36E50" w:rsidRPr="00517FC6">
              <w:rPr>
                <w:rFonts w:asciiTheme="majorHAnsi" w:hAnsiTheme="majorHAnsi" w:cstheme="majorHAnsi"/>
                <w:color w:val="000000" w:themeColor="text1"/>
                <w:sz w:val="16"/>
                <w:szCs w:val="16"/>
              </w:rPr>
              <w:t xml:space="preserve"> </w:t>
            </w:r>
            <w:r w:rsidR="00E9161A">
              <w:rPr>
                <w:rFonts w:asciiTheme="majorHAnsi" w:hAnsiTheme="majorHAnsi" w:cstheme="majorHAnsi"/>
                <w:color w:val="000000" w:themeColor="text1"/>
                <w:sz w:val="16"/>
                <w:szCs w:val="16"/>
              </w:rPr>
              <w:t>(</w:t>
            </w:r>
            <w:r w:rsidR="00E9161A" w:rsidRPr="00517FC6">
              <w:rPr>
                <w:rFonts w:asciiTheme="majorHAnsi" w:hAnsiTheme="majorHAnsi" w:cstheme="majorHAnsi"/>
                <w:color w:val="000000" w:themeColor="text1"/>
                <w:sz w:val="16"/>
                <w:szCs w:val="16"/>
              </w:rPr>
              <w:t xml:space="preserve"> </w:t>
            </w:r>
            <w:r w:rsidR="00E9161A" w:rsidRPr="00517FC6">
              <w:rPr>
                <w:rFonts w:asciiTheme="majorHAnsi" w:hAnsiTheme="majorHAnsi" w:cstheme="majorHAnsi"/>
                <w:color w:val="000000" w:themeColor="text1"/>
                <w:sz w:val="16"/>
                <w:szCs w:val="16"/>
              </w:rPr>
              <w:t>Autosomal Dominant</w:t>
            </w:r>
            <w:r w:rsidR="00E9161A">
              <w:rPr>
                <w:rFonts w:asciiTheme="majorHAnsi" w:hAnsiTheme="majorHAnsi" w:cstheme="majorHAnsi"/>
                <w:color w:val="000000" w:themeColor="text1"/>
                <w:sz w:val="16"/>
                <w:szCs w:val="16"/>
              </w:rPr>
              <w:t>)</w:t>
            </w:r>
            <w:r w:rsidR="00537FE7">
              <w:rPr>
                <w:rFonts w:asciiTheme="majorHAnsi" w:hAnsiTheme="majorHAnsi" w:cstheme="majorHAnsi"/>
                <w:color w:val="000000" w:themeColor="text1"/>
                <w:sz w:val="16"/>
                <w:szCs w:val="16"/>
              </w:rPr>
              <w:t xml:space="preserve"> </w:t>
            </w:r>
            <w:r w:rsidR="00317EB7" w:rsidRPr="00517FC6">
              <w:rPr>
                <w:rFonts w:asciiTheme="majorHAnsi" w:hAnsiTheme="majorHAnsi" w:cstheme="majorHAnsi"/>
                <w:color w:val="000000" w:themeColor="text1"/>
                <w:sz w:val="16"/>
                <w:szCs w:val="16"/>
              </w:rPr>
              <w:t xml:space="preserve"> </w:t>
            </w:r>
          </w:p>
          <w:p w14:paraId="6483EAAB" w14:textId="77777777" w:rsidR="00090EC4" w:rsidRPr="00517FC6" w:rsidRDefault="00090EC4" w:rsidP="00C93EF9">
            <w:pPr>
              <w:rPr>
                <w:rFonts w:asciiTheme="majorHAnsi" w:hAnsiTheme="majorHAnsi" w:cstheme="majorHAnsi"/>
                <w:color w:val="000000" w:themeColor="text1"/>
                <w:sz w:val="16"/>
                <w:szCs w:val="16"/>
              </w:rPr>
            </w:pPr>
          </w:p>
          <w:p w14:paraId="33CEA15A" w14:textId="721601DE" w:rsidR="0084307A" w:rsidRPr="00517FC6" w:rsidRDefault="0084307A" w:rsidP="00C93EF9">
            <w:pPr>
              <w:rPr>
                <w:rFonts w:asciiTheme="majorHAnsi" w:hAnsiTheme="majorHAnsi" w:cstheme="majorHAnsi"/>
                <w:color w:val="000000" w:themeColor="text1"/>
                <w:sz w:val="16"/>
                <w:szCs w:val="16"/>
              </w:rPr>
            </w:pPr>
          </w:p>
        </w:tc>
        <w:tc>
          <w:tcPr>
            <w:tcW w:w="1574" w:type="dxa"/>
          </w:tcPr>
          <w:p w14:paraId="1910BD82" w14:textId="77777777" w:rsidR="00F36E50" w:rsidRPr="00517FC6" w:rsidRDefault="00F36E50"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Ubiquitous</w:t>
            </w:r>
            <w:r w:rsidR="00CC44D3" w:rsidRPr="00517FC6">
              <w:rPr>
                <w:rFonts w:asciiTheme="majorHAnsi" w:hAnsiTheme="majorHAnsi" w:cstheme="majorHAnsi"/>
                <w:color w:val="000000" w:themeColor="text1"/>
                <w:sz w:val="16"/>
                <w:szCs w:val="16"/>
              </w:rPr>
              <w:t xml:space="preserve"> express</w:t>
            </w:r>
            <w:r w:rsidRPr="00517FC6">
              <w:rPr>
                <w:rFonts w:asciiTheme="majorHAnsi" w:hAnsiTheme="majorHAnsi" w:cstheme="majorHAnsi"/>
                <w:color w:val="000000" w:themeColor="text1"/>
                <w:sz w:val="16"/>
                <w:szCs w:val="16"/>
              </w:rPr>
              <w:t>ion</w:t>
            </w:r>
            <w:r w:rsidR="00CC44D3" w:rsidRPr="00517FC6">
              <w:rPr>
                <w:rFonts w:asciiTheme="majorHAnsi" w:hAnsiTheme="majorHAnsi" w:cstheme="majorHAnsi"/>
                <w:color w:val="000000" w:themeColor="text1"/>
                <w:sz w:val="16"/>
                <w:szCs w:val="16"/>
              </w:rPr>
              <w:t xml:space="preserve"> </w:t>
            </w:r>
            <w:r w:rsidRPr="00517FC6">
              <w:rPr>
                <w:rFonts w:asciiTheme="majorHAnsi" w:hAnsiTheme="majorHAnsi" w:cstheme="majorHAnsi"/>
                <w:color w:val="000000" w:themeColor="text1"/>
                <w:sz w:val="16"/>
                <w:szCs w:val="16"/>
              </w:rPr>
              <w:t>across most bodily tissues, including brain (RPKM 3.2).</w:t>
            </w:r>
          </w:p>
          <w:p w14:paraId="3242E677" w14:textId="77777777" w:rsidR="00F36E50" w:rsidRPr="00517FC6" w:rsidRDefault="00F36E50" w:rsidP="00C93EF9">
            <w:pPr>
              <w:rPr>
                <w:rFonts w:asciiTheme="majorHAnsi" w:hAnsiTheme="majorHAnsi" w:cstheme="majorHAnsi"/>
                <w:color w:val="000000" w:themeColor="text1"/>
                <w:sz w:val="16"/>
                <w:szCs w:val="16"/>
              </w:rPr>
            </w:pPr>
          </w:p>
          <w:p w14:paraId="4B902C96" w14:textId="77777777" w:rsidR="00CC44D3" w:rsidRPr="00517FC6" w:rsidRDefault="00317EB7"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Important </w:t>
            </w:r>
            <w:r w:rsidR="00CC44D3" w:rsidRPr="00517FC6">
              <w:rPr>
                <w:rFonts w:asciiTheme="majorHAnsi" w:hAnsiTheme="majorHAnsi" w:cstheme="majorHAnsi"/>
                <w:color w:val="000000" w:themeColor="text1"/>
                <w:sz w:val="16"/>
                <w:szCs w:val="16"/>
              </w:rPr>
              <w:t>for</w:t>
            </w:r>
            <w:r w:rsidR="00B0146C" w:rsidRPr="00517FC6">
              <w:rPr>
                <w:rFonts w:asciiTheme="majorHAnsi" w:hAnsiTheme="majorHAnsi" w:cstheme="majorHAnsi"/>
                <w:color w:val="000000" w:themeColor="text1"/>
                <w:sz w:val="16"/>
                <w:szCs w:val="16"/>
              </w:rPr>
              <w:t xml:space="preserve"> </w:t>
            </w:r>
            <w:r w:rsidR="00CC44D3" w:rsidRPr="00517FC6">
              <w:rPr>
                <w:rFonts w:asciiTheme="majorHAnsi" w:hAnsiTheme="majorHAnsi" w:cstheme="majorHAnsi"/>
                <w:color w:val="000000" w:themeColor="text1"/>
                <w:sz w:val="16"/>
                <w:szCs w:val="16"/>
              </w:rPr>
              <w:t>embryonic development.</w:t>
            </w:r>
          </w:p>
          <w:p w14:paraId="750B49A9" w14:textId="77777777" w:rsidR="007C02C6" w:rsidRPr="00517FC6" w:rsidRDefault="007C02C6" w:rsidP="00C93EF9">
            <w:pPr>
              <w:rPr>
                <w:rFonts w:asciiTheme="majorHAnsi" w:hAnsiTheme="majorHAnsi" w:cstheme="majorHAnsi"/>
                <w:color w:val="000000" w:themeColor="text1"/>
                <w:sz w:val="16"/>
                <w:szCs w:val="16"/>
              </w:rPr>
            </w:pPr>
          </w:p>
          <w:p w14:paraId="4D15CA0F" w14:textId="62E0F667" w:rsidR="007C02C6" w:rsidRPr="00517FC6" w:rsidRDefault="007C02C6" w:rsidP="00C93EF9">
            <w:pPr>
              <w:rPr>
                <w:rFonts w:asciiTheme="majorHAnsi" w:hAnsiTheme="majorHAnsi" w:cstheme="majorHAnsi"/>
                <w:color w:val="000000" w:themeColor="text1"/>
                <w:sz w:val="16"/>
                <w:szCs w:val="16"/>
              </w:rPr>
            </w:pPr>
          </w:p>
        </w:tc>
        <w:tc>
          <w:tcPr>
            <w:tcW w:w="1281" w:type="dxa"/>
          </w:tcPr>
          <w:p w14:paraId="57F5906B" w14:textId="2BFF7597" w:rsidR="00CC44D3" w:rsidRPr="00517FC6" w:rsidRDefault="0020150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ADDIN CSL_CITATION {"citationItems":[{"id":"ITEM-1","itemData":{"DOI":"10.1098/rstb.2013.0514","ISSN":"14712970","abstract":"The growing list of mutations implicated in monogenic disorders of the developing brain includes at least seven genes (ARX, CUL4B, KDM5A, KDM5C, KMT2A, KMT2C, KMT2D) with loss-of-function mutations affecting proper regulation of histone H3 lysine 4 methylation, a chromatin mark which on a genome-wide scale is broadly associated with active gene expression, with its mono-, di- and trimethylated forms differentially enriched at promoter and enhancer and other regulatory sequences. In addition to these rare genetic syndromes, dysregulated H3K4 methylation could also play a role in the pathophysiology of some cases diagnosed with autism or schizophrenia, two conditions which on a genome-wide scale are associated with H3K4 methylation changes at hundreds of loci in a subject-specific manner. Importantly, the reported alterations for some of the diseased brain specimens included a widespread broadening of H3K4 methylation profiles at gene promoters, a process that could be regulated by the UpSET(KMT2E/MLL5)-histone deacetylase complex. Furthermore, preclinical studies identified maternal immune activation, parental care and monoaminergic drugs as environmental determinants for brain-specific H3K4 methylation. These novel insights into the epigenetic risk architectures of neurodevelopmental disease will be highly relevant for efforts aimed at improved prevention and treatment of autism and psychosis spectrum disorders. © 2014 The Author(s) Published by the Royal Society. All rights reserved.","author":[{"dropping-particle":"","family":"Shen","given":"Erica","non-dropping-particle":"","parse-names":false,"suffix":""},{"dropping-particle":"","family":"Shulha","given":"Hennady","non-dropping-particle":"","parse-names":false,"suffix":""},{"dropping-particle":"","family":"Weng","given":"Zhiping","non-dropping-particle":"","parse-names":false,"suffix":""},{"dropping-particle":"","family":"Akbarian","given":"Schahram","non-dropping-particle":"","parse-names":false,"suffix":""}],"container-title":"Philosophical Transactions of the Royal Society B: Biological Sciences","id":"ITEM-1","issue":"1652","issued":{"date-parts":[["2014"]]},"publisher":"Royal Society of London","title":"Regulation of histone H3K4 methylation in brain development and disease","type":"article","volume":"369"},"uris":["http://www.mendeley.com/documents/?uuid=4b2f17e8-9b19-3372-a1cd-92dc578bd582"]},{"id":"ITEM-2","itemData":{"DOI":"10.1016/j.gene.2017.06.056","ISSN":"18790038","abstract":"Histone-lysine N-methyltransferase 2D (KMT2D), also known as MLL4 and MLL2 in humans and Mll4 in mice, belongs to a family of mammalian histone H3 lysine 4 (H3K4) methyltransferases. It is a large protein over 5500 amino acids in size and is partially functionally redundant with KMT2C. KMT2D is widely expressed in adult tissues and is essential for early embryonic development. The C-terminal SET domain is responsible for its H3K4 methyltransferase activity and is necessary for maintaining KMT2D protein stability in cells. KMT2D associates with WRAD (WDR5, RbBP5, ASH2L, and DPY30), NCOA6, PTIP, PA1, and H3K27 demethylase UTX in one protein complex. It acts as a scaffold protein within the complex and is responsible for maintaining the stability of UTX. KMT2D is a major mammalian H3K4 mono-methyltransferase and co-localizes with lineage determining transcription factors on transcriptional enhancers. It is required for the binding of histone H3K27 acetyltransferases CBP and p300 on enhancers, enhancer activation and cell-type specific gene expression during differentiation. KMT2D plays critical roles in regulating development, differentiation, metabolism, and tumor suppression. It is frequently mutated in developmental diseases, such as Kabuki syndrome and congenital heart disease, and various forms of cancer. Further understanding of the mechanism through which KMT2D regulates gene expression will reveal why KMT2D mutations are so harmful and may help generate novel therapeutic approaches.","author":[{"dropping-particle":"","family":"Froimchuk","given":"Eugene","non-dropping-particle":"","parse-names":false,"suffix":""},{"dropping-particle":"","family":"Jang","given":"Younghoon","non-dropping-particle":"","parse-names":false,"suffix":""},{"dropping-particle":"","family":"Ge","given":"Kai","non-dropping-particle":"","parse-names":false,"suffix":""}],"container-title":"Gene","id":"ITEM-2","issued":{"date-parts":[["2017","9","5"]]},"page":"337-342","publisher":"Elsevier B.V.","title":"Histone H3 lysine 4 methyltransferase KMT2D","type":"article","volume":"627"},"uris":["http://www.mendeley.com/documents/?uuid=c21faac9-0db2-3528-b1b0-64edfe018197"]},{"id":"ITEM-3","itemData":{"DOI":"10.2217/epi.15.1","ISSN":"1750192X","abstract":"Methylation of histone H3 lysine 4 (H3K4me) is an intricately regulated posttranslational modification, which is broadly associated with enhancers and promoters of actively transcribed genomic loci. Recent advances in next-generation sequencing have identified a number of H3K4me regulators mutated in neurodevelopmental disorders including intellectual disabilities, autism spectrum disorders, and schizophrenia. Here, we aim to summarize the molecular function of H3K4me-regulating enzymes in brain development and function. We describe four H3K4me methyltransferases (KMT2A, KMT2C, KMT2D, KMT2F), four demethylases (KDM1A, KDM5A, KDM5B, KDM5C), and two reader proteins (PHF21A, PHF8) mutated in neurodevelopmental disorders. Understanding the role of these chromatin regulators in the development and maintenance of neural connections will advance therapeutic opportunities for prevention and treatment of these lifelong neurodevelopmental disorders.","author":[{"dropping-particle":"","family":"Vallianatos","given":"Christina N.","non-dropping-particle":"","parse-names":false,"suffix":""},{"dropping-particle":"","family":"Iwase","given":"Shigeki","non-dropping-particle":"","parse-names":false,"suffix":""}],"container-title":"Epigenomics","id":"ITEM-3","issue":"3","issued":{"date-parts":[["2015","6","1"]]},"page":"503-518","publisher":"Future Medicine Ltd.","title":"Disrupted intricacy of histone H3K4 methylation in neurodevelopmental disorders","type":"article","volume":"7"},"uris":["http://www.mendeley.com/documents/?uuid=a8b4dbfc-5607-30e5-8e22-624ad896999e"]},{"id":"ITEM-4","itemData":{"DOI":"10.1038/ni.3812","ISSN":"15292916","abstract":"MLL4 is an essential subunit of the histone H3 Lys4 (H3K4)-methylation complexes. We found that MLL4 deficiency compromised the development of regulatory T cells (T reg cells) and resulted in a substantial decrease in monomethylated H3K4 (H3K4me1) and chromatin interaction at putative gene enhancers, a considerable portion of which were not direct targets of MLL4 but were enhancers that interacted with MLL4-bound sites. The decrease in H3K4me1 and chromatin interaction at the enhancers not bound by MLL4 correlated with MLL4 binding at distant interacting regions. Deletion of an upstream MLL4-binding site diminished the abundance of H3K4me1 at the regulatory elements of the gene encoding the transcription factor Foxp3 that were looped to the MLL4-binding site and compromised both the thymic differentiation and the inducible differentiation of T reg cells. We found that MLL4 catalyzed methylation of H3K4 at distant unbound enhancers via chromatin looping, which identifies a previously unknown mechanism for regulating the T cell enhancer landscape and affecting T reg cell differentiation.","author":[{"dropping-particle":"","family":"Placek","given":"Katarzyna","non-dropping-particle":"","parse-names":false,"suffix":""},{"dropping-particle":"","family":"Hu","given":"Gangqing","non-dropping-particle":"","parse-names":false,"suffix":""},{"dropping-particle":"","family":"Cui","given":"Kairong","non-dropping-particle":"","parse-names":false,"suffix":""},{"dropping-particle":"","family":"Zhang","given":"Dunfang","non-dropping-particle":"","parse-names":false,"suffix":""},{"dropping-particle":"","family":"DIng","given":"Yi","non-dropping-particle":"","parse-names":false,"suffix":""},{"dropping-particle":"","family":"Lee","given":"Ji Eun","non-dropping-particle":"","parse-names":false,"suffix":""},{"dropping-particle":"","family":"Jang","given":"Younghoon","non-dropping-particle":"","parse-names":false,"suffix":""},{"dropping-particle":"","family":"Wang","given":"Chaochen","non-dropping-particle":"","parse-names":false,"suffix":""},{"dropping-particle":"","family":"Konkel","given":"Joanne Elizabeth","non-dropping-particle":"","parse-names":false,"suffix":""},{"dropping-particle":"","family":"Song","given":"Jiuzhou","non-dropping-particle":"","parse-names":false,"suffix":""},{"dropping-particle":"","family":"Liu","given":"Chengyu","non-dropping-particle":"","parse-names":false,"suffix":""},{"dropping-particle":"","family":"Ge","given":"Kai","non-dropping-particle":"","parse-names":false,"suffix":""},{"dropping-particle":"","family":"Chen","given":"Wanjun","non-dropping-particle":"","parse-names":false,"suffix":""},{"dropping-particle":"","family":"Zhao","given":"Keji","non-dropping-particle":"","parse-names":false,"suffix":""}],"container-title":"Nature Immunology","id":"ITEM-4","issue":"9","issued":{"date-parts":[["2017","8","22"]]},"page":"1035-1045","publisher":"Nature Publishing Group","title":"MLL4 prepares the enhancer landscape for Foxp3 induction via chromatin looping","type":"article-journal","volume":"18"},"uris":["http://www.mendeley.com/documents/?uuid=2669848d-53e5-3444-8913-0d01b8624afa"]},{"id":"ITEM-5","itemData":{"DOI":"10.1111/cge.12081","abstract":"Recently, pathogenic variants in the MLL2 gene were identified as the most common cause of Kabuki (Niikawa-Kuroki) syndrome (MIM#147920). To further elucidate the genotype-phenotype correlation, we studied a large cohort of 86 clinically defined patients with Kabuki syndrome (KS) for mutations in MLL2. All patients were assessed using a standardized phenotype list and all were scored using a newly developed clinical score list for KS (MLL2-Kabuki score 0-10). Sequencing of the full coding region and intron-exon boundaries of MLL2 identified a total of 45 likely pathogenic mutations (52%): 31 nonsense, 10 missense and four splice-site mutations, 34 of which were novel. In five additional patients, novel, i.e. non-dbSNP132 variants of clinically unknown relevance, were identified. Patients with likely pathogenic nonsense or missense MLL2 mutations were usually more severely affected (median 'MLL2-Kabuki score' of 6) as compared to the patients without MLL2 mutations (median 'MLL2-Kabuki score' of 5), a significant difference (p &lt; 0.0014). Several typical facial features such as large dysplastic ears, arched eyebrows with sparse lateral third, blue sclerae, a flat nasal tip with a broad nasal root, and a thin upper and a full lower lip were observed more often in mutation positive patients.","author":[{"dropping-particle":"","family":"Bon","given":"van BW","non-dropping-particle":"","parse-names":false,"suffix":""},{"dropping-particle":"","family":"Munnik","given":"de SA","non-dropping-particle":"","parse-names":false,"suffix":""},{"dropping-particle":"","family":"Jhm","given":"Schuurs-Hoeijmakers","non-dropping-particle":"","parse-names":false,"suffix":""},{"dropping-particle":"","family":"Burgt","given":"van I","non-dropping-particle":"der","parse-names":false,"suffix":""},{"dropping-particle":"","family":"Lier","given":"van B","non-dropping-particle":"","parse-names":false,"suffix":""},{"dropping-particle":"","family":"Vries BBA","given":"de","non-dropping-particle":"","parse-names":false,"suffix":""},{"dropping-particle":"","family":"Mll","given":"Hoischen A","non-dropping-particle":"","parse-names":false,"suffix":""},{"dropping-particle":"","family":"Makrythanasis","given":"P","non-dropping-particle":"","parse-names":false,"suffix":""},{"dropping-particle":"","family":"Bon","given":"BW","non-dropping-particle":"van","parse-names":false,"suffix":""},{"dropping-particle":"","family":"Steehouwer","given":"M","non-dropping-particle":"","parse-names":false,"suffix":""},{"dropping-particle":"","family":"Rodríguez-Santiago","given":"B","non-dropping-particle":"","parse-names":false,"suffix":""},{"dropping-particle":"","family":"Simpson","given":"M","non-dropping-particle":"","parse-names":false,"suffix":""},{"dropping-particle":"","family":"Dias","given":"P","non-dropping-particle":"","parse-names":false,"suffix":""},{"dropping-particle":"","family":"Anderlid","given":"BM","non-dropping-particle":"","parse-names":false,"suffix":""},{"dropping-particle":"","family":"Arts","given":"P","non-dropping-particle":"","parse-names":false,"suffix":""},{"dropping-particle":"","family":"Bhat","given":"M","non-dropping-particle":"","parse-names":false,"suffix":""},{"dropping-particle":"","family":"Augello","given":"B","non-dropping-particle":"","parse-names":false,"suffix":""},{"dropping-particle":"","family":"Biamino","given":"E","non-dropping-particle":"","parse-names":false,"suffix":""},{"dropping-particle":"","family":"Bongers","given":"Emhf","non-dropping-particle":"","parse-names":false,"suffix":""},{"dropping-particle":"","family":"Campo","given":"M","non-dropping-particle":"del","parse-names":false,"suffix":""},{"dropping-particle":"","family":"Cordeiro","given":"I","non-dropping-particle":"","parse-names":false,"suffix":""},{"dropping-particle":"","family":"Cueto-GonzálezGonz","given":"Am","non-dropping-particle":"","parse-names":false,"suffix":""},{"dropping-particle":"","family":"CuscóCusc","given":"I","non-dropping-particle":"","parse-names":false,"suffix":""},{"dropping-particle":"","family":"Deshpande","given":"C","non-dropping-particle":"","parse-names":false,"suffix":""},{"dropping-particle":"","family":"Frysira","given":"E","non-dropping-particle":"","parse-names":false,"suffix":""},{"dropping-particle":"","family":"Izatt","given":"L","non-dropping-particle":"","parse-names":false,"suffix":""},{"dropping-particle":"","family":"Flores","given":"R","non-dropping-particle":"","parse-names":false,"suffix":""},{"dropping-particle":"","family":"Gaí an","given":"E","non-dropping-particle":"","parse-names":false,"suffix":""},{"dropping-particle":"","family":"Gener","given":"B","non-dropping-particle":"","parse-names":false,"suffix":""},{"dropping-particle":"","family":"Gilissen","given":"C","non-dropping-particle":"","parse-names":false,"suffix":""},{"dropping-particle":"","family":"Granneman","given":"SM","non-dropping-particle":"","parse-names":false,"suffix":""},{"dropping-particle":"","family":"Hoyer","given":"J","non-dropping-particle":"","parse-names":false,"suffix":""},{"dropping-particle":"","family":"Yntema","given":"HG","non-dropping-particle":"","parse-names":false,"suffix":""},{"dropping-particle":"","family":"Kets","given":"CM","non-dropping-particle":"","parse-names":false,"suffix":""},{"dropping-particle":"","family":"Koolen","given":"Da","non-dropping-particle":"","parse-names":false,"suffix":""},{"dropping-particle":"","family":"Marcelis","given":"CL","non-dropping-particle":"","parse-names":false,"suffix":""},{"dropping-particle":"","family":"Medeira","given":"A","non-dropping-particle":"","parse-names":false,"suffix":""},{"dropping-particle":"","family":"Micale","given":"L","non-dropping-particle":"","parse-names":false,"suffix":""},{"dropping-particle":"","family":"Mohammed","given":"S","non-dropping-particle":"","parse-names":false,"suffix":""},{"dropping-particle":"","family":"Munnik","given":"Sa","non-dropping-particle":"de","parse-names":false,"suffix":""},{"dropping-particle":"","family":"Nordgren","given":"A","non-dropping-particle":"","parse-names":false,"suffix":""},{"dropping-particle":"","family":"Psoni","given":"S","non-dropping-particle":"","parse-names":false,"suffix":""},{"dropping-particle":"","family":"Reardon","given":"W","non-dropping-particle":"","parse-names":false,"suffix":""},{"dropping-particle":"","family":"Revencu","given":"N","non-dropping-particle":"","parse-names":false,"suffix":""},{"dropping-particle":"","family":"Roscioli","given":"T","non-dropping-particle":"","parse-names":false,"suffix":""},{"dropping-particle":"","family":"Ruiterkamp-Versteeg","given":"M","non-dropping-particle":"","parse-names":false,"suffix":""},{"dropping-particle":"","family":"Santos","given":"HG","non-dropping-particle":"","parse-names":false,"suffix":""},{"dropping-particle":"","family":"Schoumans","given":"J","non-dropping-particle":"","parse-names":false,"suffix":""},{"dropping-particle":"","family":"Schuurs-Hoeijmakers","given":"JHM","non-dropping-particle":"","parse-names":false,"suffix":""},{"dropping-particle":"","family":"Silengo","given":"MC","non-dropping-particle":"","parse-names":false,"suffix":""},{"dropping-particle":"","family":"Toledo","given":"L","non-dropping-particle":"","parse-names":false,"suffix":""},{"dropping-particle":"","family":"Vendrell","given":"T","non-dropping-particle":"","parse-names":false,"suffix":""},{"dropping-particle":"","family":"Burgt","given":"I","non-dropping-particle":"van der","parse-names":false,"suffix":""},{"dropping-particle":"","family":"Lier","given":"B","non-dropping-particle":"van","parse-names":false,"suffix":""},{"dropping-particle":"","family":"Zweier","given":"C","non-dropping-particle":"","parse-names":false,"suffix":""},{"dropping-particle":"","family":"Reymond aa","given":"A","non-dropping-particle":"","parse-names":false,"suffix":""},{"dropping-particle":"","family":"Trembath","given":"RC","non-dropping-particle":"","parse-names":false,"suffix":""},{"dropping-particle":"","family":"Perez-Jurado","given":"L","non-dropping-particle":"","parse-names":false,"suffix":""},{"dropping-particle":"","family":"Dupont","given":"J","non-dropping-particle":"","parse-names":false,"suffix":""},{"dropping-particle":"","family":"Vries","given":"Bba","non-dropping-particle":"de","parse-names":false,"suffix":""},{"dropping-particle":"","family":"Brunner","given":"HG","non-dropping-particle":"","parse-names":false,"suffix":""},{"dropping-particle":"","family":"Veltman","given":"Ja","non-dropping-particle":"","parse-names":false,"suffix":""},{"dropping-particle":"","family":"Merla","given":"G","non-dropping-particle":"","parse-names":false,"suffix":""},{"dropping-particle":"","family":"Antonarakis","given":"Se","non-dropping-particle":"","parse-names":false,"suffix":""},{"dropping-particle":"","family":"Hoischen","given":"A","non-dropping-particle":"","parse-names":false,"suffix":""}],"container-title":"Clin Genet","id":"ITEM-5","issued":{"date-parts":[["2013"]]},"page":"539-545","title":"MLL2 mutation detection in 86 patients with Kabuki syndrome: a genotype-phenotype study mutation detection in 86 patients with Kabuki syndrome: a genotype-phenotype study. Nothing to declare","type":"article-journal","volume":"84"},"uris":["http://www.mendeley.com/documents/?uuid=4c62f237-b726-3b0e-8eb4-a601898afc2f"]},{"id":"ITEM-6","itemData":{"DOI":"10.1002/mgg3.348","ISSN":"23249269","abstract":"Background: Kabuki syndrome (KS) is a disorder characterized by multiple congenital anomalies affecting development and function of multiple systems. Over the years, researchers have attempted to characterize the neurobehavioral phenotype of KS in cohorts of patients enrolled on the basis of clinical assessment. The availability of molecular testing now allows for recruitment of patients with confirmed KS due to KMT2D and KDM6A. Methods: The aims of the present study were to investigate the neuropsychological and behavioral profiles of individuals with molecularly confirmed diagnosis of KS, and determine the extent of heterogeneity occurring in these profiles between individuals with clinical diagnosis of KS with and without mutations in KMT2D. We also described performance of our cohort in any neuropsychological domain investigated. Results: We documented a marked variation in the neuropsychological profile of subjects with clinical diagnosis of KS, even though a relatively homogeneous impairment in linguistic domains and motor skills was observed. No significant difference occurred between mutation-positive and mutation-negative groups. Phonological disorders and oromotor dysfunctions were also found, and adaptive functioning was characterized by low performance in daily living and in motor domain. Conclusion: The present study allowed identification of a distinctive neurobehavioral profile in a cohort of individuals affected by KS with or without molecularly confirmed diagnosis. These findings are expected to help clinicians define more accurately targeted protocols for individualized intervention.","author":[{"dropping-particle":"","family":"Caciolo","given":"Cristina","non-dropping-particle":"","parse-names":false,"suffix":""},{"dropping-particle":"","family":"Alfieri","given":"Paolo","non-dropping-particle":"","parse-names":false,"suffix":""},{"dropping-particle":"","family":"Piccini","given":"Giorgia","non-dropping-particle":"","parse-names":false,"suffix":""},{"dropping-particle":"","family":"Digilio","given":"Maria Cristina","non-dropping-particle":"","parse-names":false,"suffix":""},{"dropping-particle":"","family":"Lepri","given":"Francesca Romana","non-dropping-particle":"","parse-names":false,"suffix":""},{"dropping-particle":"","family":"Tartaglia","given":"Marco","non-dropping-particle":"","parse-names":false,"suffix":""},{"dropping-particle":"","family":"Menghini","given":"Deny","non-dropping-particle":"","parse-names":false,"suffix":""},{"dropping-particle":"","family":"Vicari","given":"Stefano","non-dropping-particle":"","parse-names":false,"suffix":""}],"container-title":"Molecular Genetics and Genomic Medicine","id":"ITEM-6","issue":"3","issued":{"date-parts":[["2018","5","1"]]},"page":"322-331","publisher":"Wiley-Blackwell","title":"Neurobehavioral features in individuals with Kabuki syndrome","type":"article-journal","volume":"6"},"uris":["http://www.mendeley.com/documents/?uuid=f846b97e-dce3-3249-9581-850d1fd5ce33"]},{"id":"ITEM-7","itemData":{"DOI":"10.1126/scitranslmed.3009278","ISSN":"19466242","abstract":"Kabuki syndrome is caused by haploinsufficiency for either of two genes that promote the opening of chromatin. If an imbalance between open and closed chromatin is central to the pathogenesis of Kabuki syndrome, agents that promote chromatin opening might have therapeutic potential. We have characterized a mouse model of Kabuki syndrome with a heterozygous deletion in the gene encoding the lysine-specific methyltransferase 2D (Kmt2d), leading to impairment of methyltransferase function. In vitro reporter alleles demonstrated a reduction in histone 4 acetylation and histone 3 lysine 4 trimethylation (H3K4me3) activity in mouse embryonic fibroblasts from Kmt2d+/βGeo mice. These activities were normalized in response to AR-42, a histone deacetylase inhibitor. In vivo, deficiency of H3K4me3 in the dentate gyrus granule cell layer of Kmt2d+/βGeo mice correlated with reduced neurogenesis and hippocampal memory defects. These abnormalities improved upon postnatal treatment with AR-42. Our work suggests that a reversible deficiency in postnatal neurogenesis underlies intellectual disability in Kabuki syndrome.","author":[{"dropping-particle":"","family":"Bjornsson","given":"Hans T.","non-dropping-particle":"","parse-names":false,"suffix":""},{"dropping-particle":"","family":"Benjamin","given":"Joel S.","non-dropping-particle":"","parse-names":false,"suffix":""},{"dropping-particle":"","family":"Zhang","given":"Li","non-dropping-particle":"","parse-names":false,"suffix":""},{"dropping-particle":"","family":"Weissman","given":"Jacqueline","non-dropping-particle":"","parse-names":false,"suffix":""},{"dropping-particle":"","family":"Gerber","given":"Elizabeth E.","non-dropping-particle":"","parse-names":false,"suffix":""},{"dropping-particle":"","family":"Chen","given":"Yi Chun","non-dropping-particle":"","parse-names":false,"suffix":""},{"dropping-particle":"","family":"Vaurio","given":"Rebecca G.","non-dropping-particle":"","parse-names":false,"suffix":""},{"dropping-particle":"","family":"Potter","given":"Michelle C.","non-dropping-particle":"","parse-names":false,"suffix":""},{"dropping-particle":"","family":"Hansen","given":"Kasper D.","non-dropping-particle":"","parse-names":false,"suffix":""},{"dropping-particle":"","family":"Dietz","given":"Harry C.","non-dropping-particle":"","parse-names":false,"suffix":""}],"container-title":"Science Translational Medicine","id":"ITEM-7","issue":"256","issued":{"date-parts":[["2014","10","1"]]},"publisher":"American Association for the Advancement of Science","title":"Histone deacetylase inhibition rescues structural and functional brain deficits in a mouse model of Kabuki syndrome","type":"article-journal","volume":"6"},"uris":["http://www.mendeley.com/documents/?uuid=c8d90e49-ced9-315a-9c24-c744767f2d97"]},{"id":"ITEM-8","itemData":{"DOI":"10.1111/gbb.12568","ISSN":"1601-1848","abstract":"The recessive mutant mice bate palmas (bapa) - claps in Portuguese arose from N-ethyl-N-nitrosourea mutagenesis. A single nucleotide, T &gt; C, change in exon 13, leading to a Thr1289Ala substitution, was identified in the lysine (K)-specific methyltransferase 2D gene (Kmt2d) located on chromosome 15. Mutations with a loss-of-function in the KMT2D gene on chromosome 12 in humans are responsible for Kabuki syndrome (KS). Phenotypic characterization of the bapa mutant was performed using a behavioral test battery to evaluate the parameters related to general activity, the sensory nervous system, the psychomotor system, and the autonomous nervous system, as well as to measure motor function and spatial memory. Relative to BALB/cJ mice, the bapa mutant showed sensory and psychomotor impairments, such as hypotonia denoted by a surface righting reflex impairment and hindquarter fall, and a reduction in the auricular reflex, suggesting hearing impairment. Additionally, the enhanced general activity showed by the increased rearing and grooming frequency, distance traveled and average speed possibly presupposes the presence of hyperactivity of bapa mice compared with the control group. A slight motor coordination dysfunction was showed in bapa mice, which had a longer crossing time on the balance beam compared with BALB/cJ controls. Male bapa mice also showed spatial gait pattern changes, such as a shorter stride length and shorter step length. In conclusion, the bapa mouse may be a valuable animal model to study the mechanisms involved in psychomotor and behavior impairments, such as hypotonia, fine motor coordination and hyperactivity linked to the Kmt2d mutation.","author":[{"dropping-particle":"","family":"Yamamoto","given":"Pedro K.","non-dropping-particle":"","parse-names":false,"suffix":""},{"dropping-particle":"","family":"Souza","given":"Tiago A.","non-dropping-particle":"","parse-names":false,"suffix":""},{"dropping-particle":"","family":"Antiorio","given":"Ana T. F. B.","non-dropping-particle":"","parse-names":false,"suffix":""},{"dropping-particle":"","family":"Zanatto","given":"Dennis A.","non-dropping-particle":"","parse-names":false,"suffix":""},{"dropping-particle":"","family":"Garcia‐Gomes","given":"Mariana de Souza A.","non-dropping-particle":"","parse-names":false,"suffix":""},{"dropping-particle":"","family":"Alexandre‐Ribeiro","given":"Sandra R.","non-dropping-particle":"","parse-names":false,"suffix":""},{"dropping-particle":"","family":"Oliveira","given":"Nicassia de Souza","non-dropping-particle":"","parse-names":false,"suffix":""},{"dropping-particle":"","family":"Menck","given":"Carlos F. M.","non-dropping-particle":"","parse-names":false,"suffix":""},{"dropping-particle":"","family":"Bernardi","given":"Maria M.","non-dropping-particle":"","parse-names":false,"suffix":""},{"dropping-particle":"","family":"Massironi","given":"Silvia M. G.","non-dropping-particle":"","parse-names":false,"suffix":""},{"dropping-particle":"","family":"Mori","given":"Claudia M. C.","non-dropping-particle":"","parse-names":false,"suffix":""}],"container-title":"Genes, Brain and Behavior","id":"ITEM-8","issue":"8","issued":{"date-parts":[["2019","11","23"]]},"publisher":"Blackwell Publishing Ltd","title":"Genetic and behavioral characterization of a &lt;i&gt;Kmt2d&lt;/i&gt; mouse mutant, a new model for Kabuki Syndrome","type":"article-journal","volume":"18"},"uris":["http://www.mendeley.com/documents/?uuid=cf8bf700-97d4-3470-bff2-0cac4801cb62"]},{"id":"ITEM-9","itemData":{"DOI":"10.1523/JNEUROSCI.3004-14.2015","ISSN":"15292401","PMID":"25834037","abstract":"Neuronal histone H3-lysine 4 methylation landscapes are defined by sharp peaks at gene promoters and other cis-regulatory sequences, but molecular and cellular phenotypes after neuron-specific deletion of H3K4 methyl-regulators remain largely unexplored. We report that neuronal ablationof theH3K4-specificmethyltransferase, Kmt2a/Mixed-lineageleukemia1(Mll1), inmousepostnatal forebrainand adult prefrontal cortex (PFC) is associated with increased anxiety and robust cognitive deficits without locomotor dysfunction. In contrast, only mild behavioral phenotypes were observed after ablation of the Mll1 ortholog Kmt2b/Mll2 in PFC. Impaired working memory after Kmt2a/Mll1 ablation in PFC neurons was associated with loss of training-induced transient waves of Arc immediate early gene expression critical for synaptic plasticity. Medial prefrontal layer V pyramidal neurons, a major output relay of the cortex, demonstrated severely impaired synaptic facilitation and temporal summation, two forms of short-term plasticity essential for working memory. Chromatinimmunoprecipitationfollowedbydeepsequencingin Mll1-deficient cortical neurons revealeddownregulatedexpression and loss of the transcriptional mark, trimethyl-H3K4, at &lt;50 loci, including the homeodomain transcription factor Meis2. Small RNA-mediated Meis2 knockdown in PFC was associated with working memory defects similar to those elicited by Mll1 deletion. Therefore, mature prefrontal neurons critically depend on maintenance of Mll1-regulated H3K4 methylation at a subset of genes with an essential role in cognition and emotion.","author":[{"dropping-particle":"","family":"Jakovcevski","given":"Mira","non-dropping-particle":"","parse-names":false,"suffix":""},{"dropping-particle":"","family":"Ruan","given":"Hongyu","non-dropping-particle":"","parse-names":false,"suffix":""},{"dropping-particle":"","family":"Shen","given":"Erica Y.","non-dropping-particle":"","parse-names":false,"suffix":""},{"dropping-particle":"","family":"Dincer","given":"Aslihan","non-dropping-particle":"","parse-names":false,"suffix":""},{"dropping-particle":"","family":"Javidfar","given":"Behnam","non-dropping-particle":"","parse-names":false,"suffix":""},{"dropping-particle":"","family":"Ma","given":"Q.","non-dropping-particle":"","parse-names":false,"suffix":""},{"dropping-particle":"","family":"Peter","given":"Cyril J.","non-dropping-particle":"","parse-names":false,"suffix":""},{"dropping-particle":"","family":"Cheung","given":"Iris","non-dropping-particle":"","parse-names":false,"suffix":""},{"dropping-particle":"","family":"Mitchell","given":"Amanda C.","non-dropping-particle":"","parse-names":false,"suffix":""},{"dropping-particle":"","family":"Jiang","given":"Yan","non-dropping-particle":"","parse-names":false,"suffix":""},{"dropping-particle":"","family":"Lin","given":"Cong L.","non-dropping-particle":"","parse-names":false,"suffix":""},{"dropping-particle":"","family":"Pothula","given":"Venu","non-dropping-particle":"","parse-names":false,"suffix":""},{"dropping-particle":"","family":"Francis Stewart","given":"A.","non-dropping-particle":"","parse-names":false,"suffix":""},{"dropping-particle":"","family":"Ernst","given":"Patricia","non-dropping-particle":"","parse-names":false,"suffix":""},{"dropping-particle":"","family":"Yao","given":"Wei Dong","non-dropping-particle":"","parse-names":false,"suffix":""},{"dropping-particle":"","family":"Akbarian","given":"Schahram","non-dropping-particle":"","parse-names":false,"suffix":""}],"container-title":"Journal of Neuroscience","id":"ITEM-9","issue":"13","issued":{"date-parts":[["2015","4","1"]]},"page":"5097-5108","publisher":"Society for Neuroscience","title":"Neuronal Kmt2a/Mll1 histone methyltransferase is essential for prefrontal synaptic plasticity and working memory","type":"article-journal","volume":"35"},"uris":["http://www.mendeley.com/documents/?uuid=64469e78-3b03-31b4-98cd-36267de6121b"]}],"mendeley":{"formattedCitation":"&lt;sup&gt;1–9&lt;/sup&gt;","plainTextFormattedCitation":"1–9","previouslyFormattedCitation":"(Bon &lt;i&gt;et al.&lt;/i&gt;, 2013; Bjornsson &lt;i&gt;et al.&lt;/i&gt;, 2014; Shen &lt;i&gt;et al.&lt;/i&gt;, 2014; Jakovcevski &lt;i&gt;et al.&lt;/i&gt;, 2015; Vallianatos and Iwase, 2015; Froimchuk, Jang and Ge, 2017; Placek &lt;i&gt;et al.&lt;/i&gt;, 2017; Caciolo &lt;i&gt;et al.&lt;/i&gt;, 2018; Yamamoto &lt;i&gt;et al.&lt;/i&gt;, 2019)"},"properties":{"noteIndex":0},"schema":"https://github.com/citation-style-language/schema/raw/master/csl-citation.json"}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1–9</w:t>
            </w:r>
            <w:r w:rsidRPr="00517FC6">
              <w:rPr>
                <w:rFonts w:asciiTheme="majorHAnsi" w:hAnsiTheme="majorHAnsi" w:cstheme="majorHAnsi"/>
                <w:color w:val="000000" w:themeColor="text1"/>
                <w:sz w:val="16"/>
                <w:szCs w:val="16"/>
              </w:rPr>
              <w:fldChar w:fldCharType="end"/>
            </w:r>
          </w:p>
        </w:tc>
        <w:tc>
          <w:tcPr>
            <w:tcW w:w="1877" w:type="dxa"/>
          </w:tcPr>
          <w:p w14:paraId="02B23317" w14:textId="77777777" w:rsidR="00F36E50" w:rsidRPr="00517FC6" w:rsidRDefault="00F36E50" w:rsidP="00C93EF9">
            <w:pPr>
              <w:rPr>
                <w:rStyle w:val="Emphasis"/>
                <w:i w:val="0"/>
                <w:iCs w:val="0"/>
                <w:color w:val="000000" w:themeColor="text1"/>
                <w:shd w:val="clear" w:color="auto" w:fill="FFFFFF"/>
              </w:rPr>
            </w:pPr>
            <w:r w:rsidRPr="00517FC6">
              <w:rPr>
                <w:rStyle w:val="Emphasis"/>
                <w:rFonts w:asciiTheme="majorHAnsi" w:hAnsiTheme="majorHAnsi" w:cstheme="majorHAnsi"/>
                <w:i w:val="0"/>
                <w:iCs w:val="0"/>
                <w:color w:val="000000" w:themeColor="text1"/>
                <w:sz w:val="16"/>
                <w:szCs w:val="16"/>
                <w:shd w:val="clear" w:color="auto" w:fill="FFFFFF"/>
              </w:rPr>
              <w:t>The encoded protein is part of a large protein complex called ASCOM.</w:t>
            </w:r>
            <w:r w:rsidRPr="00517FC6">
              <w:rPr>
                <w:rStyle w:val="Emphasis"/>
                <w:i w:val="0"/>
                <w:iCs w:val="0"/>
                <w:color w:val="000000" w:themeColor="text1"/>
                <w:shd w:val="clear" w:color="auto" w:fill="FFFFFF"/>
              </w:rPr>
              <w:t xml:space="preserve"> </w:t>
            </w:r>
          </w:p>
          <w:p w14:paraId="095EA125" w14:textId="77777777" w:rsidR="00F36E50" w:rsidRPr="00517FC6" w:rsidRDefault="00F36E50" w:rsidP="00C93EF9">
            <w:pPr>
              <w:rPr>
                <w:rStyle w:val="Emphasis"/>
                <w:rFonts w:asciiTheme="majorHAnsi" w:hAnsiTheme="majorHAnsi" w:cstheme="majorHAnsi"/>
                <w:i w:val="0"/>
                <w:iCs w:val="0"/>
                <w:color w:val="000000" w:themeColor="text1"/>
                <w:sz w:val="16"/>
                <w:szCs w:val="16"/>
                <w:shd w:val="clear" w:color="auto" w:fill="FFFFFF"/>
              </w:rPr>
            </w:pPr>
          </w:p>
          <w:p w14:paraId="0E58CD3B" w14:textId="77777777" w:rsidR="00F36E50" w:rsidRPr="00517FC6" w:rsidRDefault="00F36E50" w:rsidP="00C93EF9">
            <w:pPr>
              <w:rPr>
                <w:color w:val="000000" w:themeColor="text1"/>
              </w:rPr>
            </w:pPr>
            <w:r w:rsidRPr="00517FC6">
              <w:rPr>
                <w:rStyle w:val="Emphasis"/>
                <w:rFonts w:asciiTheme="majorHAnsi" w:hAnsiTheme="majorHAnsi" w:cstheme="majorHAnsi"/>
                <w:i w:val="0"/>
                <w:iCs w:val="0"/>
                <w:color w:val="000000" w:themeColor="text1"/>
                <w:sz w:val="16"/>
                <w:szCs w:val="16"/>
                <w:shd w:val="clear" w:color="auto" w:fill="FFFFFF"/>
              </w:rPr>
              <w:t xml:space="preserve">ASCOM is a </w:t>
            </w:r>
            <w:r w:rsidRPr="00517FC6">
              <w:rPr>
                <w:rFonts w:asciiTheme="majorHAnsi" w:hAnsiTheme="majorHAnsi" w:cstheme="majorHAnsi"/>
                <w:color w:val="000000" w:themeColor="text1"/>
                <w:sz w:val="16"/>
                <w:szCs w:val="16"/>
                <w:shd w:val="clear" w:color="auto" w:fill="FFFFFF"/>
              </w:rPr>
              <w:t>transcriptional regulator of the beta-globin and oestrogen receptor genes</w:t>
            </w:r>
          </w:p>
          <w:p w14:paraId="7FC61129" w14:textId="77777777" w:rsidR="00F36E50" w:rsidRPr="00517FC6" w:rsidRDefault="00F36E50" w:rsidP="00C93EF9">
            <w:pPr>
              <w:rPr>
                <w:rStyle w:val="Emphasis"/>
                <w:rFonts w:asciiTheme="majorHAnsi" w:hAnsiTheme="majorHAnsi" w:cstheme="majorHAnsi"/>
                <w:i w:val="0"/>
                <w:iCs w:val="0"/>
                <w:color w:val="000000" w:themeColor="text1"/>
                <w:sz w:val="16"/>
                <w:szCs w:val="16"/>
                <w:shd w:val="clear" w:color="auto" w:fill="FFFFFF"/>
              </w:rPr>
            </w:pPr>
          </w:p>
          <w:p w14:paraId="6C8D4073" w14:textId="77777777" w:rsidR="00F36E50" w:rsidRPr="00517FC6" w:rsidRDefault="00F36E50" w:rsidP="00C93EF9">
            <w:pPr>
              <w:rPr>
                <w:rStyle w:val="Emphasis"/>
                <w:rFonts w:asciiTheme="majorHAnsi" w:hAnsiTheme="majorHAnsi" w:cstheme="majorHAnsi"/>
                <w:i w:val="0"/>
                <w:iCs w:val="0"/>
                <w:color w:val="000000" w:themeColor="text1"/>
                <w:sz w:val="16"/>
                <w:szCs w:val="16"/>
                <w:shd w:val="clear" w:color="auto" w:fill="FFFFFF"/>
              </w:rPr>
            </w:pPr>
            <w:r w:rsidRPr="00517FC6">
              <w:rPr>
                <w:rFonts w:asciiTheme="majorHAnsi" w:hAnsiTheme="majorHAnsi" w:cstheme="majorHAnsi"/>
                <w:color w:val="000000" w:themeColor="text1"/>
                <w:sz w:val="16"/>
                <w:szCs w:val="16"/>
                <w:shd w:val="clear" w:color="auto" w:fill="FFFFFF"/>
              </w:rPr>
              <w:t>Deficiency compromises the development of regulatory T cells (T-reg cells).</w:t>
            </w:r>
          </w:p>
          <w:p w14:paraId="01EE6940" w14:textId="77777777" w:rsidR="00F36E50" w:rsidRPr="00517FC6" w:rsidRDefault="00F36E50" w:rsidP="00C93EF9">
            <w:pPr>
              <w:rPr>
                <w:rStyle w:val="Emphasis"/>
                <w:i w:val="0"/>
                <w:iCs w:val="0"/>
                <w:color w:val="000000" w:themeColor="text1"/>
                <w:sz w:val="16"/>
                <w:szCs w:val="16"/>
                <w:shd w:val="clear" w:color="auto" w:fill="FFFFFF"/>
              </w:rPr>
            </w:pPr>
          </w:p>
          <w:p w14:paraId="32487E43" w14:textId="77777777" w:rsidR="00CC44D3" w:rsidRPr="00517FC6" w:rsidRDefault="005511BA" w:rsidP="00C93EF9">
            <w:pPr>
              <w:rPr>
                <w:rFonts w:asciiTheme="majorHAnsi" w:hAnsiTheme="majorHAnsi" w:cstheme="majorHAnsi"/>
                <w:color w:val="000000" w:themeColor="text1"/>
                <w:sz w:val="16"/>
                <w:szCs w:val="16"/>
                <w:shd w:val="clear" w:color="auto" w:fill="FFFFFF"/>
              </w:rPr>
            </w:pPr>
            <w:r w:rsidRPr="00517FC6">
              <w:rPr>
                <w:rStyle w:val="Emphasis"/>
                <w:rFonts w:asciiTheme="majorHAnsi" w:hAnsiTheme="majorHAnsi" w:cstheme="majorHAnsi"/>
                <w:b/>
                <w:bCs/>
                <w:i w:val="0"/>
                <w:iCs w:val="0"/>
                <w:color w:val="000000" w:themeColor="text1"/>
                <w:sz w:val="16"/>
                <w:szCs w:val="16"/>
                <w:shd w:val="clear" w:color="auto" w:fill="FFFFFF"/>
              </w:rPr>
              <w:t>N.B.</w:t>
            </w:r>
            <w:r w:rsidRPr="00517FC6">
              <w:rPr>
                <w:rStyle w:val="Emphasis"/>
                <w:rFonts w:asciiTheme="majorHAnsi" w:hAnsiTheme="majorHAnsi" w:cstheme="majorHAnsi"/>
                <w:i w:val="0"/>
                <w:iCs w:val="0"/>
                <w:color w:val="000000" w:themeColor="text1"/>
                <w:sz w:val="16"/>
                <w:szCs w:val="16"/>
                <w:shd w:val="clear" w:color="auto" w:fill="FFFFFF"/>
              </w:rPr>
              <w:t xml:space="preserve"> The similar gene </w:t>
            </w:r>
            <w:r w:rsidR="00CC44D3" w:rsidRPr="00517FC6">
              <w:rPr>
                <w:rStyle w:val="Emphasis"/>
                <w:rFonts w:asciiTheme="majorHAnsi" w:hAnsiTheme="majorHAnsi" w:cstheme="majorHAnsi"/>
                <w:color w:val="000000" w:themeColor="text1"/>
                <w:sz w:val="16"/>
                <w:szCs w:val="16"/>
                <w:shd w:val="clear" w:color="auto" w:fill="FFFFFF"/>
              </w:rPr>
              <w:t>KMT2F</w:t>
            </w:r>
            <w:r w:rsidR="00CC44D3" w:rsidRPr="00517FC6">
              <w:rPr>
                <w:rFonts w:asciiTheme="majorHAnsi" w:hAnsiTheme="majorHAnsi" w:cstheme="majorHAnsi"/>
                <w:color w:val="000000" w:themeColor="text1"/>
                <w:sz w:val="16"/>
                <w:szCs w:val="16"/>
                <w:shd w:val="clear" w:color="auto" w:fill="FFFFFF"/>
              </w:rPr>
              <w:t> (also known as </w:t>
            </w:r>
            <w:r w:rsidR="00CC44D3" w:rsidRPr="00517FC6">
              <w:rPr>
                <w:rStyle w:val="Emphasis"/>
                <w:rFonts w:asciiTheme="majorHAnsi" w:hAnsiTheme="majorHAnsi" w:cstheme="majorHAnsi"/>
                <w:color w:val="000000" w:themeColor="text1"/>
                <w:sz w:val="16"/>
                <w:szCs w:val="16"/>
                <w:shd w:val="clear" w:color="auto" w:fill="FFFFFF"/>
              </w:rPr>
              <w:t>SET1, SETD1A</w:t>
            </w:r>
            <w:r w:rsidR="00CC44D3" w:rsidRPr="00517FC6">
              <w:rPr>
                <w:rFonts w:asciiTheme="majorHAnsi" w:hAnsiTheme="majorHAnsi" w:cstheme="majorHAnsi"/>
                <w:color w:val="000000" w:themeColor="text1"/>
                <w:sz w:val="16"/>
                <w:szCs w:val="16"/>
                <w:shd w:val="clear" w:color="auto" w:fill="FFFFFF"/>
              </w:rPr>
              <w:t>) </w:t>
            </w:r>
            <w:r w:rsidRPr="00517FC6">
              <w:rPr>
                <w:rFonts w:asciiTheme="majorHAnsi" w:hAnsiTheme="majorHAnsi" w:cstheme="majorHAnsi"/>
                <w:color w:val="000000" w:themeColor="text1"/>
                <w:sz w:val="16"/>
                <w:szCs w:val="16"/>
                <w:shd w:val="clear" w:color="auto" w:fill="FFFFFF"/>
              </w:rPr>
              <w:t>linked to SZ.</w:t>
            </w:r>
          </w:p>
          <w:p w14:paraId="2220AB28" w14:textId="77777777" w:rsidR="00640283" w:rsidRPr="00517FC6" w:rsidRDefault="00640283" w:rsidP="00C93EF9">
            <w:pPr>
              <w:rPr>
                <w:rFonts w:asciiTheme="majorHAnsi" w:hAnsiTheme="majorHAnsi" w:cstheme="majorHAnsi"/>
                <w:color w:val="000000" w:themeColor="text1"/>
                <w:sz w:val="16"/>
                <w:szCs w:val="16"/>
                <w:shd w:val="clear" w:color="auto" w:fill="FFFFFF"/>
              </w:rPr>
            </w:pPr>
          </w:p>
          <w:p w14:paraId="5A52EDB4" w14:textId="35F7B3EF" w:rsidR="00640283" w:rsidRPr="00517FC6" w:rsidRDefault="00640283" w:rsidP="00C93EF9">
            <w:pPr>
              <w:rPr>
                <w:rFonts w:asciiTheme="majorHAnsi" w:hAnsiTheme="majorHAnsi" w:cstheme="majorHAnsi"/>
                <w:color w:val="000000" w:themeColor="text1"/>
                <w:sz w:val="16"/>
                <w:szCs w:val="16"/>
                <w:shd w:val="clear" w:color="auto" w:fill="FFFFFF"/>
              </w:rPr>
            </w:pPr>
            <w:r w:rsidRPr="00517FC6">
              <w:rPr>
                <w:rFonts w:asciiTheme="majorHAnsi" w:hAnsiTheme="majorHAnsi" w:cstheme="majorHAnsi"/>
                <w:b/>
                <w:bCs/>
                <w:color w:val="000000" w:themeColor="text1"/>
                <w:sz w:val="16"/>
                <w:szCs w:val="16"/>
                <w:shd w:val="clear" w:color="auto" w:fill="FFFFFF"/>
              </w:rPr>
              <w:t>N.B</w:t>
            </w:r>
            <w:r w:rsidR="00681CD3" w:rsidRPr="00517FC6">
              <w:rPr>
                <w:rFonts w:asciiTheme="majorHAnsi" w:hAnsiTheme="majorHAnsi" w:cstheme="majorHAnsi"/>
                <w:b/>
                <w:bCs/>
                <w:color w:val="000000" w:themeColor="text1"/>
                <w:sz w:val="16"/>
                <w:szCs w:val="16"/>
                <w:shd w:val="clear" w:color="auto" w:fill="FFFFFF"/>
              </w:rPr>
              <w:t xml:space="preserve">.B. </w:t>
            </w:r>
            <w:r w:rsidR="00681CD3" w:rsidRPr="00517FC6">
              <w:rPr>
                <w:rFonts w:asciiTheme="majorHAnsi" w:hAnsiTheme="majorHAnsi" w:cstheme="majorHAnsi"/>
                <w:i/>
                <w:iCs/>
                <w:color w:val="000000" w:themeColor="text1"/>
                <w:sz w:val="16"/>
                <w:szCs w:val="16"/>
                <w:shd w:val="clear" w:color="auto" w:fill="FFFFFF"/>
              </w:rPr>
              <w:t xml:space="preserve">KMT2C </w:t>
            </w:r>
            <w:r w:rsidR="00681CD3" w:rsidRPr="00517FC6">
              <w:rPr>
                <w:rFonts w:asciiTheme="majorHAnsi" w:hAnsiTheme="majorHAnsi" w:cstheme="majorHAnsi"/>
                <w:color w:val="000000" w:themeColor="text1"/>
                <w:sz w:val="16"/>
                <w:szCs w:val="16"/>
                <w:shd w:val="clear" w:color="auto" w:fill="FFFFFF"/>
              </w:rPr>
              <w:t xml:space="preserve">has been implicated in </w:t>
            </w:r>
            <w:proofErr w:type="spellStart"/>
            <w:r w:rsidR="00681CD3" w:rsidRPr="00517FC6">
              <w:rPr>
                <w:rFonts w:asciiTheme="majorHAnsi" w:hAnsiTheme="majorHAnsi" w:cstheme="majorHAnsi"/>
                <w:color w:val="000000" w:themeColor="text1"/>
                <w:sz w:val="16"/>
                <w:szCs w:val="16"/>
                <w:shd w:val="clear" w:color="auto" w:fill="FFFFFF"/>
              </w:rPr>
              <w:t>Kleefstra</w:t>
            </w:r>
            <w:proofErr w:type="spellEnd"/>
            <w:r w:rsidR="00681CD3" w:rsidRPr="00517FC6">
              <w:rPr>
                <w:rFonts w:asciiTheme="majorHAnsi" w:hAnsiTheme="majorHAnsi" w:cstheme="majorHAnsi"/>
                <w:color w:val="000000" w:themeColor="text1"/>
                <w:sz w:val="16"/>
                <w:szCs w:val="16"/>
                <w:shd w:val="clear" w:color="auto" w:fill="FFFFFF"/>
              </w:rPr>
              <w:t xml:space="preserve"> syndrome.</w:t>
            </w:r>
          </w:p>
          <w:p w14:paraId="7ABEA9DE" w14:textId="7F87A5E0" w:rsidR="00532742" w:rsidRPr="00517FC6" w:rsidRDefault="00532742" w:rsidP="00C93EF9">
            <w:pPr>
              <w:rPr>
                <w:rFonts w:asciiTheme="majorHAnsi" w:hAnsiTheme="majorHAnsi" w:cstheme="majorHAnsi"/>
                <w:color w:val="000000" w:themeColor="text1"/>
                <w:sz w:val="16"/>
                <w:szCs w:val="16"/>
                <w:shd w:val="clear" w:color="auto" w:fill="FFFFFF"/>
              </w:rPr>
            </w:pPr>
          </w:p>
          <w:p w14:paraId="3DEEFEE9" w14:textId="3AE545A7" w:rsidR="00532742" w:rsidRPr="00517FC6" w:rsidRDefault="00C73CCF" w:rsidP="00C93EF9">
            <w:pPr>
              <w:rPr>
                <w:rFonts w:asciiTheme="majorHAnsi" w:hAnsiTheme="majorHAnsi" w:cstheme="majorHAnsi"/>
                <w:color w:val="000000" w:themeColor="text1"/>
                <w:sz w:val="16"/>
                <w:szCs w:val="16"/>
              </w:rPr>
            </w:pPr>
            <w:r w:rsidRPr="00517FC6">
              <w:rPr>
                <w:rFonts w:asciiTheme="majorHAnsi" w:hAnsiTheme="majorHAnsi" w:cstheme="majorHAnsi"/>
                <w:b/>
                <w:bCs/>
                <w:i/>
                <w:iCs/>
                <w:color w:val="000000" w:themeColor="text1"/>
                <w:sz w:val="16"/>
                <w:szCs w:val="16"/>
              </w:rPr>
              <w:t xml:space="preserve">N.B.B.B. </w:t>
            </w:r>
            <w:r w:rsidR="00532742" w:rsidRPr="00517FC6">
              <w:rPr>
                <w:rFonts w:asciiTheme="majorHAnsi" w:hAnsiTheme="majorHAnsi" w:cstheme="majorHAnsi"/>
                <w:i/>
                <w:iCs/>
                <w:color w:val="000000" w:themeColor="text1"/>
                <w:sz w:val="16"/>
                <w:szCs w:val="16"/>
              </w:rPr>
              <w:t xml:space="preserve">Kmt2a/Mixed-lineage </w:t>
            </w:r>
            <w:proofErr w:type="spellStart"/>
            <w:r w:rsidR="00532742" w:rsidRPr="00517FC6">
              <w:rPr>
                <w:rFonts w:asciiTheme="majorHAnsi" w:hAnsiTheme="majorHAnsi" w:cstheme="majorHAnsi"/>
                <w:i/>
                <w:iCs/>
                <w:color w:val="000000" w:themeColor="text1"/>
                <w:sz w:val="16"/>
                <w:szCs w:val="16"/>
              </w:rPr>
              <w:t>leukemia</w:t>
            </w:r>
            <w:proofErr w:type="spellEnd"/>
            <w:r w:rsidR="00532742" w:rsidRPr="00517FC6">
              <w:rPr>
                <w:rFonts w:asciiTheme="majorHAnsi" w:hAnsiTheme="majorHAnsi" w:cstheme="majorHAnsi"/>
                <w:i/>
                <w:iCs/>
                <w:color w:val="000000" w:themeColor="text1"/>
                <w:sz w:val="16"/>
                <w:szCs w:val="16"/>
              </w:rPr>
              <w:t xml:space="preserve"> 1 </w:t>
            </w:r>
            <w:r w:rsidR="00532742" w:rsidRPr="00517FC6">
              <w:rPr>
                <w:rFonts w:asciiTheme="majorHAnsi" w:hAnsiTheme="majorHAnsi" w:cstheme="majorHAnsi"/>
                <w:color w:val="000000" w:themeColor="text1"/>
                <w:sz w:val="16"/>
                <w:szCs w:val="16"/>
              </w:rPr>
              <w:t>(</w:t>
            </w:r>
            <w:r w:rsidR="00532742" w:rsidRPr="00517FC6">
              <w:rPr>
                <w:rFonts w:asciiTheme="majorHAnsi" w:hAnsiTheme="majorHAnsi" w:cstheme="majorHAnsi"/>
                <w:i/>
                <w:iCs/>
                <w:color w:val="000000" w:themeColor="text1"/>
                <w:sz w:val="16"/>
                <w:szCs w:val="16"/>
              </w:rPr>
              <w:t>Mll1</w:t>
            </w:r>
            <w:r w:rsidR="00532742" w:rsidRPr="00517FC6">
              <w:rPr>
                <w:rFonts w:asciiTheme="majorHAnsi" w:hAnsiTheme="majorHAnsi" w:cstheme="majorHAnsi"/>
                <w:color w:val="000000" w:themeColor="text1"/>
                <w:sz w:val="16"/>
                <w:szCs w:val="16"/>
              </w:rPr>
              <w:t>), in mouse postnatal forebrain and adult prefrontal cortex (PFC) is associated with increased anxiety</w:t>
            </w:r>
            <w:r w:rsidRPr="00517FC6">
              <w:rPr>
                <w:rFonts w:asciiTheme="majorHAnsi" w:hAnsiTheme="majorHAnsi" w:cstheme="majorHAnsi"/>
                <w:color w:val="000000" w:themeColor="text1"/>
                <w:sz w:val="16"/>
                <w:szCs w:val="16"/>
              </w:rPr>
              <w:t xml:space="preserve"> and cognitive deficits.</w:t>
            </w:r>
          </w:p>
          <w:p w14:paraId="11F388E0" w14:textId="77777777" w:rsidR="00532742" w:rsidRPr="00517FC6" w:rsidRDefault="00532742" w:rsidP="00C93EF9">
            <w:pPr>
              <w:rPr>
                <w:rFonts w:asciiTheme="majorHAnsi" w:hAnsiTheme="majorHAnsi" w:cstheme="majorHAnsi"/>
                <w:color w:val="000000" w:themeColor="text1"/>
                <w:sz w:val="16"/>
                <w:szCs w:val="16"/>
              </w:rPr>
            </w:pPr>
          </w:p>
          <w:p w14:paraId="3A75F9DE" w14:textId="77777777" w:rsidR="00CC44D3" w:rsidRPr="00517FC6" w:rsidRDefault="00CC44D3" w:rsidP="00C93EF9">
            <w:pPr>
              <w:rPr>
                <w:rFonts w:asciiTheme="majorHAnsi" w:hAnsiTheme="majorHAnsi" w:cstheme="majorHAnsi"/>
                <w:color w:val="000000" w:themeColor="text1"/>
                <w:sz w:val="16"/>
                <w:szCs w:val="16"/>
              </w:rPr>
            </w:pPr>
          </w:p>
        </w:tc>
      </w:tr>
      <w:tr w:rsidR="00517FC6" w:rsidRPr="00517FC6" w14:paraId="0DF9B158" w14:textId="77777777" w:rsidTr="00C93EF9">
        <w:tc>
          <w:tcPr>
            <w:tcW w:w="1286" w:type="dxa"/>
          </w:tcPr>
          <w:p w14:paraId="18E6DE4D"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NF1</w:t>
            </w:r>
          </w:p>
        </w:tc>
        <w:tc>
          <w:tcPr>
            <w:tcW w:w="1998" w:type="dxa"/>
          </w:tcPr>
          <w:p w14:paraId="6BEAF5A7" w14:textId="77777777" w:rsidR="00CC44D3"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Neurofibromin 1</w:t>
            </w:r>
          </w:p>
        </w:tc>
        <w:tc>
          <w:tcPr>
            <w:tcW w:w="1419" w:type="dxa"/>
          </w:tcPr>
          <w:p w14:paraId="2FDF0506" w14:textId="77777777" w:rsidR="00CC44D3" w:rsidRPr="00517FC6" w:rsidRDefault="00C97C9E"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NFNS</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VRNF</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WSS</w:t>
            </w:r>
          </w:p>
        </w:tc>
        <w:tc>
          <w:tcPr>
            <w:tcW w:w="2268" w:type="dxa"/>
          </w:tcPr>
          <w:p w14:paraId="19D08CAD" w14:textId="77777777" w:rsidR="00CC44D3" w:rsidRPr="00517FC6" w:rsidRDefault="00B75A5E"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Functions as a negative regulator of the Ras signal transduction pathway by stimulating GTPase activity of Ras.</w:t>
            </w:r>
          </w:p>
        </w:tc>
        <w:tc>
          <w:tcPr>
            <w:tcW w:w="1585" w:type="dxa"/>
          </w:tcPr>
          <w:p w14:paraId="70B185FD" w14:textId="77777777" w:rsidR="00CC44D3" w:rsidRPr="00517FC6" w:rsidRDefault="00EF24D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Neurofibromatosis 1 – characterised by </w:t>
            </w:r>
            <w:r w:rsidR="00F36E50" w:rsidRPr="00517FC6">
              <w:rPr>
                <w:rFonts w:asciiTheme="majorHAnsi" w:hAnsiTheme="majorHAnsi" w:cstheme="majorHAnsi"/>
                <w:color w:val="000000" w:themeColor="text1"/>
                <w:sz w:val="16"/>
                <w:szCs w:val="16"/>
              </w:rPr>
              <w:t>tumours</w:t>
            </w:r>
            <w:r w:rsidRPr="00517FC6">
              <w:rPr>
                <w:rFonts w:asciiTheme="majorHAnsi" w:hAnsiTheme="majorHAnsi" w:cstheme="majorHAnsi"/>
                <w:color w:val="000000" w:themeColor="text1"/>
                <w:sz w:val="16"/>
                <w:szCs w:val="16"/>
              </w:rPr>
              <w:t xml:space="preserve"> of nerves and skin (neurofibromas)</w:t>
            </w:r>
            <w:r w:rsidR="0056785D" w:rsidRPr="00517FC6">
              <w:rPr>
                <w:rFonts w:asciiTheme="majorHAnsi" w:hAnsiTheme="majorHAnsi" w:cstheme="majorHAnsi"/>
                <w:color w:val="000000" w:themeColor="text1"/>
                <w:sz w:val="16"/>
                <w:szCs w:val="16"/>
              </w:rPr>
              <w:t>,</w:t>
            </w:r>
          </w:p>
          <w:p w14:paraId="656E1D24" w14:textId="77777777" w:rsidR="00EF24D4" w:rsidRPr="00517FC6" w:rsidRDefault="0056785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Learning disabilities</w:t>
            </w:r>
          </w:p>
          <w:p w14:paraId="4C60CD03" w14:textId="77777777" w:rsidR="007C02C6" w:rsidRPr="00517FC6" w:rsidRDefault="007C02C6" w:rsidP="00C93EF9">
            <w:pPr>
              <w:rPr>
                <w:rFonts w:asciiTheme="majorHAnsi" w:hAnsiTheme="majorHAnsi" w:cstheme="majorHAnsi"/>
                <w:color w:val="000000" w:themeColor="text1"/>
                <w:sz w:val="16"/>
                <w:szCs w:val="16"/>
              </w:rPr>
            </w:pPr>
          </w:p>
          <w:p w14:paraId="38A5CB40" w14:textId="15C49A3E" w:rsidR="007C02C6" w:rsidRPr="00517FC6" w:rsidRDefault="00090EC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Autosomal </w:t>
            </w:r>
            <w:r w:rsidR="007C02C6" w:rsidRPr="00517FC6">
              <w:rPr>
                <w:rFonts w:asciiTheme="majorHAnsi" w:hAnsiTheme="majorHAnsi" w:cstheme="majorHAnsi"/>
                <w:color w:val="000000" w:themeColor="text1"/>
                <w:sz w:val="16"/>
                <w:szCs w:val="16"/>
              </w:rPr>
              <w:t>Dominant</w:t>
            </w:r>
          </w:p>
        </w:tc>
        <w:tc>
          <w:tcPr>
            <w:tcW w:w="1574" w:type="dxa"/>
          </w:tcPr>
          <w:p w14:paraId="4B7323F3" w14:textId="77777777" w:rsidR="00CC44D3" w:rsidRPr="00517FC6" w:rsidRDefault="00C97C9E"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Ubiquitous expression across most bodily tissues, highly expressed in brain</w:t>
            </w:r>
            <w:r w:rsidR="0055400D" w:rsidRPr="00517FC6">
              <w:rPr>
                <w:rFonts w:asciiTheme="majorHAnsi" w:hAnsiTheme="majorHAnsi" w:cstheme="majorHAnsi"/>
                <w:color w:val="000000" w:themeColor="text1"/>
                <w:sz w:val="16"/>
                <w:szCs w:val="16"/>
              </w:rPr>
              <w:t xml:space="preserve"> (</w:t>
            </w:r>
            <w:r w:rsidR="0055400D" w:rsidRPr="00517FC6">
              <w:rPr>
                <w:rFonts w:asciiTheme="majorHAnsi" w:hAnsiTheme="majorHAnsi" w:cstheme="majorHAnsi"/>
                <w:color w:val="000000" w:themeColor="text1"/>
                <w:sz w:val="16"/>
                <w:szCs w:val="16"/>
                <w:shd w:val="clear" w:color="auto" w:fill="FFFFFF"/>
              </w:rPr>
              <w:t xml:space="preserve">RPKM 8.2) </w:t>
            </w:r>
            <w:r w:rsidRPr="00517FC6">
              <w:rPr>
                <w:rFonts w:asciiTheme="majorHAnsi" w:hAnsiTheme="majorHAnsi" w:cstheme="majorHAnsi"/>
                <w:color w:val="000000" w:themeColor="text1"/>
                <w:sz w:val="16"/>
                <w:szCs w:val="16"/>
              </w:rPr>
              <w:t>and thyroid</w:t>
            </w:r>
            <w:r w:rsidR="0055400D" w:rsidRPr="00517FC6">
              <w:rPr>
                <w:rFonts w:asciiTheme="majorHAnsi" w:hAnsiTheme="majorHAnsi" w:cstheme="majorHAnsi"/>
                <w:color w:val="000000" w:themeColor="text1"/>
                <w:sz w:val="16"/>
                <w:szCs w:val="16"/>
              </w:rPr>
              <w:t xml:space="preserve"> </w:t>
            </w:r>
            <w:r w:rsidR="0055400D" w:rsidRPr="00517FC6">
              <w:rPr>
                <w:rFonts w:asciiTheme="majorHAnsi" w:hAnsiTheme="majorHAnsi" w:cstheme="majorHAnsi"/>
                <w:color w:val="000000" w:themeColor="text1"/>
                <w:sz w:val="16"/>
                <w:szCs w:val="16"/>
                <w:shd w:val="clear" w:color="auto" w:fill="FFFFFF"/>
              </w:rPr>
              <w:t>(RPKM 9.3)</w:t>
            </w:r>
            <w:r w:rsidRPr="00517FC6">
              <w:rPr>
                <w:rFonts w:asciiTheme="majorHAnsi" w:hAnsiTheme="majorHAnsi" w:cstheme="majorHAnsi"/>
                <w:color w:val="000000" w:themeColor="text1"/>
                <w:sz w:val="16"/>
                <w:szCs w:val="16"/>
              </w:rPr>
              <w:t>.</w:t>
            </w:r>
          </w:p>
          <w:p w14:paraId="1B3708FB" w14:textId="77777777" w:rsidR="00C97C9E" w:rsidRPr="00517FC6" w:rsidRDefault="00C97C9E" w:rsidP="00C93EF9">
            <w:pPr>
              <w:rPr>
                <w:rFonts w:asciiTheme="majorHAnsi" w:hAnsiTheme="majorHAnsi" w:cstheme="majorHAnsi"/>
                <w:color w:val="000000" w:themeColor="text1"/>
                <w:sz w:val="16"/>
                <w:szCs w:val="16"/>
              </w:rPr>
            </w:pPr>
          </w:p>
          <w:p w14:paraId="296047A6" w14:textId="77777777" w:rsidR="00C97C9E" w:rsidRPr="00517FC6" w:rsidRDefault="00842FDD" w:rsidP="00C93EF9">
            <w:pPr>
              <w:rPr>
                <w:rFonts w:asciiTheme="majorHAnsi" w:hAnsiTheme="majorHAnsi" w:cstheme="majorHAnsi"/>
                <w:color w:val="000000" w:themeColor="text1"/>
                <w:sz w:val="16"/>
                <w:szCs w:val="16"/>
              </w:rPr>
            </w:pPr>
            <w:r w:rsidRPr="00517FC6">
              <w:rPr>
                <w:rFonts w:asciiTheme="majorHAnsi" w:hAnsiTheme="majorHAnsi" w:cstheme="majorHAnsi"/>
                <w:b/>
                <w:bCs/>
                <w:color w:val="000000" w:themeColor="text1"/>
                <w:sz w:val="16"/>
                <w:szCs w:val="16"/>
              </w:rPr>
              <w:t>N.B.</w:t>
            </w:r>
            <w:r w:rsidRPr="00517FC6">
              <w:rPr>
                <w:rFonts w:asciiTheme="majorHAnsi" w:hAnsiTheme="majorHAnsi" w:cstheme="majorHAnsi"/>
                <w:color w:val="000000" w:themeColor="text1"/>
                <w:sz w:val="16"/>
                <w:szCs w:val="16"/>
              </w:rPr>
              <w:t xml:space="preserve"> Homozygous LOF mutation unviable in mice.</w:t>
            </w:r>
          </w:p>
        </w:tc>
        <w:tc>
          <w:tcPr>
            <w:tcW w:w="1281" w:type="dxa"/>
          </w:tcPr>
          <w:p w14:paraId="6DA96333" w14:textId="4BBDF2F6" w:rsidR="00CC44D3" w:rsidRPr="00517FC6" w:rsidRDefault="0020150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ADDIN CSL_CITATION {"citationItems":[{"id":"ITEM-1","itemData":{"DOI":"10.1101/gad.862101","ISBN":"0890-9369 (Print)\\r0890-9369 (Linking)","ISSN":"08909369","PMID":"11297510","abstract":"Neurofibromatosis type 1 (NF1) is a prevalent genetic disorder that affects growth properties of neural-crest-derived cell populations. In addition, approximately one-half of NF1 patients exhibit learning disabilities. To characterize NF1 function both in vitro and in vivo, we circumvent the embryonic lethality of NF1 null mouse embryos by generating a conditional mutation in the NF1 gene using Cre/loxP technology. Introduction of a Synapsin I promoter driven Cre transgenic mouse strain into the conditional NF1 background has ablated NF1 function in most differentiated neuronal populations. These mice have abnormal development of the cerebral cortex, which suggests that NF1 has an indispensable role in this aspect of CNS development. Furthermore, although they are tumor free, these mice display extensive astrogliosis in the absence of conspicuous neurodegeneration or microgliosis. These results indicate that NF1-deficient neurons are capable of inducing reactive astrogliosis via a non-cell autonomous mechanism.","author":[{"dropping-particle":"","family":"Zhu","given":"Y.","non-dropping-particle":"","parse-names":false,"suffix":""},{"dropping-particle":"","family":"Romero","given":"M. I.","non-dropping-particle":"","parse-names":false,"suffix":""},{"dropping-particle":"","family":"Ghosh","given":"P.","non-dropping-particle":"","parse-names":false,"suffix":""},{"dropping-particle":"","family":"Ye","given":"Z.","non-dropping-particle":"","parse-names":false,"suffix":""},{"dropping-particle":"","family":"Charnay","given":"P.","non-dropping-particle":"","parse-names":false,"suffix":""},{"dropping-particle":"","family":"Rushing","given":"E. J.","non-dropping-particle":"","parse-names":false,"suffix":""},{"dropping-particle":"","family":"Marth","given":"J. D.","non-dropping-particle":"","parse-names":false,"suffix":""},{"dropping-particle":"","family":"Parada","given":"L. F.","non-dropping-particle":"","parse-names":false,"suffix":""}],"container-title":"Genes and Development","id":"ITEM-1","issue":"7","issued":{"date-parts":[["2001"]]},"page":"859-876","title":"Ablation of NF1 function in neurons induces abnormal development of cerebral cortex and reactive gliosis in the brainZhu, Y., Romero, M. I., Ghosh, P., Ye, Z., Charnay, P., Rushing, E. J., … Parada, L. F. (2001). Ablation of NF1 function in neurons induce","type":"article-journal","volume":"15"},"uris":["http://www.mendeley.com/documents/?uuid=c3a7df01-4639-4d0b-9f23-9e82d48fce6f"]},{"id":"ITEM-2","itemData":{"DOI":"10.1038/modpathol.2016.45","ISSN":"15300285","abstract":"Malignant peripheral nerve sheath tumors (MPNSTs) are aggressive sarcomas that can show overlapping features with benign neurofibromas as well as high-grade sarcomas. Additional diagnostic markers are needed to aid in this often challenging differential diagnosis. Recently mutations in two critical components of the polycomb repressor 2 (PRC2) complex, SUZ12 and EED, were reported to occur specifically in MPNSTs while such mutations are absent in neurofibromas, both in the setting of neurofibromatosis (NF) and sporadic cases. Furthermore, both SUZ12 and EED mutations in MPNSTs were associated with loss of H3K27 tri-methylation, a downstream target of PRC2. Therefore, we tested whether H3K27me3 immunohistochemistry is useful as a diagnostic and prognostic marker for MPNSTs. We performed H3K27me3 immunohistochemistry in 162 primary MPNSTs, 97 neurofibromas and 341 other tumors using tissue microarray. We observed loss of H3K27me3 in 34% (55/162) of all MPNSTs while expression was retained in all neurofibromas including atypical (n=8) and plexiform subtypes (n=24). Within other tumors we detected loss of H3K27me3 in only 7% (24/341). Surprisingly, 60% (9/15) of synovial sarcomas and 38% (3/8) of fibrosarcomatous dermatofibrosarcoma protuberans (DFSP) showed loss of H3K27 trimethylation. Only 1 out of 44 schwannomas showed loss of H3K27me3 and all 4 perineuriomas showed intact H3K27me3. Furthermore, MPNSTs with loss of H3K27 tri-methylation showed inferior survival compared with MPNSTs with intact H3K27 tri-methylation, which was validated in two independent cohorts. Our results indicate that H3K27me3 immunohistochemistry is useful as a diagnostic marker, in which loss of H3K27me3 favors MPNST above neurofibroma. However, H3K27me3 immunohistochemistry is not suitable to distinguish MPNST from its morphological mimicker synovial sarcoma or fibrosarcomatous DFSP. Since loss of H3K27 tri-methylation was related to poorer survival in MPNST, chromatin modification mediated by this specific histone seems to orchestrate more aggressive tumour biology.","author":[{"dropping-particle":"","family":"Cleven","given":"Arjen H.G.","non-dropping-particle":"","parse-names":false,"suffix":""},{"dropping-particle":"","family":"Sannaa","given":"Ghadah A.","non-dropping-particle":"Al","parse-names":false,"suffix":""},{"dropping-particle":"","family":"Briaire-de Bruijn","given":"Inge","non-dropping-particle":"","parse-names":false,"suffix":""},{"dropping-particle":"","family":"Ingram","given":"Davis R.","non-dropping-particle":"","parse-names":false,"suffix":""},{"dropping-particle":"","family":"Rijn","given":"Matt","non-dropping-particle":"Van De","parse-names":false,"suffix":""},{"dropping-particle":"","family":"Rubin","given":"Brian P.","non-dropping-particle":"","parse-names":false,"suffix":""},{"dropping-particle":"","family":"Vries","given":"Maurits W.","non-dropping-particle":"De","parse-names":false,"suffix":""},{"dropping-particle":"","family":"Watson","given":"Kelsey L.","non-dropping-particle":"","parse-names":false,"suffix":""},{"dropping-particle":"","family":"Torres","given":"Kelia E.","non-dropping-particle":"","parse-names":false,"suffix":""},{"dropping-particle":"","family":"Wang","given":"Wei Lien","non-dropping-particle":"","parse-names":false,"suffix":""},{"dropping-particle":"","family":"Duinen","given":"Sjoerd G.","non-dropping-particle":"Van","parse-names":false,"suffix":""},{"dropping-particle":"","family":"Hogendoorn","given":"Pancras C.W.","non-dropping-particle":"","parse-names":false,"suffix":""},{"dropping-particle":"","family":"Lazar","given":"Alexander J.","non-dropping-particle":"","parse-names":false,"suffix":""},{"dropping-particle":"","family":"Bovée","given":"Judith V.M.G.","non-dropping-particle":"","parse-names":false,"suffix":""}],"container-title":"Modern Pathology","id":"ITEM-2","issue":"6","issued":{"date-parts":[["2016","6","1"]]},"page":"582-590","publisher":"Nature Publishing Group","title":"Loss of H3K27 tri-methylation is a diagnostic marker for malignant peripheral nerve sheath tumors and an indicator for an inferior survival","type":"article-journal","volume":"29"},"uris":["http://www.mendeley.com/documents/?uuid=ff751323-a66e-3206-9440-2acc5fcf8271"]},{"id":"ITEM-3","itemData":{"DOI":"10.1007/s00439-017-1766-y","ISSN":"14321203","abstract":"The most frequent recurring mutations in neurofibromatosis type 1 (NF1) are large deletions encompassing the NF1 gene and its flanking regions (NF1 microdeletions). The majority of these deletions encompass 1.4-Mb and are associated with the loss of 14 protein-coding genes and four microRNA genes. Patients with germline type-1 NF1 microdeletions frequently exhibit dysmorphic facial features, overgrowth/tall-for-age stature, significant delay in cognitive development, large hands and feet, hyperflexibility of joints and muscular hypotonia. Such patients also display significantly more cardiovascular anomalies as compared with patients without large deletions and often exhibit increased numbers of subcutaneous, plexiform and spinal neurofibromas as compared with the general NF1 population. Further, an extremely high burden of internal neurofibromas, characterised by &gt;3000 ml tumour volume, is encountered significantly, more frequently, in non-mosaic NF1 microdeletion patients than in NF1 patients lacking such deletions. NF1 microdeletion patients also have an increased risk of malignant peripheral nerve sheath tumours (MPNSTs); their lifetime MPNST risk is 16–26%, rather higher than that of NF1 patients with intragenic NF1 mutations (8–13%). NF1 microdeletion patients, therefore, represent a high-risk group for the development of MPNSTs, tumours which are very aggressive and difficult to treat. Co-deletion of the SUZ12 gene in addition to NF1 further increases the MPNST risk in NF1 microdeletion patients. Here, we summarise current knowledge about genotype–phenotype relationships in NF1 microdeletion patients and discuss the potential role of the genes located within the NF1 microdeletion interval whose haploinsufficiency may contribute to the more severe clinical phenotype.","author":[{"dropping-particle":"","family":"Kehrer-Sawatzki","given":"Hildegard","non-dropping-particle":"","parse-names":false,"suffix":""},{"dropping-particle":"","family":"Mautner","given":"Victor Felix","non-dropping-particle":"","parse-names":false,"suffix":""},{"dropping-particle":"","family":"Cooper","given":"David N.","non-dropping-particle":"","parse-names":false,"suffix":""}],"container-title":"Human Genetics","id":"ITEM-3","issue":"4","issued":{"date-parts":[["2017","4","1"]]},"page":"349-376","publisher":"Springer Verlag","title":"Emerging genotype–phenotype relationships in patients with large NF1 deletions","type":"article","volume":"136"},"uris":["http://www.mendeley.com/documents/?uuid=f7fb2ad1-a62a-3f69-9184-cf19dc68c7c3"]},{"id":"ITEM-4","itemData":{"DOI":"10.1002/gcc.20353","ISSN":"10452257","abstract":"Neurofibromatosis type I (NF1) is an autosomal dominant familial tumor syndrome characterized by the presence of multiple benign neurofibromas. In 95% of NF1 individuals, a mutation is found in the NF1 gene, and in 5% of the patients, the germline mutation consists of a microdeletion that includes the NF1 gene and several flanking genes. We studied the frequency of loss of heterozygosity (LOH) in the NF1 region as a mechanism of somatic NF1 inactivation in neurofibromas from NF1 patients with and without a microdeletion. There was a statistically significant difference between these two patient groups in the proportion of neurofibromas with LOH. None of the 40 neurofibromas from six different NF1 microdeletion patients showed LOH, whereas LOH was observed in 6/28 neurofibromas from five patients with an intragenic NF1 mutation (P = 0.0034, Fisher's exact). LOH of the NF1 microdeletion region in NF1 microdeletion patients would de facto lead to a nullizygous state of the genes located in the deletion region and might be lethal. The mechanisms leading to LOH were further analyzed in six neurofibromas. In two out of six neurofibromas, a chromosomal microdeletion was found; in three, a mitotic recombination was responsible for the observed LOH; and in one, a chromosome loss with reduplication was present. These data show an important difference in the mechanisms of second hit formation in the 2 NF1 patient groups. We conclude that NF1 is a familial tumor syndrome in which the type of germline mutation influences the type of second hit in the tumors. © 2006 Wiley-Liss, Inc.","author":[{"dropping-particle":"","family":"Raedt","given":"Thomas","non-dropping-particle":"De","parse-names":false,"suffix":""},{"dropping-particle":"","family":"Maertens","given":"Ophélia","non-dropping-particle":"","parse-names":false,"suffix":""},{"dropping-particle":"","family":"Chmara","given":"Magdalena","non-dropping-particle":"","parse-names":false,"suffix":""},{"dropping-particle":"","family":"Brems","given":"Hilde","non-dropping-particle":"","parse-names":false,"suffix":""},{"dropping-particle":"","family":"Heyns","given":"Ine","non-dropping-particle":"","parse-names":false,"suffix":""},{"dropping-particle":"","family":"Sciot","given":"Raf","non-dropping-particle":"","parse-names":false,"suffix":""},{"dropping-particle":"","family":"Majounie","given":"Elisa","non-dropping-particle":"","parse-names":false,"suffix":""},{"dropping-particle":"","family":"Upadhyaya","given":"Meena","non-dropping-particle":"","parse-names":false,"suffix":""},{"dropping-particle":"","family":"Schepper","given":"Sofie","non-dropping-particle":"De","parse-names":false,"suffix":""},{"dropping-particle":"","family":"Speleman","given":"Frank","non-dropping-particle":"","parse-names":false,"suffix":""},{"dropping-particle":"","family":"Messiaen","given":"Ludwine","non-dropping-particle":"","parse-names":false,"suffix":""},{"dropping-particle":"","family":"Vermeesch","given":"Joris Robert","non-dropping-particle":"","parse-names":false,"suffix":""},{"dropping-particle":"","family":"Legius","given":"Eric","non-dropping-particle":"","parse-names":false,"suffix":""}],"container-title":"Genes Chromosomes and Cancer","id":"ITEM-4","issue":"10","issued":{"date-parts":[["2006","10"]]},"page":"893-904","title":"Somatic loss of wild type NF1 allele in neurofibromas: Comparison of NF1 microdeletion and non-microdeletion patients","type":"article-journal","volume":"45"},"uris":["http://www.mendeley.com/documents/?uuid=d807d7d0-3098-335b-a353-5db103aab5ba"]},{"id":"ITEM-5","itemData":{"DOI":"10.1007/s10048-008-0154-0","ISSN":"13646745","abstract":"The hallmark of neurofibromatosis type 1 (NF1) are multiple dermal neurofibromas. They show high inter- and intrafamilial variability for which the influence of modifying genes is discussed. NF1 patients presenting microdeletions spanning NF1 and several contiguous genes have an earlier onset and higher number of dermal neurofibromas than classical NF1 patients, pointing to one of the deleted genes as modifier. Expression analysis of 13 genes of the microdeletion region in dermal neurofibromas and other tissues revealed four candidates for the modification of neurofibroma formation: CENTA2, RAB11FIP4, C17orf79, and UTP6. © 2008 Springer-Verlag.","author":[{"dropping-particle":"","family":"Bartelt-Kirbach","given":"B.","non-dropping-particle":"","parse-names":false,"suffix":""},{"dropping-particle":"","family":"Wuepping","given":"M.","non-dropping-particle":"","parse-names":false,"suffix":""},{"dropping-particle":"","family":"Dodrimont-Lattke","given":"M.","non-dropping-particle":"","parse-names":false,"suffix":""},{"dropping-particle":"","family":"Kaufmann","given":"D.","non-dropping-particle":"","parse-names":false,"suffix":""}],"container-title":"Neurogenetics","id":"ITEM-5","issue":"1","issued":{"date-parts":[["2009","2"]]},"page":"79-85","publisher":"Neurogenetics","title":"Expression analysis of genes lying in the NF1 microdeletion interval points to four candidate modifiers for neurofibroma formation","type":"article-journal","volume":"10"},"uris":["http://www.mendeley.com/documents/?uuid=093d729e-a05a-3d5b-9106-64dfa16f5d2e"]}],"mendeley":{"formattedCitation":"&lt;sup&gt;10–14&lt;/sup&gt;","plainTextFormattedCitation":"10–14","previouslyFormattedCitation":"(Zhu &lt;i&gt;et al.&lt;/i&gt;, 2001; De Raedt &lt;i&gt;et al.&lt;/i&gt;, 2006; Bartelt-Kirbach &lt;i&gt;et al.&lt;/i&gt;, 2009; Cleven &lt;i&gt;et al.&lt;/i&gt;, 2016; Kehrer-Sawatzki, Mautner and Cooper, 2017)"},"properties":{"noteIndex":0},"schema":"https://github.com/citation-style-language/schema/raw/master/csl-citation.json"}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10–14</w:t>
            </w:r>
            <w:r w:rsidRPr="00517FC6">
              <w:rPr>
                <w:rFonts w:asciiTheme="majorHAnsi" w:hAnsiTheme="majorHAnsi" w:cstheme="majorHAnsi"/>
                <w:color w:val="000000" w:themeColor="text1"/>
                <w:sz w:val="16"/>
                <w:szCs w:val="16"/>
              </w:rPr>
              <w:fldChar w:fldCharType="end"/>
            </w:r>
          </w:p>
        </w:tc>
        <w:tc>
          <w:tcPr>
            <w:tcW w:w="1877" w:type="dxa"/>
          </w:tcPr>
          <w:p w14:paraId="164F88B3" w14:textId="77777777" w:rsidR="00CC44D3" w:rsidRPr="00517FC6" w:rsidRDefault="0056785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Over 50% of individuals with NF1 experience learning disabilities.</w:t>
            </w:r>
          </w:p>
          <w:p w14:paraId="043C0788" w14:textId="77777777" w:rsidR="005511BA" w:rsidRPr="00517FC6" w:rsidRDefault="005511BA" w:rsidP="00C93EF9">
            <w:pPr>
              <w:rPr>
                <w:rFonts w:asciiTheme="majorHAnsi" w:hAnsiTheme="majorHAnsi" w:cstheme="majorHAnsi"/>
                <w:color w:val="000000" w:themeColor="text1"/>
                <w:sz w:val="16"/>
                <w:szCs w:val="16"/>
              </w:rPr>
            </w:pPr>
          </w:p>
        </w:tc>
      </w:tr>
      <w:tr w:rsidR="00517FC6" w:rsidRPr="00517FC6" w14:paraId="753671AE" w14:textId="77777777" w:rsidTr="00C93EF9">
        <w:tc>
          <w:tcPr>
            <w:tcW w:w="1286" w:type="dxa"/>
          </w:tcPr>
          <w:p w14:paraId="3F1534A4"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AUTS2</w:t>
            </w:r>
          </w:p>
        </w:tc>
        <w:tc>
          <w:tcPr>
            <w:tcW w:w="1998" w:type="dxa"/>
          </w:tcPr>
          <w:p w14:paraId="2B914FD8" w14:textId="77777777" w:rsidR="00CC44D3" w:rsidRPr="00517FC6" w:rsidRDefault="00F36E50"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A</w:t>
            </w:r>
            <w:r w:rsidR="00CC44D3" w:rsidRPr="00517FC6">
              <w:rPr>
                <w:rFonts w:asciiTheme="majorHAnsi" w:hAnsiTheme="majorHAnsi" w:cstheme="majorHAnsi"/>
                <w:color w:val="000000" w:themeColor="text1"/>
                <w:sz w:val="16"/>
                <w:szCs w:val="16"/>
              </w:rPr>
              <w:t>ctivator of transcription and developmental regulator</w:t>
            </w:r>
          </w:p>
        </w:tc>
        <w:tc>
          <w:tcPr>
            <w:tcW w:w="1419" w:type="dxa"/>
          </w:tcPr>
          <w:p w14:paraId="00B0EA43"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FBRSL2</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MRD26</w:t>
            </w:r>
          </w:p>
        </w:tc>
        <w:tc>
          <w:tcPr>
            <w:tcW w:w="2268" w:type="dxa"/>
          </w:tcPr>
          <w:p w14:paraId="1E17C92F" w14:textId="77777777" w:rsidR="00CC44D3" w:rsidRPr="00537FE7" w:rsidRDefault="00B75A5E" w:rsidP="00C93EF9">
            <w:pPr>
              <w:rPr>
                <w:rFonts w:asciiTheme="majorHAnsi" w:hAnsiTheme="majorHAnsi" w:cstheme="majorHAnsi"/>
                <w:color w:val="000000" w:themeColor="text1"/>
                <w:sz w:val="16"/>
                <w:szCs w:val="16"/>
              </w:rPr>
            </w:pPr>
            <w:r w:rsidRPr="00537FE7">
              <w:rPr>
                <w:rFonts w:asciiTheme="majorHAnsi" w:hAnsiTheme="majorHAnsi" w:cstheme="majorHAnsi"/>
                <w:color w:val="000000" w:themeColor="text1"/>
                <w:sz w:val="16"/>
                <w:szCs w:val="16"/>
              </w:rPr>
              <w:t xml:space="preserve">Component of a </w:t>
            </w:r>
            <w:proofErr w:type="spellStart"/>
            <w:r w:rsidRPr="00537FE7">
              <w:rPr>
                <w:rFonts w:asciiTheme="majorHAnsi" w:hAnsiTheme="majorHAnsi" w:cstheme="majorHAnsi"/>
                <w:color w:val="000000" w:themeColor="text1"/>
                <w:sz w:val="16"/>
                <w:szCs w:val="16"/>
              </w:rPr>
              <w:t>Polycomb</w:t>
            </w:r>
            <w:proofErr w:type="spellEnd"/>
            <w:r w:rsidRPr="00537FE7">
              <w:rPr>
                <w:rFonts w:asciiTheme="majorHAnsi" w:hAnsiTheme="majorHAnsi" w:cstheme="majorHAnsi"/>
                <w:color w:val="000000" w:themeColor="text1"/>
                <w:sz w:val="16"/>
                <w:szCs w:val="16"/>
              </w:rPr>
              <w:t xml:space="preserve"> group (</w:t>
            </w:r>
            <w:proofErr w:type="spellStart"/>
            <w:r w:rsidRPr="00537FE7">
              <w:rPr>
                <w:rFonts w:asciiTheme="majorHAnsi" w:hAnsiTheme="majorHAnsi" w:cstheme="majorHAnsi"/>
                <w:color w:val="000000" w:themeColor="text1"/>
                <w:sz w:val="16"/>
                <w:szCs w:val="16"/>
              </w:rPr>
              <w:t>PcG</w:t>
            </w:r>
            <w:proofErr w:type="spellEnd"/>
            <w:r w:rsidRPr="00537FE7">
              <w:rPr>
                <w:rFonts w:asciiTheme="majorHAnsi" w:hAnsiTheme="majorHAnsi" w:cstheme="majorHAnsi"/>
                <w:color w:val="000000" w:themeColor="text1"/>
                <w:sz w:val="16"/>
                <w:szCs w:val="16"/>
              </w:rPr>
              <w:t>) multiprotein PRC1-like complex.</w:t>
            </w:r>
          </w:p>
          <w:p w14:paraId="118DD670" w14:textId="77777777" w:rsidR="00B75A5E" w:rsidRPr="00537FE7" w:rsidRDefault="00B75A5E" w:rsidP="00C93EF9">
            <w:pPr>
              <w:rPr>
                <w:rFonts w:asciiTheme="majorHAnsi" w:hAnsiTheme="majorHAnsi" w:cstheme="majorHAnsi"/>
                <w:color w:val="000000" w:themeColor="text1"/>
                <w:sz w:val="16"/>
                <w:szCs w:val="16"/>
              </w:rPr>
            </w:pPr>
          </w:p>
          <w:p w14:paraId="096834CF" w14:textId="77777777" w:rsidR="00B75A5E" w:rsidRPr="00537FE7" w:rsidRDefault="00B75A5E" w:rsidP="00C93EF9">
            <w:pPr>
              <w:rPr>
                <w:rFonts w:asciiTheme="majorHAnsi" w:hAnsiTheme="majorHAnsi" w:cstheme="majorHAnsi"/>
                <w:color w:val="000000" w:themeColor="text1"/>
                <w:sz w:val="16"/>
                <w:szCs w:val="16"/>
              </w:rPr>
            </w:pPr>
            <w:r w:rsidRPr="00537FE7">
              <w:rPr>
                <w:rFonts w:asciiTheme="majorHAnsi" w:hAnsiTheme="majorHAnsi" w:cstheme="majorHAnsi"/>
                <w:color w:val="000000" w:themeColor="text1"/>
                <w:sz w:val="16"/>
                <w:szCs w:val="16"/>
              </w:rPr>
              <w:lastRenderedPageBreak/>
              <w:t xml:space="preserve">The </w:t>
            </w:r>
            <w:proofErr w:type="spellStart"/>
            <w:r w:rsidRPr="00537FE7">
              <w:rPr>
                <w:rFonts w:asciiTheme="majorHAnsi" w:hAnsiTheme="majorHAnsi" w:cstheme="majorHAnsi"/>
                <w:color w:val="000000" w:themeColor="text1"/>
                <w:sz w:val="16"/>
                <w:szCs w:val="16"/>
              </w:rPr>
              <w:t>PcG</w:t>
            </w:r>
            <w:proofErr w:type="spellEnd"/>
            <w:r w:rsidRPr="00537FE7">
              <w:rPr>
                <w:rFonts w:asciiTheme="majorHAnsi" w:hAnsiTheme="majorHAnsi" w:cstheme="majorHAnsi"/>
                <w:color w:val="000000" w:themeColor="text1"/>
                <w:sz w:val="16"/>
                <w:szCs w:val="16"/>
              </w:rPr>
              <w:t xml:space="preserve"> PRC1 complex mediates transcriptional activation</w:t>
            </w:r>
            <w:r w:rsidR="005511BA" w:rsidRPr="00537FE7">
              <w:rPr>
                <w:rFonts w:asciiTheme="majorHAnsi" w:hAnsiTheme="majorHAnsi" w:cstheme="majorHAnsi"/>
                <w:color w:val="000000" w:themeColor="text1"/>
                <w:sz w:val="16"/>
                <w:szCs w:val="16"/>
              </w:rPr>
              <w:t xml:space="preserve"> of CNS genes</w:t>
            </w:r>
            <w:r w:rsidRPr="00537FE7">
              <w:rPr>
                <w:rFonts w:asciiTheme="majorHAnsi" w:hAnsiTheme="majorHAnsi" w:cstheme="majorHAnsi"/>
                <w:color w:val="000000" w:themeColor="text1"/>
                <w:sz w:val="16"/>
                <w:szCs w:val="16"/>
              </w:rPr>
              <w:t xml:space="preserve"> via </w:t>
            </w:r>
            <w:r w:rsidR="0020150D" w:rsidRPr="00537FE7">
              <w:rPr>
                <w:rFonts w:asciiTheme="majorHAnsi" w:hAnsiTheme="majorHAnsi" w:cstheme="majorHAnsi"/>
                <w:color w:val="000000" w:themeColor="text1"/>
                <w:sz w:val="16"/>
                <w:szCs w:val="16"/>
              </w:rPr>
              <w:t xml:space="preserve">epigenetic </w:t>
            </w:r>
            <w:r w:rsidRPr="00537FE7">
              <w:rPr>
                <w:rFonts w:asciiTheme="majorHAnsi" w:hAnsiTheme="majorHAnsi" w:cstheme="majorHAnsi"/>
                <w:color w:val="000000" w:themeColor="text1"/>
                <w:sz w:val="16"/>
                <w:szCs w:val="16"/>
              </w:rPr>
              <w:t>remodelling of histones and chr</w:t>
            </w:r>
            <w:r w:rsidR="00F36E50" w:rsidRPr="00537FE7">
              <w:rPr>
                <w:rFonts w:asciiTheme="majorHAnsi" w:hAnsiTheme="majorHAnsi" w:cstheme="majorHAnsi"/>
                <w:color w:val="000000" w:themeColor="text1"/>
                <w:sz w:val="16"/>
                <w:szCs w:val="16"/>
              </w:rPr>
              <w:t>o</w:t>
            </w:r>
            <w:r w:rsidRPr="00537FE7">
              <w:rPr>
                <w:rFonts w:asciiTheme="majorHAnsi" w:hAnsiTheme="majorHAnsi" w:cstheme="majorHAnsi"/>
                <w:color w:val="000000" w:themeColor="text1"/>
                <w:sz w:val="16"/>
                <w:szCs w:val="16"/>
              </w:rPr>
              <w:t>matin.</w:t>
            </w:r>
          </w:p>
          <w:p w14:paraId="7DBEA82C" w14:textId="77777777" w:rsidR="003161F8" w:rsidRPr="00537FE7" w:rsidRDefault="003161F8" w:rsidP="00C93EF9">
            <w:pPr>
              <w:rPr>
                <w:rFonts w:asciiTheme="majorHAnsi" w:hAnsiTheme="majorHAnsi" w:cstheme="majorHAnsi"/>
                <w:color w:val="000000" w:themeColor="text1"/>
                <w:sz w:val="16"/>
                <w:szCs w:val="16"/>
              </w:rPr>
            </w:pPr>
          </w:p>
          <w:p w14:paraId="1646A6AC" w14:textId="77777777" w:rsidR="003161F8" w:rsidRPr="00537FE7" w:rsidRDefault="003161F8" w:rsidP="00C93EF9">
            <w:pPr>
              <w:rPr>
                <w:rFonts w:asciiTheme="majorHAnsi" w:hAnsiTheme="majorHAnsi" w:cstheme="majorHAnsi"/>
                <w:color w:val="000000" w:themeColor="text1"/>
                <w:sz w:val="16"/>
                <w:szCs w:val="16"/>
              </w:rPr>
            </w:pPr>
            <w:r w:rsidRPr="00537FE7">
              <w:rPr>
                <w:rFonts w:asciiTheme="majorHAnsi" w:hAnsiTheme="majorHAnsi" w:cstheme="majorHAnsi"/>
                <w:color w:val="000000" w:themeColor="text1"/>
                <w:sz w:val="16"/>
                <w:szCs w:val="16"/>
                <w:shd w:val="clear" w:color="auto" w:fill="FFFFFF"/>
              </w:rPr>
              <w:t xml:space="preserve">AUTS2 regulates </w:t>
            </w:r>
            <w:proofErr w:type="spellStart"/>
            <w:r w:rsidRPr="00537FE7">
              <w:rPr>
                <w:rFonts w:asciiTheme="majorHAnsi" w:hAnsiTheme="majorHAnsi" w:cstheme="majorHAnsi"/>
                <w:color w:val="000000" w:themeColor="text1"/>
                <w:sz w:val="16"/>
                <w:szCs w:val="16"/>
                <w:shd w:val="clear" w:color="auto" w:fill="FFFFFF"/>
              </w:rPr>
              <w:t>neuritogenesis</w:t>
            </w:r>
            <w:proofErr w:type="spellEnd"/>
            <w:r w:rsidRPr="00537FE7">
              <w:rPr>
                <w:rFonts w:asciiTheme="majorHAnsi" w:hAnsiTheme="majorHAnsi" w:cstheme="majorHAnsi"/>
                <w:color w:val="000000" w:themeColor="text1"/>
                <w:sz w:val="16"/>
                <w:szCs w:val="16"/>
                <w:shd w:val="clear" w:color="auto" w:fill="FFFFFF"/>
              </w:rPr>
              <w:t xml:space="preserve"> via activation of Rac1 signalling and is involved in neural migration during embryo development.</w:t>
            </w:r>
          </w:p>
          <w:p w14:paraId="2F74C7F6" w14:textId="77777777" w:rsidR="003161F8" w:rsidRPr="00537FE7" w:rsidRDefault="003161F8" w:rsidP="00C93EF9">
            <w:pPr>
              <w:rPr>
                <w:rFonts w:asciiTheme="majorHAnsi" w:hAnsiTheme="majorHAnsi" w:cstheme="majorHAnsi"/>
                <w:color w:val="000000" w:themeColor="text1"/>
                <w:sz w:val="16"/>
                <w:szCs w:val="16"/>
              </w:rPr>
            </w:pPr>
          </w:p>
        </w:tc>
        <w:tc>
          <w:tcPr>
            <w:tcW w:w="1585" w:type="dxa"/>
          </w:tcPr>
          <w:p w14:paraId="2E27FA0A" w14:textId="77777777" w:rsidR="00CC44D3" w:rsidRPr="00517FC6" w:rsidRDefault="00EF24D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t>Autism Spectrum Disorder (ASD)</w:t>
            </w:r>
            <w:r w:rsidR="00842FDD" w:rsidRPr="00517FC6">
              <w:rPr>
                <w:rFonts w:asciiTheme="majorHAnsi" w:hAnsiTheme="majorHAnsi" w:cstheme="majorHAnsi"/>
                <w:color w:val="000000" w:themeColor="text1"/>
                <w:sz w:val="16"/>
                <w:szCs w:val="16"/>
              </w:rPr>
              <w:t>, Schizophrenia</w:t>
            </w:r>
          </w:p>
          <w:p w14:paraId="4EB02B06" w14:textId="77777777" w:rsidR="00090EC4" w:rsidRPr="00517FC6" w:rsidRDefault="00090EC4" w:rsidP="00C93EF9">
            <w:pPr>
              <w:rPr>
                <w:rFonts w:asciiTheme="majorHAnsi" w:hAnsiTheme="majorHAnsi" w:cstheme="majorHAnsi"/>
                <w:color w:val="000000" w:themeColor="text1"/>
                <w:sz w:val="16"/>
                <w:szCs w:val="16"/>
              </w:rPr>
            </w:pPr>
          </w:p>
          <w:p w14:paraId="576F5367" w14:textId="43CD10B4" w:rsidR="00090EC4" w:rsidRPr="00517FC6" w:rsidRDefault="00090EC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t>Autosomal Dominant</w:t>
            </w:r>
          </w:p>
        </w:tc>
        <w:tc>
          <w:tcPr>
            <w:tcW w:w="1574" w:type="dxa"/>
          </w:tcPr>
          <w:p w14:paraId="64DF8888" w14:textId="77777777" w:rsidR="00CC44D3" w:rsidRPr="00517FC6" w:rsidRDefault="00C97C9E"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t xml:space="preserve">Ubiquitous expression across most bodily tissues </w:t>
            </w:r>
            <w:r w:rsidRPr="00517FC6">
              <w:rPr>
                <w:rFonts w:asciiTheme="majorHAnsi" w:hAnsiTheme="majorHAnsi" w:cstheme="majorHAnsi"/>
                <w:color w:val="000000" w:themeColor="text1"/>
                <w:sz w:val="16"/>
                <w:szCs w:val="16"/>
              </w:rPr>
              <w:lastRenderedPageBreak/>
              <w:t>including brain (RPKM: 1.9</w:t>
            </w:r>
            <w:r w:rsidR="0055400D" w:rsidRPr="00517FC6">
              <w:rPr>
                <w:rFonts w:asciiTheme="majorHAnsi" w:hAnsiTheme="majorHAnsi" w:cstheme="majorHAnsi"/>
                <w:color w:val="000000" w:themeColor="text1"/>
                <w:sz w:val="16"/>
                <w:szCs w:val="16"/>
              </w:rPr>
              <w:t xml:space="preserve">5) </w:t>
            </w:r>
            <w:r w:rsidRPr="00517FC6">
              <w:rPr>
                <w:rFonts w:asciiTheme="majorHAnsi" w:hAnsiTheme="majorHAnsi" w:cstheme="majorHAnsi"/>
                <w:color w:val="000000" w:themeColor="text1"/>
                <w:sz w:val="16"/>
                <w:szCs w:val="16"/>
              </w:rPr>
              <w:t>brain</w:t>
            </w:r>
            <w:r w:rsidR="0055400D" w:rsidRPr="00517FC6">
              <w:rPr>
                <w:rFonts w:asciiTheme="majorHAnsi" w:hAnsiTheme="majorHAnsi" w:cstheme="majorHAnsi"/>
                <w:color w:val="000000" w:themeColor="text1"/>
                <w:sz w:val="16"/>
                <w:szCs w:val="16"/>
              </w:rPr>
              <w:t>.</w:t>
            </w:r>
          </w:p>
          <w:p w14:paraId="6E85BBBF" w14:textId="77777777" w:rsidR="00B0146C" w:rsidRPr="00517FC6" w:rsidRDefault="00B0146C" w:rsidP="00C93EF9">
            <w:pPr>
              <w:rPr>
                <w:rFonts w:asciiTheme="majorHAnsi" w:hAnsiTheme="majorHAnsi" w:cstheme="majorHAnsi"/>
                <w:color w:val="000000" w:themeColor="text1"/>
                <w:sz w:val="16"/>
                <w:szCs w:val="16"/>
              </w:rPr>
            </w:pPr>
          </w:p>
          <w:p w14:paraId="1B806F46" w14:textId="77777777" w:rsidR="00B0146C" w:rsidRPr="00517FC6" w:rsidRDefault="00842FDD" w:rsidP="00C93EF9">
            <w:pPr>
              <w:rPr>
                <w:rFonts w:asciiTheme="majorHAnsi" w:hAnsiTheme="majorHAnsi" w:cstheme="majorHAnsi"/>
                <w:color w:val="000000" w:themeColor="text1"/>
                <w:sz w:val="16"/>
                <w:szCs w:val="16"/>
              </w:rPr>
            </w:pPr>
            <w:r w:rsidRPr="00517FC6">
              <w:rPr>
                <w:rFonts w:asciiTheme="majorHAnsi" w:hAnsiTheme="majorHAnsi" w:cstheme="majorHAnsi"/>
                <w:b/>
                <w:bCs/>
                <w:color w:val="000000" w:themeColor="text1"/>
                <w:sz w:val="16"/>
                <w:szCs w:val="16"/>
              </w:rPr>
              <w:t>N.B.</w:t>
            </w:r>
            <w:r w:rsidRPr="00517FC6">
              <w:rPr>
                <w:rFonts w:asciiTheme="majorHAnsi" w:hAnsiTheme="majorHAnsi" w:cstheme="majorHAnsi"/>
                <w:color w:val="000000" w:themeColor="text1"/>
                <w:sz w:val="16"/>
                <w:szCs w:val="16"/>
              </w:rPr>
              <w:t xml:space="preserve"> Homozygous LOF mutation unviable in mice.</w:t>
            </w:r>
          </w:p>
        </w:tc>
        <w:tc>
          <w:tcPr>
            <w:tcW w:w="1281" w:type="dxa"/>
          </w:tcPr>
          <w:p w14:paraId="29397EAA" w14:textId="09F25474" w:rsidR="00CC44D3" w:rsidRPr="00517FC6" w:rsidRDefault="0056785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fldChar w:fldCharType="begin" w:fldLock="1"/>
            </w:r>
            <w:r w:rsidR="003329D5">
              <w:rPr>
                <w:rFonts w:asciiTheme="majorHAnsi" w:hAnsiTheme="majorHAnsi" w:cstheme="majorHAnsi"/>
                <w:color w:val="000000" w:themeColor="text1"/>
                <w:sz w:val="16"/>
                <w:szCs w:val="16"/>
              </w:rPr>
              <w:instrText xml:space="preserve">ADDIN CSL_CITATION {"citationItems":[{"id":"ITEM-1","itemData":{"DOI":"10.1038/nature13921","ISSN":"14764687","abstract":"Naturally occurring variations of Polycomb repressive complex 1 (PRC1) comprise a core assembly of Polycomb group proteins and additional factors that include, surprisingly, autism susceptibility candidate 2 (AUTS2). Although AUTS2 is often disrupted in patients withneuronal disorders, themechanism underlying the pathogenesis is unclear.Weinvestigated the role ofAUTS2 as part of a previously identified PRC1 complex (PRC1-AUTS2), and in the context of neurodevelopment. In contrast to the canonical role of PRC1 in gene repression, PRC1-AUTS2 activates transcription. Biochemical studies demonstrate that the CK2 component of PRC1-AUTS2 neutralizes PRC1 repressive activity, whereas AUTS2-mediated recruitment of P300 leads to gene activation.Chromatin immunoprecipitation followed by sequencing (ChIP-seq) demonstrated that AUTS2 regulates neuronal gene expression through promoter association. Conditional targeting of Auts2 in the mouse central nervous system (CNS) leads to various developmental defects. These findings reveal a natural means of subverting PRC1 activity, linking key epigenetic modulators with neuronal functions and diseases.","author":[{"dropping-particle":"","family":"Gao","given":"Zhonghua","non-dropping-particle":"","parse-names":false,"suffix":""},{"dropping-particle":"","family":"Lee","given":"Pedro","non-dropping-particle":"","parse-names":false,"suffix":""},{"dropping-particle":"","family":"Stafford","given":"James M.","non-dropping-particle":"","parse-names":false,"suffix":""},{"dropping-particle":"Von","family":"Schimmelmann","given":"Melanie","non-dropping-particle":"","parse-names":false,"suffix":""},{"dropping-particle":"","family":"Schaefer","given":"Anne","non-dropping-particle":"","parse-names":false,"suffix":""},{"dropping-particle":"","family":"Reinberg","given":"Danny","non-dropping-particle":"","parse-names":false,"suffix":""}],"container-title":"Nature","id":"ITEM-1","issue":"7531","issued":{"date-parts":[["2014","12","18"]]},"page":"349-354","publisher":"Nature Publishing Group","title":"An AUTS2-Polycomb complex activates gene expression in the CNS","type":"article-journal","volume":"516"},"uris":["http://www.mendeley.com/documents/?uuid=6745b821-058f-3b8b-bb79-794cbdf4c132"]},{"id":"ITEM-2","itemData":{"DOI":"10.1371/journal.pgen.1003221","ISSN":"1553-7404","abstract":"Nucleotide changes in the AUTS2 locus, some of which affect only noncoding regions, are associated with autism and other neurological disorders, including attention deficit hyperactivity disorder, epilepsy, dyslexia, motor delay, language delay, visual impairment, microcephaly, and alcohol consumption. In addition, AUTS2 contains the most significantly accelerated genomic region differentiating humans from Neanderthals, which is primarily composed of noncoding variants. However, the function and regulation of this gene remain largely unknown. To characterize auts2 function, we knocked it down in zebrafish, leading to a smaller head size, neuronal reduction, and decreased mobility. To characterize AUTS2 regulatory elements, we tested sequences for enhancer activity in zebrafish and mice. We identified 23 functional zebrafish enhancers, 10 of which were active in the brain. Our mouse enhancer assays characterized three mouse brain enhancers that overlap an ASD-associated deletion and four mouse enhancers that reside in regions implicated in human evolution, two of which are active in the brain. Combined, our results show that AUTS2 is important for neurodevelopment and expose candidate enhancer sequences in which nucleotide variation could lead to neurological disease and human-specific traits. © 2013 Oksenberg et al.","author":[{"dropping-particle":"","family":"Oksenberg","given":"Nir","non-dropping-particle":"","parse-names":false,"suffix":""},{"dropping-particle":"","family":"Stevison","given":"Laurie","non-dropping-particle":"","parse-names":false,"suffix":""},{"dropping-particle":"","family":"Wall","given":"Jeffrey D.","non-dropping-particle":"","parse-names":false,"suffix":""},{"dropping-particle":"","family":"Ahituv","given":"Nadav","non-dropping-particle":"","parse-names":false,"suffix":""}],"container-title":"PLoS Genetics","editor":[{"dropping-particle":"","family":"Noonan","given":"James","non-dropping-particle":"","parse-names":false,"suffix":""}],"id":"ITEM-2","issue":"1","issued":{"date-parts":[["2013","1","17"]]},"page":"e1003221","publisher":"Public Library of Science","title":"Function and Regulation of AUTS2, a Gene Implicated in Autism and Human Evolution","type":"article-journal","volume":"9"},"uris":["http://www.mendeley.com/documents/?uuid=428ceb68-5c57-38e3-8a84-fec13c3e840e"]},{"id":"ITEM-3","itemData":{"DOI":"10.1038/mp.2014.29","ISSN":"14765578","abstract":"Schizophrenia is a serious psychiatric disorder with a broadly undiscovered genetic etiology. Recent studies of de novo mutations (DNMs) in schizophrenia and autism have reinforced the hypothesis that rare genetic variation contributes to risk. We carried out exome sequencing on 57 trios with sporadic or familial schizophrenia. In sporadic trios, we observed a </w:instrText>
            </w:r>
            <w:r w:rsidR="003329D5">
              <w:rPr>
                <w:rFonts w:ascii="Cambria Math" w:hAnsi="Cambria Math" w:cs="Cambria Math"/>
                <w:color w:val="000000" w:themeColor="text1"/>
                <w:sz w:val="16"/>
                <w:szCs w:val="16"/>
              </w:rPr>
              <w:instrText>∼</w:instrText>
            </w:r>
            <w:r w:rsidR="003329D5">
              <w:rPr>
                <w:rFonts w:asciiTheme="majorHAnsi" w:hAnsiTheme="majorHAnsi" w:cstheme="majorHAnsi"/>
                <w:color w:val="000000" w:themeColor="text1"/>
                <w:sz w:val="16"/>
                <w:szCs w:val="16"/>
              </w:rPr>
              <w:instrText>3.5-fold increase in the proportion of nonsense DNMs (0.101 vs 0.031, empirical P=0.01, Benjamini-Hochberg-corrected P=0.044). These mutations were significantly more likely to occur in genes with highly ranked probabilities of haploinsufficiency (P=0.0029, corrected P=0.006). DNMs of potential functional consequence were also found to occur in genes predicted to be less tolerant to rare variation (P=2.01 × 10-5, corrected P=2.1 × 10-3). Genes with DNMs overlapped with genes implicated in autism (for example, AUTS2, CHD8 and MECP2) and intellectual disability (for example, HUWE1 and TRAPPC9), supporting a shared genetic etiology between these disorders. Functionally CHD8, MECP2 and HUWE1 converge on epigenetic regulation of transcription suggesting that this may be an important risk mechanism. Our results were consistent in an analysis of additional exome-based sequencing studies of other neurodevelopmental disorders. These findings suggest that perturbations in genes, which function in the epigenetic regulation of brain development and cognition, could have a central role in the susceptibility to, pathogenesis and treatment of mental disorders. © 2014 Macmillan Publishers Limited.","author":[{"dropping-particle":"","family":"McCarthy","given":"S. E.","non-dropping-particle":"","parse-names":false,"suffix":""},{"dropping-particle":"","family":"Gillis","given":"J.","non-dropping-particle":"","parse-names":false,"suffix":""},{"dropping-particle":"","family":"Kramer","given":"M.","non-dropping-particle":"","parse-names":false,"suffix":""},{"dropping-particle":"","family":"Lihm","given":"J.","non-dropping-particle":"","parse-names":false,"suffix":""},{"dropping-particle":"","family":"Yoon","given":"S.","non-dropping-particle":"","parse-names":false,"suffix":""},{"dropping-particle":"","family":"Berstein","given":"Y.","non-dropping-particle":"","parse-names":false,"suffix":""},{"dropping-particle":"","family":"Mistry","given":"M.","non-dropping-particle":"","parse-names":false,"suffix":""},{"dropping-particle":"","family":"Pavlidis","given":"P.","non-dropping-particle":"","parse-names":false,"suffix":""},{"dropping-particle":"","family":"Solomon","given":"R.","non-dropping-particle":"","parse-names":false,"suffix":""},{"dropping-particle":"","family":"Ghiban","given":"E.","non-dropping-particle":"","parse-names":false,"suffix":""},{"dropping-particle":"","family":"Antoniou","given":"E.","non-dropping-particle":"","parse-names":false,"suffix":""},{"dropping-particle":"","family":"Kelleher","given":"E.","non-dropping-particle":"","parse-names":false,"suffix":""},{"dropping-particle":"","family":"O'Brien","given":"C.","non-dropping-particle":"","parse-names":false,"suffix":""},{"dropping-particle":"","family":"Donohoe","given":"G.","non-dropping-particle":"","parse-names":false,"suffix":""},{"dropping-particle":"","family":"Gill","given":"M.","non-dropping-particle":"","parse-names":false,"suffix":""},{"dropping-particle":"","family":"Morris","given":"D. W.","non-dropping-particle":"","parse-names":false,"suffix":""},{"dropping-particle":"","family":"McCombie","given":"W. R.","non-dropping-particle":"","parse-names":false,"suffix":""},{"dropping-particle":"","family":"Corvin","given":"A.","non-dropping-particle":"","parse-names":false,"suffix":""}],"container-title":"Molecular Psychiatry","id":"ITEM-3","issue":"6","issued":{"date-parts":[["2014"]]},"page":"652-658","publisher":"Nature Publishing Group","title":"De novo mutations in schizophrenia implicate chromatin remodeling and support a genetic overlap with autism and intellectual disability","type":"article-journal","volume":"19"},"uris":["http://www.mendeley.com/documents/?uuid=3e0c647a-a9de-3cc5-8bd6-61f5d54bf60d"]},{"id":"ITEM-4","itemData":{"DOI":"10.3390/ijms151119406","ISSN":"14220067","abstract":"Schizophrenia (SCZ) is a severe and debilitating mental disorder, and the specific genetic factors that underlie the risk for SCZ remain elusive. The autism susceptibility candidate 2 (AUTS2) gene has been reported to be associated with autism, suicide, alcohol consumption, and heroin dependence. We hypothesized that AUTS2 might be associated with SCZ. In the present study, three polymorphisms (rs6943555, rs7459368, and rs9886351) in the AUTS2 gene were genotyped in 410 patients with SCZ and 435 controls using polymerase chain reaction-restriction fragment length polymorphism (PCR-RFLP) and forced PCR-RFLP methods. We detected an association between SCZ and the rs6943555 genotype distribution (odds ratio (OR) = 1.363, 95% confidence interval (CI): 0.848-2.191, p = 0.001). The association remained significant after adjusting for gender, and a significant effect (p = 0.001) was observed among the females. In the present study, rs6943555 was determined to be associated with female SCZ. Our results confirm previous reports which have suggested that rs6943555 might elucidate the pathogenesis of schizophrenia and play an important role in its etiology.","author":[{"dropping-particle":"","family":"Zhang","given":"Bao","non-dropping-particle":"","parse-names":false,"suffix":""},{"dropping-particle":"","family":"Xu","given":"Yue Hong","non-dropping-particle":"","parse-names":false,"suffix":""},{"dropping-particle":"","family":"Wei","given":"Shu Guang","non-dropping-particle":"","parse-names":false,"suffix":""},{"dropping-particle":"","family":"Zhang","given":"Hong Bo","non-dropping-particle":"","parse-names":false,"suffix":""},{"dropping-particle":"","family":"Fu","given":"Dong Ke","non-dropping-particle":"","parse-names":false,"suffix":""},{"dropping-particle":"","family":"Feng","given":"Zu Fei","non-dropping-particle":"","parse-names":false,"suffix":""},{"dropping-particle":"","family":"Guan","given":"Fang Lin","non-dropping-particle":"","parse-names":false,"suffix":""},{"dropping-particle":"","family":"Zhu","given":"Yong Sheng","non-dropping-particle":"","parse-names":false,"suffix":""},{"dropping-particle":"Bin","family":"Li","given":"Sheng","non-dropping-particle":"","parse-names":false,"suffix":""}],"container-title":"International Journal of Molecular Sciences","id":"ITEM-4","issue":"11","issued":{"date-parts":[["2014","10","24"]]},"page":"19406-19416","publisher":"MDPI AG","title":"Association study identifying a new susceptibility gene (AUTS2) for Schizophrenia","type":"article-journal","volume":"15"},"uris":["http://www.mendeley.com/documents/?uuid=ea655446-32b5-3467-9e78-5ac002016fee"]},{"id":"ITEM-5","itemData":{"DOI":"10.3390/brainsci7050054","ISSN":"2076-3425","PMID":"28505103","abstract":"Neuronal migration is one of the pivotal steps to form a functional brain, and disorganization of this process is believed to underlie the pathology of psychiatric disorders including schizophrenia, autism spectrum disorders (ASD) and epilepsy. However, it is not clear how abnormal neuronal migration causes mental dysfunction. Recently, a key gene for various psychiatric diseases, the Autism susceptibility candidate 2 (AUTS2), has been shown to regulate neuronal migration, which gives new insight into understanding this question. Interestingly, the AUTS2 protein has dual functions: Cytoplasmic AUTS2 regulates actin cytoskeleton to control neuronal migration and neurite extension, while nuclear AUTS2 controls transcription of various genes as a component of the polycomb complex 1 (PRC1). In this review, we discuss AUTS2 from the viewpoint of human genetics, molecular function, brain development, and behavior in animal models, focusing on its role in neuronal migration.","author":[{"dropping-particle":"","family":"Hori","given":"Kei","non-dropping-particle":"","parse-names":false,"suffix":""},{"dropping-particle":"","family":"Hoshino","given":"Mikio","non-dropping-particle":"","parse-names":false,"suffix":""}],"container-title":"Brain sciences","id":"ITEM-5","issue":"5","issued":{"date-parts":[["2017","5","14"]]},"publisher":"MDPI AG","title":"Neuronal Migration and AUTS2 Syndrome.","type":"article-journal","volume":"7"},"uris":["http://www.mendeley.com/documents/?uuid=74a9c7a1-f516-3c48-a149-2e04727f7bd4"]},{"id":"ITEM-6","itemData":{"DOI":"10.1016/j.gep.2009.11.005","ISSN":"1567133X","PMID":"19948250","abstract":"Autism susceptibility candidate 2 (Auts2) is a gene associated with autism and mental retardation, whose function is unknown. Expression of Auts2 mRNA and protein were studied in the developing mouse brain by in situ hybridization, immunohistochemistry, and western blotting. Auts2 mRNA was highly expressed in the developing cerebral cortex and cerebellum, regions often affected by neuropathological changes in autism, and a few other brain regions. On embryonic day (E) 12, Auts2 mRNA was expressed in the cortical preplate, where it colocalized with Tbr1, a transcription factor specific for postmitotic projection neurons. From E16 to postnatal day 21, Auts2 was expressed most abundantly in frontal cortex, hippocampus and cerebellum, including Purkinje cells and deep nuclei. High levels of Auts2 were also detected in developing dorsal thalamus, olfactory bulb, inferior colliculus and substantia nigra. Auts2 protein showed similar regional expression patterns as the mRNA. At the cellular level, Auts2 protein was localized in the nuclei of neurons and some neuronal progenitors. © 2009 Elsevier B.V. All rights reserved.","author":[{"dropping-particle":"","family":"Bedogni","given":"Francesco","non-dropping-particle":"","parse-names":false,"suffix":""},{"dropping-particle":"","family":"Hodge","given":"Rebecca D.","non-dropping-particle":"","parse-names":false,"suffix":""},{"dropping-particle":"","family":"Nelson","given":"Branden R.","non-dropping-particle":"","parse-names":false,"suffix":""},{"dropping-particle":"","family":"Frederick","given":"Erika A.","non-dropping-particle":"","parse-names":false,"suffix":""},{"dropping-particle":"","family":"Shiba","given":"Naoko","non-dropping-particle":"","parse-names":false,"suffix":""},{"dropping-particle":"","family":"Daza","given":"Ray A.","non-dropping-particle":"","parse-names":false,"suffix":""},{"dropping-particle":"","family":"Hevner","given":"Robert F.","non-dropping-particle":"","parse-names":false,"suffix":""}],"container-title":"Gene Expression Patterns","id":"ITEM-6","issue":"1","issued":{"date-parts":[["2010","1"]]},"page":"9-15","title":"Autism susceptibility candidate 2 (Auts2) encodes a nuclear protein expressed in developing brain regions implicated in autism neuropathology","type":"article-journal","volume":"10"},"uris":["http://www.mendeley.com/documents/?uuid=62f2705d-5aa9-3368-854a-999b9211392c"]}],"mendeley":{"formattedCitation":"&lt;sup&gt;15–20&lt;/sup&gt;","plainTextFormattedCitation":"15–20","previouslyFormattedCitation":"(Bedogni &lt;i&gt;et al.&lt;/i&gt;, 2010; Oksenberg &lt;i&gt;et al.&lt;/i&gt;, 2013; Gao &lt;i&gt;et al.&lt;/i&gt;, 2014; McCarthy &lt;i&gt;et al.&lt;/i&gt;, 2014; Zhang &lt;i&gt;et al.&lt;/i&gt;, 2014; Hori and Hoshino, 2017)"},"properties":{"noteIndex":0},"schema":"https://github.com/citation-style-language/schema/raw/master/csl-citation.json"}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15–20</w:t>
            </w:r>
            <w:r w:rsidRPr="00517FC6">
              <w:rPr>
                <w:rFonts w:asciiTheme="majorHAnsi" w:hAnsiTheme="majorHAnsi" w:cstheme="majorHAnsi"/>
                <w:color w:val="000000" w:themeColor="text1"/>
                <w:sz w:val="16"/>
                <w:szCs w:val="16"/>
              </w:rPr>
              <w:fldChar w:fldCharType="end"/>
            </w:r>
          </w:p>
        </w:tc>
        <w:tc>
          <w:tcPr>
            <w:tcW w:w="1877" w:type="dxa"/>
          </w:tcPr>
          <w:p w14:paraId="1DBCF602" w14:textId="77777777" w:rsidR="00CC44D3" w:rsidRPr="00517FC6" w:rsidRDefault="005511BA"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Implicated in neurodevelopment and as a candidate gene for numerous neurological </w:t>
            </w:r>
            <w:r w:rsidRPr="00517FC6">
              <w:rPr>
                <w:rFonts w:asciiTheme="majorHAnsi" w:hAnsiTheme="majorHAnsi" w:cstheme="majorHAnsi"/>
                <w:color w:val="000000" w:themeColor="text1"/>
                <w:sz w:val="16"/>
                <w:szCs w:val="16"/>
              </w:rPr>
              <w:lastRenderedPageBreak/>
              <w:t>disorders, including autism spectrum disorders, intellectual disability, and developmental delay.</w:t>
            </w:r>
          </w:p>
        </w:tc>
      </w:tr>
      <w:tr w:rsidR="00517FC6" w:rsidRPr="00517FC6" w14:paraId="5A948CC7" w14:textId="77777777" w:rsidTr="00C93EF9">
        <w:tc>
          <w:tcPr>
            <w:tcW w:w="1286" w:type="dxa"/>
          </w:tcPr>
          <w:p w14:paraId="44B420F0"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lastRenderedPageBreak/>
              <w:t>GRIA3</w:t>
            </w:r>
          </w:p>
        </w:tc>
        <w:tc>
          <w:tcPr>
            <w:tcW w:w="1998" w:type="dxa"/>
          </w:tcPr>
          <w:p w14:paraId="4D60736C" w14:textId="77777777" w:rsidR="00CC44D3"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Glutamate Ionotropic Receptor AMPA Type Subunit 3</w:t>
            </w:r>
          </w:p>
        </w:tc>
        <w:tc>
          <w:tcPr>
            <w:tcW w:w="1419" w:type="dxa"/>
          </w:tcPr>
          <w:p w14:paraId="0838E715" w14:textId="77777777" w:rsidR="0055400D"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GLUR3</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GLURC</w:t>
            </w:r>
            <w:r w:rsidR="00103ABC" w:rsidRPr="00517FC6">
              <w:rPr>
                <w:rFonts w:asciiTheme="majorHAnsi" w:hAnsiTheme="majorHAnsi" w:cstheme="majorHAnsi"/>
                <w:i/>
                <w:iCs/>
                <w:color w:val="000000" w:themeColor="text1"/>
                <w:sz w:val="16"/>
                <w:szCs w:val="16"/>
              </w:rPr>
              <w:t xml:space="preserve">, </w:t>
            </w:r>
            <w:r w:rsidR="0055400D" w:rsidRPr="00517FC6">
              <w:rPr>
                <w:rFonts w:asciiTheme="majorHAnsi" w:hAnsiTheme="majorHAnsi" w:cstheme="majorHAnsi"/>
                <w:i/>
                <w:iCs/>
                <w:color w:val="000000" w:themeColor="text1"/>
                <w:sz w:val="16"/>
                <w:szCs w:val="16"/>
              </w:rPr>
              <w:t>MRX94</w:t>
            </w:r>
          </w:p>
        </w:tc>
        <w:tc>
          <w:tcPr>
            <w:tcW w:w="2268" w:type="dxa"/>
          </w:tcPr>
          <w:p w14:paraId="0A05B2E0" w14:textId="77777777" w:rsidR="00CC44D3" w:rsidRPr="00517FC6" w:rsidRDefault="00F36E50"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G</w:t>
            </w:r>
            <w:r w:rsidR="00E601A9" w:rsidRPr="00517FC6">
              <w:rPr>
                <w:rFonts w:asciiTheme="majorHAnsi" w:hAnsiTheme="majorHAnsi" w:cstheme="majorHAnsi"/>
                <w:color w:val="000000" w:themeColor="text1"/>
                <w:sz w:val="16"/>
                <w:szCs w:val="16"/>
              </w:rPr>
              <w:t>lutamate</w:t>
            </w:r>
            <w:r w:rsidRPr="00517FC6">
              <w:rPr>
                <w:rFonts w:asciiTheme="majorHAnsi" w:hAnsiTheme="majorHAnsi" w:cstheme="majorHAnsi"/>
                <w:color w:val="000000" w:themeColor="text1"/>
                <w:sz w:val="16"/>
                <w:szCs w:val="16"/>
              </w:rPr>
              <w:t xml:space="preserve"> receptor</w:t>
            </w:r>
            <w:r w:rsidR="00E601A9" w:rsidRPr="00517FC6">
              <w:rPr>
                <w:rFonts w:asciiTheme="majorHAnsi" w:hAnsiTheme="majorHAnsi" w:cstheme="majorHAnsi"/>
                <w:color w:val="000000" w:themeColor="text1"/>
                <w:sz w:val="16"/>
                <w:szCs w:val="16"/>
              </w:rPr>
              <w:t xml:space="preserve"> that functions as ligand-gated ion channel in the central nervous system</w:t>
            </w:r>
            <w:r w:rsidRPr="00517FC6">
              <w:rPr>
                <w:rFonts w:asciiTheme="majorHAnsi" w:hAnsiTheme="majorHAnsi" w:cstheme="majorHAnsi"/>
                <w:color w:val="000000" w:themeColor="text1"/>
                <w:sz w:val="16"/>
                <w:szCs w:val="16"/>
              </w:rPr>
              <w:t xml:space="preserve">. It </w:t>
            </w:r>
            <w:r w:rsidR="00E601A9" w:rsidRPr="00517FC6">
              <w:rPr>
                <w:rFonts w:asciiTheme="majorHAnsi" w:hAnsiTheme="majorHAnsi" w:cstheme="majorHAnsi"/>
                <w:color w:val="000000" w:themeColor="text1"/>
                <w:sz w:val="16"/>
                <w:szCs w:val="16"/>
              </w:rPr>
              <w:t>plays an important role in excitatory synaptic transmission.</w:t>
            </w:r>
          </w:p>
          <w:p w14:paraId="17ABEF3A" w14:textId="77777777" w:rsidR="00DA30C4" w:rsidRPr="00517FC6" w:rsidRDefault="00DA30C4" w:rsidP="00C93EF9">
            <w:pPr>
              <w:rPr>
                <w:rFonts w:asciiTheme="majorHAnsi" w:hAnsiTheme="majorHAnsi" w:cstheme="majorHAnsi"/>
                <w:color w:val="000000" w:themeColor="text1"/>
                <w:sz w:val="16"/>
                <w:szCs w:val="16"/>
              </w:rPr>
            </w:pPr>
          </w:p>
          <w:p w14:paraId="3A055239" w14:textId="77777777" w:rsidR="00DA30C4" w:rsidRPr="00517FC6" w:rsidRDefault="00DA30C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Codes for AMPA receptor subunit. </w:t>
            </w:r>
          </w:p>
          <w:p w14:paraId="7930197D" w14:textId="77777777" w:rsidR="00B56437" w:rsidRPr="00517FC6" w:rsidRDefault="00B56437" w:rsidP="00C93EF9">
            <w:pPr>
              <w:rPr>
                <w:rFonts w:asciiTheme="majorHAnsi" w:hAnsiTheme="majorHAnsi" w:cstheme="majorHAnsi"/>
                <w:color w:val="000000" w:themeColor="text1"/>
                <w:sz w:val="16"/>
                <w:szCs w:val="16"/>
              </w:rPr>
            </w:pPr>
          </w:p>
          <w:p w14:paraId="454EC6DF" w14:textId="77777777" w:rsidR="00B56437" w:rsidRPr="00517FC6" w:rsidRDefault="00DA30C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Mutations result in absent or diminished GluA3 protein.</w:t>
            </w:r>
          </w:p>
        </w:tc>
        <w:tc>
          <w:tcPr>
            <w:tcW w:w="1585" w:type="dxa"/>
          </w:tcPr>
          <w:p w14:paraId="7A303997" w14:textId="77777777" w:rsidR="00DA30C4"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Mental retardation</w:t>
            </w:r>
            <w:r w:rsidR="005511BA" w:rsidRPr="00517FC6">
              <w:rPr>
                <w:rFonts w:asciiTheme="majorHAnsi" w:hAnsiTheme="majorHAnsi" w:cstheme="majorHAnsi"/>
                <w:color w:val="000000" w:themeColor="text1"/>
                <w:sz w:val="16"/>
                <w:szCs w:val="16"/>
              </w:rPr>
              <w:t xml:space="preserve"> (</w:t>
            </w:r>
            <w:r w:rsidRPr="00517FC6">
              <w:rPr>
                <w:rFonts w:asciiTheme="majorHAnsi" w:hAnsiTheme="majorHAnsi" w:cstheme="majorHAnsi"/>
                <w:color w:val="000000" w:themeColor="text1"/>
                <w:sz w:val="16"/>
                <w:szCs w:val="16"/>
              </w:rPr>
              <w:t xml:space="preserve">X-linked, </w:t>
            </w:r>
            <w:r w:rsidR="0056785D" w:rsidRPr="00517FC6">
              <w:rPr>
                <w:rFonts w:asciiTheme="majorHAnsi" w:hAnsiTheme="majorHAnsi" w:cstheme="majorHAnsi"/>
                <w:color w:val="000000" w:themeColor="text1"/>
                <w:sz w:val="16"/>
                <w:szCs w:val="16"/>
              </w:rPr>
              <w:t>S</w:t>
            </w:r>
            <w:r w:rsidRPr="00517FC6">
              <w:rPr>
                <w:rFonts w:asciiTheme="majorHAnsi" w:hAnsiTheme="majorHAnsi" w:cstheme="majorHAnsi"/>
                <w:color w:val="000000" w:themeColor="text1"/>
                <w:sz w:val="16"/>
                <w:szCs w:val="16"/>
              </w:rPr>
              <w:t xml:space="preserve">yndromic, </w:t>
            </w:r>
            <w:proofErr w:type="spellStart"/>
            <w:r w:rsidRPr="00517FC6">
              <w:rPr>
                <w:rFonts w:asciiTheme="majorHAnsi" w:hAnsiTheme="majorHAnsi" w:cstheme="majorHAnsi"/>
                <w:color w:val="000000" w:themeColor="text1"/>
                <w:sz w:val="16"/>
                <w:szCs w:val="16"/>
              </w:rPr>
              <w:t>wu</w:t>
            </w:r>
            <w:proofErr w:type="spellEnd"/>
            <w:r w:rsidRPr="00517FC6">
              <w:rPr>
                <w:rFonts w:asciiTheme="majorHAnsi" w:hAnsiTheme="majorHAnsi" w:cstheme="majorHAnsi"/>
                <w:color w:val="000000" w:themeColor="text1"/>
                <w:sz w:val="16"/>
                <w:szCs w:val="16"/>
              </w:rPr>
              <w:t xml:space="preserve"> type</w:t>
            </w:r>
            <w:r w:rsidR="005511BA" w:rsidRPr="00517FC6">
              <w:rPr>
                <w:rFonts w:asciiTheme="majorHAnsi" w:hAnsiTheme="majorHAnsi" w:cstheme="majorHAnsi"/>
                <w:color w:val="000000" w:themeColor="text1"/>
                <w:sz w:val="16"/>
                <w:szCs w:val="16"/>
              </w:rPr>
              <w:t xml:space="preserve">), </w:t>
            </w:r>
          </w:p>
          <w:p w14:paraId="271E5B3B" w14:textId="6F745C69" w:rsidR="00DA30C4" w:rsidRPr="00517FC6" w:rsidRDefault="00517FC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Intellectual</w:t>
            </w:r>
            <w:r w:rsidR="00DA30C4" w:rsidRPr="00517FC6">
              <w:rPr>
                <w:rFonts w:asciiTheme="majorHAnsi" w:hAnsiTheme="majorHAnsi" w:cstheme="majorHAnsi"/>
                <w:color w:val="000000" w:themeColor="text1"/>
                <w:sz w:val="16"/>
                <w:szCs w:val="16"/>
              </w:rPr>
              <w:t xml:space="preserve"> Disability,</w:t>
            </w:r>
          </w:p>
          <w:p w14:paraId="529EA632" w14:textId="77777777" w:rsidR="00DA30C4" w:rsidRPr="00517FC6" w:rsidRDefault="00DA30C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ASD,</w:t>
            </w:r>
            <w:r w:rsidR="00B56437" w:rsidRPr="00517FC6">
              <w:rPr>
                <w:rFonts w:asciiTheme="majorHAnsi" w:hAnsiTheme="majorHAnsi" w:cstheme="majorHAnsi"/>
                <w:color w:val="000000" w:themeColor="text1"/>
                <w:sz w:val="16"/>
                <w:szCs w:val="16"/>
              </w:rPr>
              <w:t xml:space="preserve"> Major Depressive Disorder (sleep disturbances),</w:t>
            </w:r>
          </w:p>
          <w:p w14:paraId="2B5ABC1C" w14:textId="77777777" w:rsidR="0055400D" w:rsidRPr="00517FC6" w:rsidRDefault="0055400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Methamphetamine Dependence</w:t>
            </w:r>
            <w:r w:rsidR="0056785D" w:rsidRPr="00517FC6">
              <w:rPr>
                <w:rFonts w:asciiTheme="majorHAnsi" w:hAnsiTheme="majorHAnsi" w:cstheme="majorHAnsi"/>
                <w:color w:val="000000" w:themeColor="text1"/>
                <w:sz w:val="16"/>
                <w:szCs w:val="16"/>
              </w:rPr>
              <w:t xml:space="preserve"> (&amp; a</w:t>
            </w:r>
            <w:r w:rsidRPr="00517FC6">
              <w:rPr>
                <w:rFonts w:asciiTheme="majorHAnsi" w:hAnsiTheme="majorHAnsi" w:cstheme="majorHAnsi"/>
                <w:color w:val="000000" w:themeColor="text1"/>
                <w:sz w:val="16"/>
                <w:szCs w:val="16"/>
              </w:rPr>
              <w:t xml:space="preserve">ssociated </w:t>
            </w:r>
            <w:r w:rsidR="0056785D" w:rsidRPr="00517FC6">
              <w:rPr>
                <w:rFonts w:asciiTheme="majorHAnsi" w:hAnsiTheme="majorHAnsi" w:cstheme="majorHAnsi"/>
                <w:color w:val="000000" w:themeColor="text1"/>
                <w:sz w:val="16"/>
                <w:szCs w:val="16"/>
              </w:rPr>
              <w:t>p</w:t>
            </w:r>
            <w:r w:rsidRPr="00517FC6">
              <w:rPr>
                <w:rFonts w:asciiTheme="majorHAnsi" w:hAnsiTheme="majorHAnsi" w:cstheme="majorHAnsi"/>
                <w:color w:val="000000" w:themeColor="text1"/>
                <w:sz w:val="16"/>
                <w:szCs w:val="16"/>
              </w:rPr>
              <w:t>sychosis</w:t>
            </w:r>
            <w:r w:rsidR="0056785D" w:rsidRPr="00517FC6">
              <w:rPr>
                <w:rFonts w:asciiTheme="majorHAnsi" w:hAnsiTheme="majorHAnsi" w:cstheme="majorHAnsi"/>
                <w:color w:val="000000" w:themeColor="text1"/>
                <w:sz w:val="16"/>
                <w:szCs w:val="16"/>
              </w:rPr>
              <w:t>)</w:t>
            </w:r>
          </w:p>
          <w:p w14:paraId="52EF3FE2" w14:textId="77777777" w:rsidR="00DA30C4" w:rsidRPr="00517FC6" w:rsidRDefault="00DA30C4" w:rsidP="00C93EF9">
            <w:pPr>
              <w:rPr>
                <w:rFonts w:asciiTheme="majorHAnsi" w:hAnsiTheme="majorHAnsi" w:cstheme="majorHAnsi"/>
                <w:color w:val="000000" w:themeColor="text1"/>
                <w:sz w:val="16"/>
                <w:szCs w:val="16"/>
              </w:rPr>
            </w:pPr>
          </w:p>
          <w:p w14:paraId="3F72A668" w14:textId="042B5797" w:rsidR="00DA30C4" w:rsidRPr="00517FC6" w:rsidRDefault="00DA30C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Deletion </w:t>
            </w:r>
            <w:r w:rsidR="00C53A4E" w:rsidRPr="00517FC6">
              <w:rPr>
                <w:rFonts w:asciiTheme="majorHAnsi" w:hAnsiTheme="majorHAnsi" w:cstheme="majorHAnsi"/>
                <w:color w:val="000000" w:themeColor="text1"/>
                <w:sz w:val="16"/>
                <w:szCs w:val="16"/>
              </w:rPr>
              <w:t>or</w:t>
            </w:r>
            <w:r w:rsidRPr="00517FC6">
              <w:rPr>
                <w:rFonts w:asciiTheme="majorHAnsi" w:hAnsiTheme="majorHAnsi" w:cstheme="majorHAnsi"/>
                <w:color w:val="000000" w:themeColor="text1"/>
                <w:sz w:val="16"/>
                <w:szCs w:val="16"/>
              </w:rPr>
              <w:t xml:space="preserve"> duplication can cause ID.</w:t>
            </w:r>
          </w:p>
        </w:tc>
        <w:tc>
          <w:tcPr>
            <w:tcW w:w="1574" w:type="dxa"/>
          </w:tcPr>
          <w:p w14:paraId="2C66AD70" w14:textId="77777777" w:rsidR="00CC44D3" w:rsidRPr="00517FC6" w:rsidRDefault="00681C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Specific </w:t>
            </w:r>
            <w:r w:rsidR="0055400D" w:rsidRPr="00517FC6">
              <w:rPr>
                <w:rFonts w:asciiTheme="majorHAnsi" w:hAnsiTheme="majorHAnsi" w:cstheme="majorHAnsi"/>
                <w:color w:val="000000" w:themeColor="text1"/>
                <w:sz w:val="16"/>
                <w:szCs w:val="16"/>
              </w:rPr>
              <w:t>expression in brain (RPKM: 19.9), adrenal: (RPKM 3.0)</w:t>
            </w:r>
            <w:r w:rsidR="008831BD" w:rsidRPr="00517FC6">
              <w:rPr>
                <w:rFonts w:asciiTheme="majorHAnsi" w:hAnsiTheme="majorHAnsi" w:cstheme="majorHAnsi"/>
                <w:color w:val="000000" w:themeColor="text1"/>
                <w:sz w:val="16"/>
                <w:szCs w:val="16"/>
              </w:rPr>
              <w:t>.</w:t>
            </w:r>
          </w:p>
          <w:p w14:paraId="7A186A5D" w14:textId="77777777" w:rsidR="00F36E50" w:rsidRPr="00517FC6" w:rsidRDefault="00F36E50" w:rsidP="00C93EF9">
            <w:pPr>
              <w:rPr>
                <w:rFonts w:asciiTheme="majorHAnsi" w:hAnsiTheme="majorHAnsi" w:cstheme="majorHAnsi"/>
                <w:color w:val="000000" w:themeColor="text1"/>
                <w:sz w:val="16"/>
                <w:szCs w:val="16"/>
              </w:rPr>
            </w:pPr>
          </w:p>
          <w:p w14:paraId="15B57955" w14:textId="77777777" w:rsidR="008831BD" w:rsidRPr="00517FC6" w:rsidRDefault="008831B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Important in embryonic brain development.</w:t>
            </w:r>
          </w:p>
        </w:tc>
        <w:tc>
          <w:tcPr>
            <w:tcW w:w="1281" w:type="dxa"/>
          </w:tcPr>
          <w:p w14:paraId="6DFC7BFB" w14:textId="3E3B7E5B" w:rsidR="00CC44D3" w:rsidRPr="00517FC6" w:rsidRDefault="0056785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ADDIN CSL_CITATION {"citationItems":[{"id":"ITEM-1","itemData":{"DOI":"10.1177/0269881117750153","ISSN":"14617285","abstract":"Methamphetamine (METH) is an addictive psychostimulant drug commonly leading to schizophrenia-like psychotic symptoms. Disturbances in glutamatergic neurotransmission have been proposed as neurobiological mechanisms and the α-amino-3 hydroxy-5 methyl-4 isoxazole propionic acid (AMPA) glutamate receptor has been implicated in these processes. Moreover, genetic variants in GRIAs, genes encoding AMPA receptor subunits, have been observed in association with both drug dependence and psychosis. We hypothesized that variation of GRIA genes may be associated with METH dependence and METH-induced psychosis. Genotyping of GRIA1 rs1428920, GRIA2 rs3813296, GRIA3 rs3761554, rs502434 and rs989638 was performed in 102 male Thai controls and 100 METH-dependent subjects (53 with METH-dependent psychosis). We observed no evidence of association with METH dependence and METH-dependent psychosis in the GRIA1 and GRIA2 polymorphisms, nor with single polymorphisms rs3761554 and rs989638 in GRIA3. An association of GRIA3 rs502434 was identified with both METH dependence and METH-dependent psychosis, although this did not withstand correction for multiple testing. Combining the analysis of this site with the previously-demonstrated association with BDNF rs6265 resulted in a highly significant effect. These preliminary findings indicate that genetic variability in GRIA3 may interact with a functional BDNF polymorphism to provide a strong risk factor for the development of METH dependence in the Thai population.","author":[{"dropping-particle":"","family":"Iamjan","given":"Sri Arun","non-dropping-particle":"","parse-names":false,"suffix":""},{"dropping-particle":"","family":"Thanoi","given":"Samur","non-dropping-particle":"","parse-names":false,"suffix":""},{"dropping-particle":"","family":"Watiktinkorn","given":"Paritat","non-dropping-particle":"","parse-names":false,"suffix":""},{"dropping-particle":"","family":"Reynolds","given":"Gavin P.","non-dropping-particle":"","parse-names":false,"suffix":""},{"dropping-particle":"","family":"Nudmamud-Thanoi","given":"Sutisa","non-dropping-particle":"","parse-names":false,"suffix":""}],"container-title":"Journal of Psychopharmacology","id":"ITEM-1","issue":"3","issued":{"date-parts":[["2018","3","1"]]},"page":"309-315","publisher":"SAGE Publications Ltd","title":"Genetic variation of GRIA3 gene is associated with vulnerability to methamphetamine dependence and its associated psychosis","type":"article-journal","volume":"32"},"uris":["http://www.mendeley.com/documents/?uuid=ce1bf984-02d5-3ad2-b675-9f1273c06188"]},{"id":"ITEM-2","itemData":{"DOI":"10.1093/hmg/ddx270","ISSN":"14602083","PMID":"29016847","abstract":"The discovery of genetic variants influencing sleep patterns can shed light on the physiological processes underlying sleep. As part of a large clinical sequencing project,WGS500, we sequenced a family in which the twomale children had severe developmental delay and a dramatically disturbed sleep-wake cycle, with very long wake and sleep durations, reaching up to 106-h awake and 48-h asleep. Themost likely causal variant identified was a novelmissense variant in the X-linked GRIA3 gene, which has been implicated in intellectual disability. GRIA3 encodes GluA3, a subunit of AMPA-type ionotropic glutamate receptors (AMPARs). Themutation (A653T) falls within the highly conserved transmembrane domain of the ion channel gate, immediately adjacent to the analogous residue in the Grid2 (glutamate receptor) gene,which ismutated in themouse neurobehavioral mutant, Lurcher. In vitro, the GRIA3(A653T)mutation stabilizes the channel in a closed conformation, in contrast to Lurcher. We introduced the orthologousmutation into amouse strain by CRISPR-Cas9mutagenesis and found that hemizygousmutants displayed significant differences in the structure of their activity and sleep compared to wild-type littermates. Typically,mice are polyphasic, exhibitingmultiple sleep bouts of sleep severalminutes long within a 24-h period. The Gria3A653T mouse showed significantly fewer brief bouts of activity and sleep than the wild-types. Furthermore, Gria3A653Tmice showed enhanced period lengthening under constant light compared to wild-typemice, suggesting an increased sensitivity to light. Our results suggest a role for GluA3 channel activity in the regulation of sleep behavior in bothmice and humans.","author":[{"dropping-particle":"","family":"Davies","given":"Benjamin","non-dropping-particle":"","parse-names":false,"suffix":""},{"dropping-particle":"","family":"Brown","given":"Laurence A.","non-dropping-particle":"","parse-names":false,"suffix":""},{"dropping-particle":"","family":"Cais","given":"Ondrej","non-dropping-particle":"","parse-names":false,"suffix":""},{"dropping-particle":"","family":"Watson","given":"Jake","non-dropping-particle":"","parse-names":false,"suffix":""},{"dropping-particle":"","family":"Clayton","given":"Amber J.","non-dropping-particle":"","parse-names":false,"suffix":""},{"dropping-particle":"","family":"Chang","given":"Veronica T.","non-dropping-particle":"","parse-names":false,"suffix":""},{"dropping-particle":"","family":"Biggs","given":"Daniel","non-dropping-particle":"","parse-names":false,"suffix":""},{"dropping-particle":"","family":"Preece","given":"Christopher","non-dropping-particle":"","parse-names":false,"suffix":""},{"dropping-particle":"","family":"Hernandez-Pliego","given":"Polinka","non-dropping-particle":"","parse-names":false,"suffix":""},{"dropping-particle":"","family":"Krohn","given":"Jon","non-dropping-particle":"","parse-names":false,"suffix":""},{"dropping-particle":"","family":"Bhomra","given":"Amarjit","non-dropping-particle":"","parse-names":false,"suffix":""},{"dropping-particle":"","family":"Twigg","given":"Stephen R.F.","non-dropping-particle":"","parse-names":false,"suffix":""},{"dropping-particle":"","family":"Rimmer","given":"Andrew","non-dropping-particle":"","parse-names":false,"suffix":""},{"dropping-particle":"","family":"Kanapin","given":"Alexander","non-dropping-particle":"","parse-names":false,"suffix":""},{"dropping-particle":"","family":"Sen","given":"Arjune","non-dropping-particle":"","parse-names":false,"suffix":""},{"dropping-particle":"","family":"Zaiwalla","given":"Zenobia","non-dropping-particle":"","parse-names":false,"suffix":""},{"dropping-particle":"","family":"McVean","given":"Gil","non-dropping-particle":"","parse-names":false,"suffix":""},{"dropping-particle":"","family":"Foster","given":"Russell","non-dropping-particle":"","parse-names":false,"suffix":""},{"dropping-particle":"","family":"Donnelly","given":"Peter","non-dropping-particle":"","parse-names":false,"suffix":""},{"dropping-particle":"","family":"Taylor","given":"Jenny C.","non-dropping-particle":"","parse-names":false,"suffix":""},{"dropping-particle":"","family":"Blair","given":"Edward","non-dropping-particle":"","parse-names":false,"suffix":""},{"dropping-particle":"","family":"Nutt","given":"David","non-dropping-particle":"","parse-names":false,"suffix":""},{"dropping-particle":"","family":"Radu Aricescu","given":"A.","non-dropping-particle":"","parse-names":false,"suffix":""},{"dropping-particle":"","family":"Greger","given":"Ingo H.","non-dropping-particle":"","parse-names":false,"suffix":""},{"dropping-particle":"","family":"Peirson","given":"Stuart N.","non-dropping-particle":"","parse-names":false,"suffix":""},{"dropping-particle":"","family":"Flint","given":"Jonathan","non-dropping-particle":"","parse-names":false,"suffix":""},{"dropping-particle":"","family":"Martin","given":"Hilary C.","non-dropping-particle":"","parse-names":false,"suffix":""}],"container-title":"Human Molecular Genetics","id":"ITEM-2","issue":"20","issued":{"date-parts":[["2017","10","15"]]},"page":"3869-3882","publisher":"Oxford University Press","title":"A point mutation in the ion conduction pore of AMPA receptor GRIA3 causes dramatically perturbed sleep patterns as well as intellectual disability","type":"article-journal","volume":"26"},"uris":["http://www.mendeley.com/documents/?uuid=2f792fc1-0232-3a80-8660-2537af83d1c0"]},{"id":"ITEM-3","itemData":{"DOI":"10.3760/cma.j.issn.1003-9406.2019.08.019","ISSN":"10039406","abstract":"OBJECTIVE: To explore the genetic basis for a family affected with mental retardation combined with autism. METHODS: For the family featuring X-linked recessive inheritance of mental retardation combined with autism, clinical data and peripheral blood samples were collected. Potential mutations of genes associated with intellectual impairment were sequenced with an Ion PGM platform. Suspected mutations were verified with a PCR-Sanger sequencing method. RESULTS: The patient with mental retardation had mild abnormal electroencephalograph(EEG), while brain MRI and CT scans showed no obvious abnormality. Two ABC (autism behavior checklist) testing scores were 73 and 66 when he was 7- and 13-year-old, respectively. A novel hemizygous mutation, c.64C&gt;T (p.L22F), was detected in the GRIA3 gene in the patient, for which his mother was a heterozygous carrier. The mutation site was predicted to be possibly damaging and disease causing by PolyPhen_2 and MutationTaster. CONCLUSION: The novel hemizygous c.64C&gt;T (p.L22F) mutation of the GRIA3 gene probably underlies the phenotypes of mental retardation combined with autism in this family. Considering the variable clinical manifestation of mental retardation and genetic heterogeneity of autism, genetic testing is essential for making the correct diagnosis.","author":[{"dropping-particle":"","family":"Bai","given":"Zhouxian","non-dropping-particle":"","parse-names":false,"suffix":""},{"dropping-particle":"","family":"Kong","given":"Xiangdong","non-dropping-particle":"","parse-names":false,"suffix":""}],"container-title":"Zhonghua yi xue yi chuan xue za zhi = Zhonghua yixue yichuanxue zazhi = Chinese journal of medical genetics","id":"ITEM-3","issue":"8","issued":{"date-parts":[["2019","8","10"]]},"page":"829-833","publisher":"NLM (Medline)","title":"X-linked mental retardation combined with autism caused by a novel hemizygous mutation of GRIA3 gene","type":"article-journal","volume":"36"},"uris":["http://www.mendeley.com/documents/?uuid=1acfce13-f479-327a-b398-749f057ed02b"]},{"id":"ITEM-4","itemData":{"DOI":"10.1002/ajmg.a.35307","ISSN":"15524833","abstract":"We report here on two patients with Xq25 duplication encompassing GRIA3 gene, encoding glutamate receptor, ionotropic, AMPA subunit 3. The first case of Xq25 duplication was identified using genome-wide array comparative genomic hybridization (array-CGH) in a 24-year-old patient with syndromic intellectual disability. Based on similar facial features, we clinically suspected a second case of Xq25 duplication in a 4-year-old boy with intellectual disabilty. This duplication was confirmed by multiplex ligation-dependent probe amplification (MLPA) of the GRIA3 gene, as well as by fluorescence in situ hybridization (FISH) and further refined by array-CGH. We suggest that Xq25 duplication is responsible for a novel clinically recognizable X-linked intellectual disability. Finally, the review of so far published Xq25 duplications support, in addition to the role of GRIA3 gene, a potential contribution of the duplication of STAG2 (Stromal Antigen 2) gene coding for the subunit SA1 of the cohesin complex in the clinical phenotype. © 2012 Wiley Periodicals, Inc.","author":[{"dropping-particle":"","family":"Philippe","given":"Anne","non-dropping-particle":"","parse-names":false,"suffix":""},{"dropping-particle":"","family":"Malan","given":"Valérie","non-dropping-particle":"","parse-names":false,"suffix":""},{"dropping-particle":"","family":"Jacquemont","given":"Marie Line","non-dropping-particle":"","parse-names":false,"suffix":""},{"dropping-particle":"","family":"Boddaert","given":"Nathalie","non-dropping-particle":"","parse-names":false,"suffix":""},{"dropping-particle":"","family":"Bonnefont","given":"Jean Paul","non-dropping-particle":"","parse-names":false,"suffix":""},{"dropping-particle":"","family":"Odent","given":"Sylvie","non-dropping-particle":"","parse-names":false,"suffix":""},{"dropping-particle":"","family":"Munnich","given":"Arnold","non-dropping-particle":"","parse-names":false,"suffix":""},{"dropping-particle":"","family":"Colleaux","given":"Laurence","non-dropping-particle":"","parse-names":false,"suffix":""},{"dropping-particle":"","family":"Cormier-Daire","given":"Valérie","non-dropping-particle":"","parse-names":false,"suffix":""}],"container-title":"American Journal of Medical Genetics, Part A","id":"ITEM-4","issue":"6","issued":{"date-parts":[["2013"]]},"page":"1370-1375","publisher":"Wiley-Liss Inc.","title":"Xq25 duplications encompassing GRIA3 and STAG2 genes in two families convey recognizable X-linked intellectual disability with distinctive facial appearance","type":"article-journal","volume":"161"},"uris":["http://www.mendeley.com/documents/?uuid=82803235-ca27-3540-9c11-611684ccf222"]},{"id":"ITEM-5","itemData":{"DOI":"10.4161/cib.27887","ISSN":"19420889","abstract":"Alterations in glutamatergic neurotransmission have long been associated with psychiatric and neurodevelopmental disorders (PNDD), but only recent advances in high-throughput DNA sequencing have allowed interrogation of the prevalence of mutations in glutamate receptors (GluR) among afflicted individuals. In this review we discuss recent work describing GluR mutations in the context of PNDDs. Although there are no strict relationships between receptor subunit or type and disease, some interesting preliminary conclusions have arisen. Mutations in genes coding for ionotropic glutamate receptor subunits, which are central to synaptic transmission and plasticity, are mostly associated with intellectual disability and autism spectrum disorders. In contrast, mutations of metabotropic GluRs, having a role on modulating neural transmission, are preferentially associated with psychiatric disorders. Also, the prevalence of mutations among GluRs is highly heterogeneous, suggesting a critical role of certain subunits in PNDD pathophysiology. The emerging bias between GluR subtypes and specific PNDDs may have clinical implications.","author":[{"dropping-particle":"","family":"Soto","given":"David","non-dropping-particle":"","parse-names":false,"suffix":""},{"dropping-particle":"","family":"Altafaj","given":"Xavier","non-dropping-particle":"","parse-names":false,"suffix":""},{"dropping-particle":"","family":"Sindreu","given":"Carlos","non-dropping-particle":"","parse-names":false,"suffix":""},{"dropping-particle":"","family":"Bayés","given":"Àlex","non-dropping-particle":"","parse-names":false,"suffix":""}],"container-title":"Communicative and Integrative Biology","id":"ITEM-5","issue":"1","issued":{"date-parts":[["2014"]]},"page":"e27887-1-e27887-6","publisher":"Taylor and Francis Inc.","title":"Glutamate receptor mutations in psychiatric and neurodevelopmental disorders","type":"article","volume":"7"},"uris":["http://www.mendeley.com/documents/?uuid=f0a4f1c1-9ee4-3d8d-888d-4a796bdd9652"]},{"id":"ITEM-6","itemData":{"DOI":"10.1006/geno.1999.6032","ISSN":"08887543","abstract":"The X-chromosome breakpoint in a female patient with a balanced translocation t(X;12)(q24;q15), bipolar affective disorder and mental retardation was mapped within the glutamate receptor 3 (GRIA3) gene by fluorescence in situ hybridization. The GRIA3 cDNA of 5894 bp was cloned, and the gene structure and pattern of expression were determined. The most abundant GRIA3 transcript is composed of 17 exons. An additional 5 exons (2a, 2b, 5a, 5b, and 5c) from the 5' end of the GRIA3 open reading frame were identified by EST analysis (ESTs AI379066 and AA947914). Two new polymorphic microsatellite repeats, (TC)(n = 2.26) and (AC)(n = 15-19), were identified within GRIA3 5' and 3'UTRs. No mutations were detected in families segregating disorders mapping across GRIA3, one with X-linked bipolar affective disorder (BP) and one with a nonspecific X-linked mental retardation (MRX27). To assess the possibility of the involvement of the GRIA3 gene in familial cases of complex BP, a large set of 373 individuals from 40 pedigrees segregating BP were genotyped using closely linked (DXS1001) and intragenic (DXS1212 and GRIA3 3' UTR (AC)(n))) GRIA3 STR markers. No evidence of linkage was found by parametric Lod score analysis (the highest Lod score was 0.3 at DXS1212, using the dominant transmission model) or by affected sib-pair analysis. (C) 1999 Academic Press.","author":[{"dropping-particle":"","family":"Gécz","given":"Jozef","non-dropping-particle":"","parse-names":false,"suffix":""},{"dropping-particle":"","family":"Barnett","given":"Shaun","non-dropping-particle":"","parse-names":false,"suffix":""},{"dropping-particle":"","family":"Liu","given":"Jianjun","non-dropping-particle":"","parse-names":false,"suffix":""},{"dropping-particle":"","family":"Hollway","given":"Georgina","non-dropping-particle":"","parse-names":false,"suffix":""},{"dropping-particle":"","family":"Donnelly","given":"Andrew","non-dropping-particle":"","parse-names":false,"suffix":""},{"dropping-particle":"","family":"Eyre","given":"Helen","non-dropping-particle":"","parse-names":false,"suffix":""},{"dropping-particle":"","family":"Eshkevari","given":"Hadi S.","non-dropping-particle":"","parse-names":false,"suffix":""},{"dropping-particle":"","family":"Baltazar","given":"Romulo","non-dropping-particle":"","parse-names":false,"suffix":""},{"dropping-particle":"","family":"Grunn","given":"Adina","non-dropping-particle":"","parse-names":false,"suffix":""},{"dropping-particle":"","family":"Nagaraja","given":"Ramaiah","non-dropping-particle":"","parse-names":false,"suffix":""},{"dropping-particle":"","family":"Gilliam","given":"Conrad","non-dropping-particle":"","parse-names":false,"suffix":""},{"dropping-particle":"","family":"Peltonen","given":"Leena","non-dropping-particle":"","parse-names":false,"suffix":""},{"dropping-particle":"","family":"Sutherland","given":"Grant R.","non-dropping-particle":"","parse-names":false,"suffix":""},{"dropping-particle":"","family":"Baron","given":"Miron","non-dropping-particle":"","parse-names":false,"suffix":""},{"dropping-particle":"","family":"Mulley","given":"John C.","non-dropping-particle":"","parse-names":false,"suffix":""}],"container-title":"Genomics","id":"ITEM-6","issue":"3","issued":{"date-parts":[["1999","12","15"]]},"page":"356-368","publisher":"Academic Press Inc.","title":"Characterization of the human glutamate receptor subunit 3 gene (GRIA3), a candidate for bipolar disorder and nonspecific X-linked mental retardation","type":"article-journal","volume":"62"},"uris":["http://www.mendeley.com/documents/?uuid=97358f85-3530-394e-b272-f6845ee12857"]},{"id":"ITEM-7","itemData":{"DOI":"10.1016/B978-0-12-800109-7.00009-1","ISBN":"9780128005330","abstract":"Intellectual disability (ID) defines a group of disorders that cause impairment in intellectual performance. Autism spectrum disorders (ASDs) cause deficits in communication and social skills in addition to repetitive and stereotyped behaviors. We focus our attention on IDs and ASDs caused by mutations within the X chromosome on genes that exert their roles at the synapse. Notably, a significant overlap exists between ID and ASD in patients, likely mirroring the convergence of molecular pathways by which X-linked gene products regulate brain function. The genes described within are implicated in neuronal morphology, via cytoskeleton remodeling (genes belonging to the Rho GTPase pathway: OPHN1, ARHGEF6, and PAK3), in function, encoding receptor subunits (GRIA3), or acting to localize receptors and secondary messengers (ARHGEF9, TM4SF2, and the MAGUKs CASK and DLG3), and in presynaptic vesicle release (SYP, CASK, and genes belonging to the Rab GTPase pathway: RAB39B and GDI1).","author":[{"dropping-particle":"","family":"Moretto","given":"Edoardo","non-dropping-particle":"","parse-names":false,"suffix":""},{"dropping-particle":"","family":"Passafaro","given":"Maria","non-dropping-particle":"","parse-names":false,"suffix":""},{"dropping-particle":"","family":"Bassani","given":"Silvia","non-dropping-particle":"","parse-names":false,"suffix":""}],"container-title":"Neuronal and Synaptic Dysfunction in Autism Spectrum Disorder and Intellectual Disability","id":"ITEM-7","issued":{"date-parts":[["2016","5","17"]]},"page":"129-150","publisher":"Elsevier Inc.","title":"X-Linked ASDs and ID Gene Mutations","type":"chapter"},"uris":["http://www.mendeley.com/documents/?uuid=b49c0aab-1d9b-3f19-947e-cbb46ff431f5"]}],"mendeley":{"formattedCitation":"&lt;sup&gt;21–27&lt;/sup&gt;","plainTextFormattedCitation":"21–27","previouslyFormattedCitation":"(Gécz &lt;i&gt;et al.&lt;/i&gt;, 1999; Philippe &lt;i&gt;et al.&lt;/i&gt;, 2013; Soto &lt;i&gt;et al.&lt;/i&gt;, 2014; Moretto, Passafaro and Bassani, 2016; Davies &lt;i&gt;et al.&lt;/i&gt;, 2017; Iamjan &lt;i&gt;et al.&lt;/i&gt;, 2018; Bai and Kong, 2019)"},"properties":{"noteIndex":0},"schema":"https://github.com/citation-style-language/schema/raw/master/csl-citation.json"}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21–27</w:t>
            </w:r>
            <w:r w:rsidRPr="00517FC6">
              <w:rPr>
                <w:rFonts w:asciiTheme="majorHAnsi" w:hAnsiTheme="majorHAnsi" w:cstheme="majorHAnsi"/>
                <w:color w:val="000000" w:themeColor="text1"/>
                <w:sz w:val="16"/>
                <w:szCs w:val="16"/>
              </w:rPr>
              <w:fldChar w:fldCharType="end"/>
            </w:r>
          </w:p>
        </w:tc>
        <w:tc>
          <w:tcPr>
            <w:tcW w:w="1877" w:type="dxa"/>
          </w:tcPr>
          <w:p w14:paraId="0A2D3EAD" w14:textId="77777777" w:rsidR="00CC44D3" w:rsidRPr="00517FC6" w:rsidRDefault="005511BA"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These receptors are heteromeric protein complexes composed of multiple subunits, arranged to form ligand-gated ion channels and are activated in a variety of normal neurophysiologic processes.</w:t>
            </w:r>
          </w:p>
          <w:p w14:paraId="04CA3B4F" w14:textId="77777777" w:rsidR="00DA30C4" w:rsidRPr="00517FC6" w:rsidRDefault="00DA30C4" w:rsidP="00C93EF9">
            <w:pPr>
              <w:rPr>
                <w:rFonts w:asciiTheme="majorHAnsi" w:hAnsiTheme="majorHAnsi" w:cstheme="majorHAnsi"/>
                <w:color w:val="000000" w:themeColor="text1"/>
                <w:sz w:val="16"/>
                <w:szCs w:val="16"/>
              </w:rPr>
            </w:pPr>
          </w:p>
          <w:p w14:paraId="5D51EB9D" w14:textId="77777777" w:rsidR="00B56437" w:rsidRPr="00517FC6" w:rsidRDefault="00B56437"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Increased levels of dopamine in the striatum of </w:t>
            </w:r>
            <w:r w:rsidRPr="00517FC6">
              <w:rPr>
                <w:rFonts w:asciiTheme="majorHAnsi" w:hAnsiTheme="majorHAnsi" w:cstheme="majorHAnsi"/>
                <w:i/>
                <w:iCs/>
                <w:color w:val="000000" w:themeColor="text1"/>
                <w:sz w:val="16"/>
                <w:szCs w:val="16"/>
              </w:rPr>
              <w:t>Gria3KO</w:t>
            </w:r>
            <w:r w:rsidRPr="00517FC6">
              <w:rPr>
                <w:rFonts w:asciiTheme="majorHAnsi" w:hAnsiTheme="majorHAnsi" w:cstheme="majorHAnsi"/>
                <w:color w:val="000000" w:themeColor="text1"/>
                <w:sz w:val="16"/>
                <w:szCs w:val="16"/>
              </w:rPr>
              <w:t xml:space="preserve"> mice</w:t>
            </w:r>
          </w:p>
          <w:p w14:paraId="2AC8BC6E" w14:textId="77777777" w:rsidR="00B56437" w:rsidRPr="00517FC6" w:rsidRDefault="00B56437" w:rsidP="00C93EF9">
            <w:pPr>
              <w:rPr>
                <w:rFonts w:asciiTheme="majorHAnsi" w:hAnsiTheme="majorHAnsi" w:cstheme="majorHAnsi"/>
                <w:color w:val="000000" w:themeColor="text1"/>
                <w:sz w:val="16"/>
                <w:szCs w:val="16"/>
              </w:rPr>
            </w:pPr>
          </w:p>
          <w:p w14:paraId="71F18BFE" w14:textId="77777777" w:rsidR="00DA30C4" w:rsidRPr="00517FC6" w:rsidRDefault="00DA30C4" w:rsidP="00C93EF9">
            <w:pPr>
              <w:rPr>
                <w:rFonts w:asciiTheme="majorHAnsi" w:hAnsiTheme="majorHAnsi" w:cstheme="majorHAnsi"/>
                <w:color w:val="000000" w:themeColor="text1"/>
                <w:sz w:val="16"/>
                <w:szCs w:val="16"/>
              </w:rPr>
            </w:pPr>
            <w:r w:rsidRPr="00517FC6">
              <w:rPr>
                <w:rFonts w:asciiTheme="majorHAnsi" w:hAnsiTheme="majorHAnsi" w:cstheme="majorHAnsi"/>
                <w:b/>
                <w:bCs/>
                <w:color w:val="000000" w:themeColor="text1"/>
                <w:sz w:val="16"/>
                <w:szCs w:val="16"/>
              </w:rPr>
              <w:t xml:space="preserve">N.B. </w:t>
            </w:r>
            <w:r w:rsidRPr="00517FC6">
              <w:rPr>
                <w:rFonts w:asciiTheme="majorHAnsi" w:hAnsiTheme="majorHAnsi" w:cstheme="majorHAnsi"/>
                <w:color w:val="000000" w:themeColor="text1"/>
                <w:sz w:val="16"/>
                <w:szCs w:val="16"/>
              </w:rPr>
              <w:t>Previously considered a BPD candidate gene.</w:t>
            </w:r>
          </w:p>
        </w:tc>
      </w:tr>
      <w:tr w:rsidR="00517FC6" w:rsidRPr="00517FC6" w14:paraId="519F6013" w14:textId="77777777" w:rsidTr="00C93EF9">
        <w:tc>
          <w:tcPr>
            <w:tcW w:w="1286" w:type="dxa"/>
          </w:tcPr>
          <w:p w14:paraId="0FE991BA"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RUNX3</w:t>
            </w:r>
          </w:p>
        </w:tc>
        <w:tc>
          <w:tcPr>
            <w:tcW w:w="1998" w:type="dxa"/>
          </w:tcPr>
          <w:p w14:paraId="0E884179" w14:textId="77777777" w:rsidR="00EF24D4"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Runt-related transcription factor 3</w:t>
            </w:r>
          </w:p>
        </w:tc>
        <w:tc>
          <w:tcPr>
            <w:tcW w:w="1419" w:type="dxa"/>
          </w:tcPr>
          <w:p w14:paraId="1C447B94" w14:textId="77777777" w:rsidR="00CC44D3" w:rsidRPr="00517FC6" w:rsidRDefault="0055400D"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 xml:space="preserve">AML2 </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CBFA3</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PEBP2aC</w:t>
            </w:r>
          </w:p>
        </w:tc>
        <w:tc>
          <w:tcPr>
            <w:tcW w:w="2268" w:type="dxa"/>
          </w:tcPr>
          <w:p w14:paraId="0A458E39" w14:textId="77777777" w:rsidR="00CC44D3" w:rsidRPr="00517FC6" w:rsidRDefault="00E601A9"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Forms the heterodimeric complex core-binding factor (CBF) with CBFB.</w:t>
            </w:r>
          </w:p>
          <w:p w14:paraId="296DCFB0" w14:textId="77777777" w:rsidR="00E601A9" w:rsidRPr="00517FC6" w:rsidRDefault="00E601A9" w:rsidP="00C93EF9">
            <w:pPr>
              <w:rPr>
                <w:rFonts w:asciiTheme="majorHAnsi" w:hAnsiTheme="majorHAnsi" w:cstheme="majorHAnsi"/>
                <w:color w:val="000000" w:themeColor="text1"/>
                <w:sz w:val="16"/>
                <w:szCs w:val="16"/>
              </w:rPr>
            </w:pPr>
          </w:p>
          <w:p w14:paraId="74C56881" w14:textId="77777777" w:rsidR="00E601A9" w:rsidRPr="00517FC6" w:rsidRDefault="00E601A9"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Regulator of CD8+ T-cell thymocyte development.</w:t>
            </w:r>
          </w:p>
        </w:tc>
        <w:tc>
          <w:tcPr>
            <w:tcW w:w="1585" w:type="dxa"/>
          </w:tcPr>
          <w:p w14:paraId="54470756" w14:textId="77777777" w:rsidR="00CC44D3" w:rsidRPr="00517FC6" w:rsidRDefault="005016AB"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Cancer metastasis</w:t>
            </w:r>
            <w:r w:rsidR="0056785D" w:rsidRPr="00517FC6">
              <w:rPr>
                <w:rFonts w:asciiTheme="majorHAnsi" w:hAnsiTheme="majorHAnsi" w:cstheme="majorHAnsi"/>
                <w:color w:val="000000" w:themeColor="text1"/>
                <w:sz w:val="16"/>
                <w:szCs w:val="16"/>
              </w:rPr>
              <w:t>,</w:t>
            </w:r>
          </w:p>
          <w:p w14:paraId="43F14C6D" w14:textId="77777777" w:rsidR="005016AB" w:rsidRPr="00517FC6" w:rsidRDefault="005016AB"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Pre-eclampsia</w:t>
            </w:r>
            <w:r w:rsidR="0056785D" w:rsidRPr="00517FC6">
              <w:rPr>
                <w:rFonts w:asciiTheme="majorHAnsi" w:hAnsiTheme="majorHAnsi" w:cstheme="majorHAnsi"/>
                <w:color w:val="000000" w:themeColor="text1"/>
                <w:sz w:val="16"/>
                <w:szCs w:val="16"/>
              </w:rPr>
              <w:t>,</w:t>
            </w:r>
          </w:p>
          <w:p w14:paraId="1B0DD7CD" w14:textId="77777777" w:rsidR="005016AB" w:rsidRPr="00517FC6" w:rsidRDefault="005016AB"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Placental</w:t>
            </w:r>
            <w:r w:rsidR="0056785D" w:rsidRPr="00517FC6">
              <w:rPr>
                <w:rFonts w:asciiTheme="majorHAnsi" w:hAnsiTheme="majorHAnsi" w:cstheme="majorHAnsi"/>
                <w:color w:val="000000" w:themeColor="text1"/>
                <w:sz w:val="16"/>
                <w:szCs w:val="16"/>
              </w:rPr>
              <w:t xml:space="preserve"> </w:t>
            </w:r>
            <w:r w:rsidRPr="00517FC6">
              <w:rPr>
                <w:rFonts w:asciiTheme="majorHAnsi" w:hAnsiTheme="majorHAnsi" w:cstheme="majorHAnsi"/>
                <w:color w:val="000000" w:themeColor="text1"/>
                <w:sz w:val="16"/>
                <w:szCs w:val="16"/>
              </w:rPr>
              <w:t>Dysfunction</w:t>
            </w:r>
          </w:p>
        </w:tc>
        <w:tc>
          <w:tcPr>
            <w:tcW w:w="1574" w:type="dxa"/>
          </w:tcPr>
          <w:p w14:paraId="7D1CA404" w14:textId="77777777" w:rsidR="00CC44D3" w:rsidRPr="00517FC6" w:rsidRDefault="0055400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Biased expression in bone marrow (RPKM: 19.5</w:t>
            </w:r>
            <w:r w:rsidR="008831BD" w:rsidRPr="00517FC6">
              <w:rPr>
                <w:rFonts w:asciiTheme="majorHAnsi" w:hAnsiTheme="majorHAnsi" w:cstheme="majorHAnsi"/>
                <w:color w:val="000000" w:themeColor="text1"/>
                <w:sz w:val="16"/>
                <w:szCs w:val="16"/>
              </w:rPr>
              <w:t>) and spleen (RPKM16.7)</w:t>
            </w:r>
          </w:p>
          <w:p w14:paraId="4ECD37C5" w14:textId="77777777" w:rsidR="00947E4D" w:rsidRPr="00517FC6" w:rsidRDefault="00947E4D" w:rsidP="00C93EF9">
            <w:pPr>
              <w:rPr>
                <w:rFonts w:asciiTheme="majorHAnsi" w:hAnsiTheme="majorHAnsi" w:cstheme="majorHAnsi"/>
                <w:color w:val="000000" w:themeColor="text1"/>
                <w:sz w:val="16"/>
                <w:szCs w:val="16"/>
              </w:rPr>
            </w:pPr>
          </w:p>
          <w:p w14:paraId="31E16665" w14:textId="77777777" w:rsidR="00947E4D" w:rsidRPr="00517FC6" w:rsidRDefault="00947E4D" w:rsidP="00C93EF9">
            <w:pPr>
              <w:rPr>
                <w:rFonts w:asciiTheme="majorHAnsi" w:hAnsiTheme="majorHAnsi" w:cstheme="majorHAnsi"/>
                <w:color w:val="000000" w:themeColor="text1"/>
                <w:sz w:val="16"/>
                <w:szCs w:val="16"/>
              </w:rPr>
            </w:pPr>
            <w:r w:rsidRPr="00517FC6">
              <w:rPr>
                <w:rFonts w:asciiTheme="majorHAnsi" w:hAnsiTheme="majorHAnsi" w:cstheme="majorHAnsi"/>
                <w:b/>
                <w:bCs/>
                <w:color w:val="000000" w:themeColor="text1"/>
                <w:sz w:val="16"/>
                <w:szCs w:val="16"/>
              </w:rPr>
              <w:t>N.B.</w:t>
            </w:r>
            <w:r w:rsidRPr="00517FC6">
              <w:rPr>
                <w:rFonts w:asciiTheme="majorHAnsi" w:hAnsiTheme="majorHAnsi" w:cstheme="majorHAnsi"/>
                <w:color w:val="000000" w:themeColor="text1"/>
                <w:sz w:val="16"/>
                <w:szCs w:val="16"/>
              </w:rPr>
              <w:t xml:space="preserve"> Homozygous LOF mutants unviable in mice.</w:t>
            </w:r>
          </w:p>
        </w:tc>
        <w:tc>
          <w:tcPr>
            <w:tcW w:w="1281" w:type="dxa"/>
          </w:tcPr>
          <w:p w14:paraId="2F2204C3" w14:textId="2C25B78F" w:rsidR="00CC44D3" w:rsidRPr="00517FC6" w:rsidRDefault="0056785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ADDIN CSL_CITATION {"citationItems":[{"id":"ITEM-1","itemData":{"DOI":"10.1097/MD.0000000000014954","ISSN":"0025-7974","abstract":"Preeclampsia is a complex genetic disorder and its pathogenesis remains to be investigated. Single nucleotide polymorphisms serve important roles in genetic predisposition. The present study aimed to explore the association between runt-related transcription factor 3 (RUNX3) gene polymorphisms in severe preeclampsia (SPE) and clinical features.A total of 417 participants were enrolled in the present study. The rs2236852, rs7528484 and rs760805 polymorphisms of the RUNX3 gene were tested using the polymerase chain reaction-restriction fragment length polymorphism (PCR-RFLP) method. Clinical information of patients and controls was collected. Relationship between clinical feature and different genotype was analyzed.Compared with rs2236852 GG genotype carriers, the odds ratios (OR) for the risk of SPE were 2.26 [95% confidence interval (CI), 1.24-4.12; P = .023] in AA genotype carriers. A significantly increased risk of SPE was associated with AG/AA genotypes compared with GG genotypes (OR, 1.74; 95% CI, 1.11-2.75; P = .015). AA homozygote carriers with SPE exhibited lower birth weight, shorter birth length and reduced incidence of hypoproteinemia compared with AG heterozygote carriers (P &lt;.05). A significantly increased risk of SPE was determined to be associated with the rs7528484 CC genotype in codominant and recessive models (CC vs TT: OR, 3.70, 95% CI, 1.31-10.43, P = .01; CC vs TT/TC: OR, 3.98, 95% CI, 1.46-10.87, P = .003). Patients carrying C-allele (TC + CC) presented increased systolic pressure and an increased incidence of neonatal pneumonia compared with TT homozygote carriers (P &lt;.05). Compared with rs760805 TT homozygote carriers, patients carrying AA homozygote exhibited significantly reduced 24 hours urinary protein levels, lower serum creatinine concentrations and a decreased incidence of neonatal asphyxia (P &lt;.05).The present study suggested a genetic association between RUNX3 gene polymorphisms and SPE. The data provided a novel insight to guide future investigations.","author":[{"dropping-particle":"","family":"Zhang","given":"Yanping","non-dropping-particle":"","parse-names":false,"suffix":""},{"dropping-particle":"","family":"Wang","given":"Tao","non-dropping-particle":"","parse-names":false,"suffix":""},{"dropping-particle":"","family":"Jia","given":"Jin","non-dropping-particle":"","parse-names":false,"suffix":""},{"dropping-particle":"","family":"Cao","given":"Wen","non-dropping-particle":"","parse-names":false,"suffix":""},{"dropping-particle":"","family":"Ye","given":"Lei","non-dropping-particle":"","parse-names":false,"suffix":""},{"dropping-particle":"","family":"Wang","given":"Yanyun","non-dropping-particle":"","parse-names":false,"suffix":""},{"dropping-particle":"","family":"Zhou","given":"Bin","non-dropping-particle":"","parse-names":false,"suffix":""},{"dropping-particle":"","family":"Zhou","given":"Rong","non-dropping-particle":"","parse-names":false,"suffix":""}],"container-title":"Medicine","id":"ITEM-1","issue":"12","issued":{"date-parts":[["2019","3","1"]]},"page":"e14954","publisher":"NLM (Medline)","title":"Association between RUNX3 gene polymorphisms in severe preeclampsia and its clinical features","type":"article-journal","volume":"98"},"uris":["http://www.mendeley.com/documents/?uuid=b7d8e531-35ac-37b5-93dc-4447be3a7b60"]},{"id":"ITEM-2","itemData":{"DOI":"10.5483/BMBRep.2018.51.4.033","ISSN":"1976670X","abstract":"A number of genes have been therapeutically targeted to relieve cancer, but cancer relapse is still a growing issue. The concept that the surrounding tumor environment is critical for the progression of cancer may foster an answer to the issue of cancer malignancy. Runt domain transcription factors (RUNX1, 2, and 3) are evolutionarily conserved and have been intensively studied for their roles in normal development and pathological conditions. During tumor growth, a hypoxic microenvironment and infiltration of the tumor by immune cells are common phenomena. In this review, we briefly introduce the consequences of hypoxia and immune cell infiltration into the tumor microenvironment with a focus on RUNX3 as a critical regulator. Furthermore, based on our current knowledge of the functional role of RUNX3 in hypoxia and immune cell maintenance, a probable therapeutic intervention is suggested for the effective management of tumor growth and malignancy.","author":[{"dropping-particle":"","family":"Manandhar","given":"Sarala","non-dropping-particle":"","parse-names":false,"suffix":""},{"dropping-particle":"","family":"Lee","given":"You Mie","non-dropping-particle":"","parse-names":false,"suffix":""}],"container-title":"BMB Reports","id":"ITEM-2","issue":"4","issued":{"date-parts":[["2018"]]},"page":"174-181","publisher":"The Biochemical Society of the Republic of Korea","title":"Emerging role of RUNX3 in the regulation of tumor microenvironment","type":"article","volume":"51"},"uris":["http://www.mendeley.com/documents/?uuid=6d43ab9a-dba1-3b23-bc52-54c485654443"]}],"mendeley":{"formattedCitation":"&lt;sup&gt;28,29&lt;/sup&gt;","plainTextFormattedCitation":"28,29","previouslyFormattedCitation":"(Manandhar and Lee, 2018; Zhang &lt;i&gt;et al.&lt;/i&gt;, 2019)"},"properties":{"noteIndex":0},"schema":"https://github.com/citation-style-language/schema/raw/master/csl-citation.json"}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28,29</w:t>
            </w:r>
            <w:r w:rsidRPr="00517FC6">
              <w:rPr>
                <w:rFonts w:asciiTheme="majorHAnsi" w:hAnsiTheme="majorHAnsi" w:cstheme="majorHAnsi"/>
                <w:color w:val="000000" w:themeColor="text1"/>
                <w:sz w:val="16"/>
                <w:szCs w:val="16"/>
              </w:rPr>
              <w:fldChar w:fldCharType="end"/>
            </w:r>
          </w:p>
        </w:tc>
        <w:tc>
          <w:tcPr>
            <w:tcW w:w="1877" w:type="dxa"/>
          </w:tcPr>
          <w:p w14:paraId="471D7F09" w14:textId="77777777" w:rsidR="00CC44D3" w:rsidRPr="00517FC6" w:rsidRDefault="005511BA"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Under epigenetic regulation.</w:t>
            </w:r>
          </w:p>
        </w:tc>
      </w:tr>
      <w:tr w:rsidR="00517FC6" w:rsidRPr="00517FC6" w14:paraId="340D3DB7" w14:textId="77777777" w:rsidTr="00C93EF9">
        <w:tc>
          <w:tcPr>
            <w:tcW w:w="1286" w:type="dxa"/>
          </w:tcPr>
          <w:p w14:paraId="6A3590A4"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SLC6A1</w:t>
            </w:r>
          </w:p>
        </w:tc>
        <w:tc>
          <w:tcPr>
            <w:tcW w:w="1998" w:type="dxa"/>
          </w:tcPr>
          <w:p w14:paraId="23FAD852" w14:textId="77777777" w:rsidR="00CC44D3" w:rsidRPr="00517FC6" w:rsidRDefault="00033ED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V</w:t>
            </w:r>
            <w:r w:rsidR="00CC44D3" w:rsidRPr="00517FC6">
              <w:rPr>
                <w:rFonts w:asciiTheme="majorHAnsi" w:hAnsiTheme="majorHAnsi" w:cstheme="majorHAnsi"/>
                <w:color w:val="000000" w:themeColor="text1"/>
                <w:sz w:val="16"/>
                <w:szCs w:val="16"/>
              </w:rPr>
              <w:t>oltage-dependent c-aminobutyric acid (GABA) transporter 1 (GAT-1) protein</w:t>
            </w:r>
          </w:p>
        </w:tc>
        <w:tc>
          <w:tcPr>
            <w:tcW w:w="1419" w:type="dxa"/>
          </w:tcPr>
          <w:p w14:paraId="6949751D" w14:textId="77777777" w:rsidR="00CC44D3" w:rsidRPr="00517FC6" w:rsidRDefault="008831BD"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GABATHG</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GABATR</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GAT1 MAE</w:t>
            </w:r>
          </w:p>
        </w:tc>
        <w:tc>
          <w:tcPr>
            <w:tcW w:w="2268" w:type="dxa"/>
          </w:tcPr>
          <w:p w14:paraId="421EC3A2" w14:textId="77777777" w:rsidR="00CC44D3" w:rsidRPr="00517FC6" w:rsidRDefault="00FB6FC5"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Terminates the action of GABA by its high affinity sodium-dependent reuptake into presynaptic terminals.</w:t>
            </w:r>
          </w:p>
        </w:tc>
        <w:tc>
          <w:tcPr>
            <w:tcW w:w="1585" w:type="dxa"/>
          </w:tcPr>
          <w:p w14:paraId="3143FF7C" w14:textId="77777777" w:rsidR="00CC44D3" w:rsidRPr="00517FC6" w:rsidRDefault="005016AB"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Schizophrenia</w:t>
            </w:r>
            <w:r w:rsidR="0056785D" w:rsidRPr="00517FC6">
              <w:rPr>
                <w:rFonts w:asciiTheme="majorHAnsi" w:hAnsiTheme="majorHAnsi" w:cstheme="majorHAnsi"/>
                <w:color w:val="000000" w:themeColor="text1"/>
                <w:sz w:val="16"/>
                <w:szCs w:val="16"/>
              </w:rPr>
              <w:t>,</w:t>
            </w:r>
            <w:r w:rsidR="00033ED6" w:rsidRPr="00517FC6">
              <w:rPr>
                <w:rFonts w:asciiTheme="majorHAnsi" w:hAnsiTheme="majorHAnsi" w:cstheme="majorHAnsi"/>
                <w:color w:val="000000" w:themeColor="text1"/>
                <w:sz w:val="16"/>
                <w:szCs w:val="16"/>
              </w:rPr>
              <w:t xml:space="preserve"> ADHD,</w:t>
            </w:r>
          </w:p>
          <w:p w14:paraId="18AD0587" w14:textId="77777777" w:rsidR="005016AB" w:rsidRPr="00517FC6" w:rsidRDefault="005016AB"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Epileptic encephalopathy</w:t>
            </w:r>
          </w:p>
          <w:p w14:paraId="40B9B87A" w14:textId="77777777" w:rsidR="005016AB" w:rsidRPr="00517FC6" w:rsidRDefault="005016AB" w:rsidP="00C93EF9">
            <w:pPr>
              <w:rPr>
                <w:rFonts w:asciiTheme="majorHAnsi" w:hAnsiTheme="majorHAnsi" w:cstheme="majorHAnsi"/>
                <w:color w:val="000000" w:themeColor="text1"/>
                <w:sz w:val="16"/>
                <w:szCs w:val="16"/>
              </w:rPr>
            </w:pPr>
          </w:p>
        </w:tc>
        <w:tc>
          <w:tcPr>
            <w:tcW w:w="1574" w:type="dxa"/>
          </w:tcPr>
          <w:p w14:paraId="2FE6EF25" w14:textId="77777777" w:rsidR="00CC44D3"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SLC6A1 is primarily expressed in the</w:t>
            </w:r>
            <w:r w:rsidR="008831BD" w:rsidRPr="00517FC6">
              <w:rPr>
                <w:rFonts w:asciiTheme="majorHAnsi" w:hAnsiTheme="majorHAnsi" w:cstheme="majorHAnsi"/>
                <w:color w:val="000000" w:themeColor="text1"/>
                <w:sz w:val="16"/>
                <w:szCs w:val="16"/>
              </w:rPr>
              <w:t xml:space="preserve"> adult</w:t>
            </w:r>
            <w:r w:rsidRPr="00517FC6">
              <w:rPr>
                <w:rFonts w:asciiTheme="majorHAnsi" w:hAnsiTheme="majorHAnsi" w:cstheme="majorHAnsi"/>
                <w:color w:val="000000" w:themeColor="text1"/>
                <w:sz w:val="16"/>
                <w:szCs w:val="16"/>
              </w:rPr>
              <w:t xml:space="preserve"> brain</w:t>
            </w:r>
            <w:r w:rsidR="008831BD" w:rsidRPr="00517FC6">
              <w:rPr>
                <w:rFonts w:asciiTheme="majorHAnsi" w:hAnsiTheme="majorHAnsi" w:cstheme="majorHAnsi"/>
                <w:color w:val="000000" w:themeColor="text1"/>
                <w:sz w:val="16"/>
                <w:szCs w:val="16"/>
              </w:rPr>
              <w:t xml:space="preserve"> (RPKM: 26.6)</w:t>
            </w:r>
            <w:r w:rsidRPr="00517FC6">
              <w:rPr>
                <w:rFonts w:asciiTheme="majorHAnsi" w:hAnsiTheme="majorHAnsi" w:cstheme="majorHAnsi"/>
                <w:color w:val="000000" w:themeColor="text1"/>
                <w:sz w:val="16"/>
                <w:szCs w:val="16"/>
              </w:rPr>
              <w:t>, specifically, in GABAergic neurons and astrocytes</w:t>
            </w:r>
            <w:r w:rsidR="008831BD" w:rsidRPr="00517FC6">
              <w:rPr>
                <w:rFonts w:asciiTheme="majorHAnsi" w:hAnsiTheme="majorHAnsi" w:cstheme="majorHAnsi"/>
                <w:color w:val="000000" w:themeColor="text1"/>
                <w:sz w:val="16"/>
                <w:szCs w:val="16"/>
              </w:rPr>
              <w:t>.</w:t>
            </w:r>
          </w:p>
          <w:p w14:paraId="49713B94" w14:textId="77777777" w:rsidR="008831BD" w:rsidRPr="00517FC6" w:rsidRDefault="008831BD" w:rsidP="00C93EF9">
            <w:pPr>
              <w:rPr>
                <w:rFonts w:asciiTheme="majorHAnsi" w:hAnsiTheme="majorHAnsi" w:cstheme="majorHAnsi"/>
                <w:color w:val="000000" w:themeColor="text1"/>
                <w:sz w:val="16"/>
                <w:szCs w:val="16"/>
              </w:rPr>
            </w:pPr>
          </w:p>
          <w:p w14:paraId="18076E24" w14:textId="77777777" w:rsidR="008831BD" w:rsidRPr="00517FC6" w:rsidRDefault="00B0146C"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Essential for embryonic</w:t>
            </w:r>
            <w:r w:rsidR="008831BD" w:rsidRPr="00517FC6">
              <w:rPr>
                <w:rFonts w:asciiTheme="majorHAnsi" w:hAnsiTheme="majorHAnsi" w:cstheme="majorHAnsi"/>
                <w:color w:val="000000" w:themeColor="text1"/>
                <w:sz w:val="16"/>
                <w:szCs w:val="16"/>
              </w:rPr>
              <w:t xml:space="preserve"> development.</w:t>
            </w:r>
          </w:p>
        </w:tc>
        <w:tc>
          <w:tcPr>
            <w:tcW w:w="1281" w:type="dxa"/>
          </w:tcPr>
          <w:p w14:paraId="70191897" w14:textId="6E58E773" w:rsidR="00CC44D3" w:rsidRPr="00517FC6" w:rsidRDefault="00033ED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 xml:space="preserve">ADDIN CSL_CITATION {"citationItems":[{"id":"ITEM-1","itemData":{"DOI":"10.1016/j.biopsych.2019.09.023","ISSN":"00063223","abstract":"Genetic studies of schizophrenia (SCZ) have now implicated numerous genomic loci that contribute to risk including several copy number variants (CNV) of large effect and hundreds of associated loci of small effect. However, in only a few cases has a specific gene been clearly identified. Rare CNV that affect only a single gene offer a potential avenue to discovering specific SCZ risk genes. Here, we use CNV generated from exome-sequencing of 4,913 SCZ cases and 6,188 controls in a homogenous Swedish cohort to assess the contribution of single-gene deletions and duplications to SCZ risk. As previously seen, we found an excess of rare deletions (p = 0.0004) and duplications (p = 0.0006) in SCZ cases compared to controls. When limiting to only single-gene CNV we identified nominally significant excess of deletions (p = 0.04) and duplications (p = 0.03). In an effort to increase the number of single-gene CNV, we reduced strict filtering criteria but required support from two independent CNV calling methods to create an expanded set that showed a significant burden of deletions in 11 out of 22 gene sets previously implicated in SCZ and in the combined set of genes across those sets (p = 0.008). Finally, for the significantly enriched set of voltage-gated calcium channels, we performed an extensive validation of all deletions generated from exome-sequencing as well as any deletion with evidence from previously analyzed genotyping arrays. In total, 4 exonic, single-gene deletions validated in cases and none in controls (p = 0.039), of which all were identified by exome-sequencing. Broadly, these results point to the potential contribution of single-gene CNV to SCZ and the added value of a deeper dive into CNV calls from exome-sequencing.","author":[{"dropping-particle":"","family":"Szatkiewicz","given":"Jin P.","non-dropping-particle":"","parse-names":false,"suffix":""},{"dropping-particle":"","family":"Fromer","given":"Menachem","non-dropping-particle":"","parse-names":false,"suffix":""},{"dropping-particle":"","family":"Nonneman","given":"Randal J.","non-dropping-particle":"","parse-names":false,"suffix":""},{"dropping-particle":"","family":"Ancalade","given":"NaEshia","non-dropping-particle":"","parse-names":false,"suffix":""},{"dropping-particle":"","family":"Johnson","given":"Jessica S.","non-dropping-particle":"","parse-names":false,"suffix":""},{"dropping-particle":"","family":"Stahl","given":"Eli A.","non-dropping-particle":"","parse-names":false,"suffix":""},{"dropping-particle":"","family":"Rees","given":"Elliott","non-dropping-particle":"","parse-names":false,"suffix":""},{"dropping-particle":"","family":"Bergen","given":"Sarah","non-dropping-particle":"","parse-names":false,"suffix":""},{"dropping-particle":"","family":"Hultman","given":"Christina","non-dropping-particle":"","parse-names":false,"suffix":""},{"dropping-particle":"","family":"Kirov","given":"George","non-dropping-particle":"","parse-names":false,"suffix":""},{"dropping-particle":"","family":"O’Donovan","given":"Michael","non-dropping-particle":"","parse-names":false,"suffix":""},{"dropping-particle":"","family":"Owen","given":"Michael","non-dropping-particle":"","parse-names":false,"suffix":""},{"dropping-particle":"","family":"Holmans","given":"Peter","non-dropping-particle":"","parse-names":false,"suffix":""},{"dropping-particle":"","family":"Sklar","given":"Pamela","non-dropping-particle":"","parse-names":false,"suffix":""},{"dropping-particle":"","family":"Sullivan","given":"Patrick F.","non-dropping-particle":"","parse-names":false,"suffix":""},{"dropping-particle":"","family":"Purcell","given":"Shaun M.","non-dropping-particle":"","parse-names":false,"suffix":""},{"dropping-particle":"","family":"Crowley","given":"James J.","non-dropping-particle":"","parse-names":false,"suffix":""},{"dropping-particle":"","family":"Ruderfer","given":"Douglas M.","non-dropping-particle":"","parse-names":false,"suffix":""}],"container-title":"Biological Psychiatry","id":"ITEM-1","issued":{"date-parts":[["2019","10"]]},"publisher":"Elsevier BV","title":"Characterization of single gene copy number variants in schizophrenia","type":"article-journal"},"uris":["http://www.mendeley.com/documents/?uuid=6be5b576-9a24-3c10-aebc-c1a3d6d9f875"]},{"id":"ITEM-2","itemData":{"DOI":"10.1038/s41593-019-0565-2","ISSN":"15461726","PMID":"31932766","abstract":"Schizophrenia is a highly polygenic disorder with important contributions from both common and rare risk alleles. We analyzed exome sequencing data for de novo variants (DNVs) in a new sample of 613 schizophrenia trios and combined this with published data to give a total of 3,444 trios. In this new data, loss-of-function (LoF) DNVs were significantly enriched among 3,471 LoF-intolerant genes, which supports previous findings. In the full dataset, genes associated with neurodevelopmental disorders (n = 159) were significantly enriched for LoF DNVs. Within these neurodevelopmental disorder genes, SLC6A1, which encodes a γ-aminobutyric acid transporter, was associated with missense-damaging DNVs. In 1,122 trios for which genome-wide common variant data were available, schizophrenia and bipolar disorder polygenic risk were significantly overtransmitted to probands. Probands carrying LoF or deletion DNVs in LoF-intolerant or neurodevelopmental disorder genes had significantly less overtransmission of schizophrenia polygenic risk than did non-carriers, which provides a second robust line of evidence that these DNVs increase liability to schizophrenia.","author":[{"dropping-particle":"","family":"Rees","given":"Elliott","non-dropping-particle":"","parse-names":false,"suffix":""},{"dropping-particle":"","family":"Han","given":"Jun","non-dropping-particle":"","parse-names":false,"suffix":""},{"dropping-particle":"","family":"Morgan","given":"Joanne","non-dropping-particle":"","parse-names":false,"suffix":""},{"dropping-particle":"","family":"Carrera","given":"Noa","non-dropping-particle":"","parse-names":false,"suffix":""},{"dropping-particle":"","family":"Escott-Price","given":"Valentina","non-dropping-particle":"","parse-names":false,"suffix":""},{"dropping-particle":"","family":"Pocklington","given":"Andrew J.","non-dropping-particle":"","parse-names":false,"suffix":""},{"dropping-particle":"","family":"Duffield","given":"Madeleine","non-dropping-particle":"","parse-names":false,"suffix":""},{"dropping-particle":"","family":"Hall","given":"Lynsey S.","non-dropping-particle":"","parse-names":false,"suffix":""},{"dropping-particle":"","family":"Legge","given":"Sophie E.","non-dropping-particle":"","parse-names":false,"suffix":""},{"dropping-particle":"","family":"Pardiñas","given":"Antonio F.","non-dropping-particle":"","parse-names":false,"suffix":""},{"dropping-particle":"","family":"Richards","given":"Alexander L.","non-dropping-particle":"","parse-names":false,"suffix":""},{"dropping-particle":"","family":"Roth","given":"Julian","non-dropping-particle":"","parse-names":false,"suffix":""},{"dropping-particle":"","family":"Lezheiko","given":"Tatyana","non-dropping-particle":"","parse-names":false,"suffix":""},{"dropping-particle":"","family":"Kondratyev","given":"Nikolay","non-dropping-particle":"","parse-names":false,"suffix":""},{"dropping-particle":"","family":"Kaleda","given":"Vasilii","non-dropping-particle":"","parse-names":false,"suffix":""},{"dropping-particle":"","family":"Golimbet","given":"Vera","non-dropping-particle":"","parse-names":false,"suffix":""},{"dropping-particle":"","family":"Parellada","given":"Mara","non-dropping-particle":"","parse-names":false,"suffix":""},{"dropping-particle":"","family":"González-Peñas","given":"Javier","non-dropping-particle":"","parse-names":false,"suffix":""},{"dropping-particle":"","family":"Arango","given":"Celso","non-dropping-particle":"","parse-names":false,"suffix":""},{"dropping-particle":"","family":"Alizadeh","given":"Behrooz Z.","non-dropping-particle":"","parse-names":false,"suffix":""},{"dropping-particle":"","family":"Amelsvoort","given":"Therese","non-dropping-particle":"van","parse-names":false,"suffix":""},{"dropping-particle":"","family":"Bruggeman","given":"Richard","non-dropping-particle":"","parse-names":false,"suffix":""},{"dropping-particle":"","family":"Cahn","given":"Wiepke","non-dropping-particle":"","parse-names":false,"suffix":""},{"dropping-particle":"","family":"Haan","given":"Lieuwe","non-dropping-particle":"de","parse-names":false,"suffix":""},{"dropping-particle":"","family":"Luykx","given":"Jurjen J.","non-dropping-particle":"","parse-names":false,"suffix":""},{"dropping-particle":"","family":"Rutten","given":"Bart P.F.","non-dropping-particle":"","parse-names":false,"suffix":""},{"dropping-particle":"","family":"Os","given":"Jim","non-dropping-particle":"van","parse-names":false,"suffix":""},{"dropping-particle":"","family":"Winkel","given":"Ruud","non-dropping-particle":"van","parse-names":false,"suffix":""},{"dropping-particle":"","family":"Gawlik","given":"Micha","non-dropping-particle":"","parse-names":false,"suffix":""},{"dropping-particle":"","family":"Kirov","given":"George","non-dropping-particle":"","parse-names":false,"suffix":""},{"dropping-particle":"","family":"Walters","given":"James T.R.","non-dropping-particle":"","parse-names":false,"suffix":""},{"dropping-particle":"","family":"Holmans","given":"Peter","non-dropping-particle":"","parse-names":false,"suffix":""},{"dropping-particle":"","family":"O’Donovan","given":"Michael C.","non-dropping-particle":"","parse-names":false,"suffix":""},{"dropping-particle":"","family":"Owen","given":"Michael J.","non-dropping-particle":"","parse-names":false,"suffix":""}],"container-title":"Nature Neuroscience","id":"ITEM-2","issue":"2","issued":{"date-parts":[["2020","2","1"]]},"page":"179-184","publisher":"Nature Research","title":"De novo mutations identified by exome sequencing implicate rare missense variants in SLC6A1 in schizophrenia","type":"article-journal","volume":"23"},"uris":["http://www.mendeley.com/documents/?uuid=031ee675-3dda-33cb-adb1-5fdf26cf2a3c"]},{"id":"ITEM-3","itemData":{"DOI":"10.1111/epi.13986","ISSN":"15281167","PMID":"29315614","abstract":"Objective: Pathogenic SLC6A1 variants were recently described in patients with myoclonic atonic epilepsy (MAE) and intellectual disability (ID). We set out to define the phenotypic spectrum in a larger cohort of SCL6A1-mutated patients. Methods: We collected 24 SLC6A1 probands and 6 affected family members. Four previously published cases were included for further electroclinical description. In total, we reviewed the electroclinical data of 34 subjects. Results: Cognitive development was impaired in 33/34 (97%) subjects; 28/34 had mild to moderate ID, with language impairment being the most common feature. Epilepsy was diagnosed in 31/34 cases with mean onset at 3.7 years. Cognitive assessment before epilepsy onset was available in 24/31 subjects and was normal in 25% (6/24), and consistent with mild ID in 46% (11/24) or moderate ID in 17% (4/24). Two patients had speech delay only, and 1 had severe ID. After epilepsy onset, cognition deteriorated in 46% (11/24) of cases. The most common seizure types were absence, myoclonic, and atonic seizures. Sixteen cases fulfilled the diagnostic criteria for MAE. Seven further patients had different forms of generalized epilepsy and 2 had focal epilepsy. Twenty of 31 patients became seizure-free, with valproic acid being the most effective drug. There was no clear-cut correlation between seizure control and cognitive outcome. Electroencephalography (EEG) findings were available in 27/31 patients showing irregular bursts of diffuse 2.5-3.5 Hz spikes/polyspikes-and-slow waves in 25/31. Two patients developed an EEG pattern resembling electrical status epilepticus during sleep. Ataxia was observed in 7/34 cases. We describe 7 truncating and 18 missense variants, including 4 recurrent variants (Gly232Val, Ala288Val, Val342Met, and Gly362Arg). Significance: Most patients carrying pathogenic SLC6A1 variants have an MAE phenotype with language delay and mild/moderate ID before epilepsy onset. However, ID alone or associated with focal epilepsy can also be observed.","author":[{"dropping-particle":"","family":"Johannesen","given":"Katrine M.","non-dropping-particle":"","parse-names":false,"suffix":""},{"dropping-particle":"","family":"Gardella","given":"Elena","non-dropping-particle":"","parse-names":false,"suffix":""},{"dropping-particle":"","family":"Linnankivi","given":"Tarja","non-dropping-particle":"","parse-names":false,"suffix":""},{"dropping-particle":"","family":"Courage","given":"Carolina","non-dropping-particle":"","parse-names":false,"suffix":""},{"dropping-particle":"","family":"Saint Martin","given":"Anne","non-dropping-particle":"de","parse-names":false,"suffix":""},{"dropping-particle":"","family":"Lehesjoki","given":"Anna Elina","non-dropping-particle":"","parse-names":false,"suffix":""},{"dropping-particle":"","family":"Mignot","given":"Cyril","non-dropping-particle":"","parse-names":false,"suffix":""},{"dropping-particle":"","family":"Afenjar","given":"Alexandra","non-dropping-particle":"","parse-names":false,"suffix":""},{"dropping-particle":"","family":"Lesca","given":"Gaetan","non-dropping-particle":"","parse-names":false,"suffix":""},{"dropping-particle":"","family":"Abi-Warde","given":"Marie Thérèse","non-dropping-particle":"","parse-names":false,"suffix":""},{"dropping-particle":"","family":"Chelly","given":"Jamel","non-dropping-particle":"","parse-names":false,"suffix":""},{"dropping-particle":"","family":"Piton","given":"Amélie","non-dropping-particle":"","parse-names":false,"suffix":""},{"dropping-particle":"","family":"Merritt","given":"J. Lawrence","non-dropping-particle":"","parse-names":false,"suffix":""},{"dropping-particle":"","family":"Rodan","given":"Lance H.","non-dropping-particle":"","parse-names":false,"suffix":""},{"dropping-particle":"","family":"Tan","given":"Wen Hann","non-dropping-particle":"","parse-names":false,"suffix":""},{"dropping-particle":"","family":"Bird","given":"Lynne M.","non-dropping-particle":"","parse-names":false,"suffix":""},{"dropping-particle":"","family":"Nespeca","given":"Mark","non-dropping-particle":"","parse-names":false,"suffix":""},{"dropping-particle":"","family":"Gleeson","given":"Joseph G.","non-dropping-particle":"","parse-names":false,"suffix":""},{"dropping-particle":"","family":"Yoo","given":"Yongjin","non-dropping-particle":"","parse-names":false,"suffix":""},{"dropping-particle":"","family":"Choi","given":"Murim","non-dropping-particle":"","parse-names":false,"suffix":""},{"dropping-particle":"","family":"Chae","given":"Jong Hee","non-dropping-particle":"","parse-names":false,"suffix":""},{"dropping-particle":"","family":"Czapansky-Beilman","given":"Desiree","non-dropping-particle":"","parse-names":false,"suffix":""},{"dropping-particle":"","family":"Reichert","given":"Sara Chadwick","non-dropping-particle":"","parse-names":false,"suffix":""},{"dropping-particle":"","family":"Pendziwiat","given":"Manuela","non-dropping-particle":"","parse-names":false,"suffix":""},{"dropping-particle":"","family":"Verhoeven","given":"Judith S.","non-dropping-particle":"","parse-names":false,"suffix":""},{"dropping-particle":"","family":"Schelhaas","given":"Helenius J.","non-dropping-particle":"","parse-names":false,"suffix":""},{"dropping-particle":"","family":"Devinsky","given":"Orrin","non-dropping-particle":"","parse-names":false,"suffix":""},{"dropping-particle":"","family":"Christensen","given":"Jakob","non-dropping-particle":"","parse-names":false,"suffix":""},{"dropping-particle":"","family":"Specchio","given":"Nicola","non-dropping-particle":"","parse-names":false,"suffix":""},{"dropping-particle":"","family":"Trivisano","given":"Marina","non-dropping-particle":"","parse-names":false,"suffix":""},{"dropping-particle":"","family":"Weber","given":"Yvonne G.","non-dropping-particle":"","parse-names":false,"suffix":""},{"dropping-particle":"","family":"Nava","given":"Caroline","non-dropping-particle":"","parse-names":false,"suffix":""},{"dropping-particle":"","family":"Keren","given":"Boris","non-dropping-particle":"","parse-names":false,"suffix":""},{"dropping-particle":"","family":"Doummar","given":"Diane","non-dropping-particle":"","parse-names":false,"suffix":""},{"dropping-particle":"","family":"Schaefer","given":"Elise","non-dropping-particle":"","parse-names":false,"suffix":""},{"dropping-particle":"","family":"Hopkins","given":"Sarah","non-dropping-particle":"","parse-names":false,"suffix":""},{"dropping-particle":"","family":"Dubbs","given":"Holly","non-dropping-particle":"","parse-names":false,"suffix":""},{"dropping-particle":"","family":"Shaw","given":"Jessica E.","non-dropping-particle":"","parse-names":false,"suffix":""},{"dropping-particle":"","family":"Pisani","given":"Laura","non-dropping-particle":"","parse-names":false,"suffix":""},{"dropping-particle":"","family":"Myers","given":"Candace T.","non-dropping-particle":"","parse-names":false,"suffix":""},{"dropping-particle":"","family":"Tang","given":"Sha","non-dropping-particle":"","parse-names":false,"suffix":""},{"dropping-particle":"","family":"Tang","given":"Shan","non-dropping-particle":"","parse-names":false,"suffix":""},{"dropping-particle":"","family":"Pal","given":"Deb K.","non-dropping-particle":"","parse-names":false,"suffix":""},{"dropping-particle":"","family":"Millichap","given":"John J.","non-dropping-particle":"","parse-names":false,"suffix":""},{"dropping-particle":"","family":"Carvill","given":"Gemma L.","non-dropping-particle":"","parse-names":false,"suffix":""},{"dropping-particle":"","family":"Helbig","given":"Kathrine L.","non-dropping-particle":"","parse-names":false,"suffix":""},{"dropping-particle":"","family":"Mecarelli","given":"Oriano","non-dropping-particle":"","parse-names":false,"suffix":""},{"dropping-particle":"","family":"Striano","given":"Pasquale","non-dropping-particle":"","parse-names":false,"suffix":""},{"dropping-particle":"","family":"Helbig","given":"Ingo","non-dropping-particle":"","parse-names":false,"suffix":""},{"dropping-particle":"","family":"Rubboli","given":"Guido","non-dropping-particle":"","parse-names":false,"suffix":""},{"dropping-particle":"","family":"Mefford","given":"Heather C.","non-dropping-particle":"","parse-names":false,"suffix":""},{"dropping-particle":"","family":"Møller","given":"Rikke S.","non-dropping-particle":"","parse-names":false,"suffix":""}],"container-title":"Epilepsia","id":"ITEM-3","issue":"2","issued":{"date-parts":[["2018","2","1"]]},"page":"389-402","publisher":"Blackwell Publishing Inc.","title":"Defining the phenotypic spectrum of SLC6A1 mutations","type":"article-journal","volume":"59"},"uris":["http://www.mendeley.com/documents/?uuid=a2d95890-93dc-3a5d-8919-2419b3fa33b5"]},{"id":"ITEM-4","itemData":{"DOI":"10.1016/j.ajhg.2015.02.016","ISSN":"15376605","PMID":"25865495","abstract":"GAT-1, encoded by SLC6A1, is one of the major gamma-aminobutyric acid (GABA) transporters in the brain and is responsible for re-uptake of GABA from the synapse. In this study, targeted resequencing of 644 individuals with epileptic encephalopathies led to the identification of six SLC6A1 mutations in seven individuals, all of whom have epilepsy with myoclonic-atonic seizures (MAE). We describe two truncations and four missense alterations, all of which most likely lead to loss of function of GAT-1 and thus reduced GABA re-uptake from the synapse. These individuals share many of the electrophysiological properties of Gat1-deficient mice, including spontaneous spike-wave discharges. Overall, pathogenic mutations occurred in 6/160 individuals with MAE, accounting for </w:instrText>
            </w:r>
            <w:r w:rsidR="003329D5">
              <w:rPr>
                <w:rFonts w:ascii="Cambria Math" w:hAnsi="Cambria Math" w:cs="Cambria Math"/>
                <w:color w:val="000000" w:themeColor="text1"/>
                <w:sz w:val="16"/>
                <w:szCs w:val="16"/>
              </w:rPr>
              <w:instrText>∼</w:instrText>
            </w:r>
            <w:r w:rsidR="003329D5">
              <w:rPr>
                <w:rFonts w:asciiTheme="majorHAnsi" w:hAnsiTheme="majorHAnsi" w:cstheme="majorHAnsi"/>
                <w:color w:val="000000" w:themeColor="text1"/>
                <w:sz w:val="16"/>
                <w:szCs w:val="16"/>
              </w:rPr>
              <w:instrText>4% of unsolved MAE cases.","author":[{"dropping-particle":"","family":"Carvill","given":"Gemma L.","non-dropping-particle":"","parse-names":false,"suffix":""},{"dropping-particle":"","family":"McMahon","given":"Jacinta M.","non-dropping-particle":"","parse-names":false,"suffix":""},{"dropping-particle":"","family":"Schneider","given":"Amy","non-dropping-particle":"","parse-names":false,"suffix":""},{"dropping-particle":"","family":"Zemel","given":"Matthew","non-dropping-particle":"","parse-names":false,"suffix":""},{"dropping-particle":"","family":"Myers","given":"Candace T.","non-dropping-particle":"","parse-names":false,"suffix":""},{"dropping-particle":"","family":"Saykally","given":"Julia","non-dropping-particle":"","parse-names":false,"suffix":""},{"dropping-particle":"","family":"Nguyen","given":"John","non-dropping-particle":"","parse-names":false,"suffix":""},{"dropping-particle":"","family":"Robbiano","given":"Angela","non-dropping-particle":"","parse-names":false,"suffix":""},{"dropping-particle":"","family":"Zara","given":"Federico","non-dropping-particle":"","parse-names":false,"suffix":""},{"dropping-particle":"","family":"Specchio","given":"Nicola","non-dropping-particle":"","parse-names":false,"suffix":""},{"dropping-particle":"","family":"Mecarelli","given":"Oriano","non-dropping-particle":"","parse-names":false,"suffix":""},{"dropping-particle":"","family":"Smith","given":"Robert L.","non-dropping-particle":"","parse-names":false,"suffix":""},{"dropping-particle":"","family":"Leventer","given":"Richard J.","non-dropping-particle":"","parse-names":false,"suffix":""},{"dropping-particle":"","family":"Møller","given":"Rikke S.","non-dropping-particle":"","parse-names":false,"suffix":""},{"dropping-particle":"","family":"Nikanorova","given":"Marina","non-dropping-particle":"","parse-names":false,"suffix":""},{"dropping-particle":"","family":"Dimova","given":"Petia","non-dropping-particle":"","parse-names":false,"suffix":""},{"dropping-particle":"","family":"Jordanova","given":"Albena","non-dropping-particle":"","parse-names":false,"suffix":""},{"dropping-particle":"","family":"Petrou","given":"Steven","non-dropping-particle":"","parse-names":false,"suffix":""},{"dropping-particle":"","family":"Helbig","given":"Ingo","non-dropping-particle":"","parse-names":false,"suffix":""},{"dropping-particle":"","family":"Striano","given":"Pasquale","non-dropping-particle":"","parse-names":false,"suffix":""},{"dropping-particle":"","family":"Weckhuysen","given":"Sarah","non-dropping-particle":"","parse-names":false,"suffix":""},{"dropping-particle":"","family":"Berkovic","given":"Samuel F.","non-dropping-particle":"","parse-names":false,"suffix":""},{"dropping-particle":"","family":"Scheffer","given":"Ingrid E.","non-dropping-particle":"","parse-names":false,"suffix":""},{"dropping-particle":"","family":"Mefford","given":"Heather C.","non-dropping-particle":"","parse-names":false,"suffix":""}],"container-title":"American Journal of Human Genetics","id":"ITEM-4","issue":"5","issued":{"date-parts":[["2015","5","7"]]},"page":"808-815","publisher":"Cell Press","title":"Mutations in the GABA transporter SLC6A1 cause epilepsy with myoclonic-atonic seizures","type":"article-journal","volume":"96"},"uris":["http://www.mendeley.com/documents/?uuid=4d60d14b-24a9-3df1-b551-497452795d33"]},{"id":"ITEM-5","itemData":{"DOI":"10.1016/j.pnpbp.2017.04.015","ISSN":"18784216","abstract":"Attention-deficit/hyperactivity disorder (ADHD) is an early onset childhood neurodevelopmental disorder with an estimated heritability of approximately 76%. We conducted a case-control study to explore the role of the SLC6A1 gene in ADHD. The genotypes of eight variants were determined using Sequenom MassARRAY technology. The participants in the study were 302 children with ADHD and 411 controls. ADHD symptoms were assessed using the Conners Parent Symptom Questionnaire. In our study, rs2944366 was consistently shown to be associated with the ADHD risk in the dominant model (odds ratio [OR] = 0.554, 95% confidence interval [CI] = 0.404–0.760), and nominally associated with Hyperactive index score (P = 0.027). In addition, rs1170695 has been found to be associated with the ADHD risk in the addictive model (OR = 1.457, 95%CI = 1.173–1.809), while rs9990174 was associated with the Hyperactive index score (P = 0.010). Intriguingly, gene-environmental interactions analysis consistently revealed the potential interactions of rs1170695 with blood lead (Pmul = 0.044) to modify the ADHD risk. Expression quantitative trait loci analysis suggested that these positive single nucleotide polymorphisms (SNPs) may mediate SLC6A1 gene expression. Therefore, our results suggest that selected SLC6A1 gene variants may have a significant effect on the ADHD risk.","author":[{"dropping-particle":"","family":"Yuan","given":"Fang fen","non-dropping-particle":"","parse-names":false,"suffix":""},{"dropping-particle":"","family":"Gu","given":"Xue","non-dropping-particle":"","parse-names":false,"suffix":""},{"dropping-particle":"","family":"Huang","given":"Xin","non-dropping-particle":"","parse-names":false,"suffix":""},{"dropping-particle":"","family":"Zhong","given":"Yan","non-dropping-particle":"","parse-names":false,"suffix":""},{"dropping-particle":"","family":"Wu","given":"Jing","non-dropping-particle":"","parse-names":false,"suffix":""}],"container-title":"Progress in Neuro-Psychopharmacology and Biological Psychiatry","id":"ITEM-5","issued":{"date-parts":[["2017","7","3"]]},"page":"202-208","publisher":"Elsevier Inc.","title":"SLC6A1 gene involvement in susceptibility to attention-deficit/hyperactivity disorder: A case-control study and gene-environment interaction","type":"article-journal","volume":"77"},"uris":["http://www.mendeley.com/documents/?uuid=bdf54446-03bb-3909-9349-8662b8976d01"]}],"mendeley":{"formattedCitation":"&lt;sup&gt;30–34&lt;/sup&gt;","plainTextFormattedCitation":"30–34","previouslyFormattedCitation":"(Carvill &lt;i&gt;et al.&lt;/i&gt;, 2015; Yuan &lt;i&gt;et al.&lt;/i&gt;, 2017; Johannesen &lt;i&gt;et al.&lt;/i&gt;, 2018; Szatkiewicz &lt;i&gt;et al.&lt;/i&gt;, 2019; Rees &lt;i&gt;et al.&lt;/i&gt;, 2020)"},"properties":{"noteIndex":0},"schema":"https://github.com/citation-style-language/schema/raw/master/csl-citation.json"}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30–34</w:t>
            </w:r>
            <w:r w:rsidRPr="00517FC6">
              <w:rPr>
                <w:rFonts w:asciiTheme="majorHAnsi" w:hAnsiTheme="majorHAnsi" w:cstheme="majorHAnsi"/>
                <w:color w:val="000000" w:themeColor="text1"/>
                <w:sz w:val="16"/>
                <w:szCs w:val="16"/>
              </w:rPr>
              <w:fldChar w:fldCharType="end"/>
            </w:r>
          </w:p>
        </w:tc>
        <w:tc>
          <w:tcPr>
            <w:tcW w:w="1877" w:type="dxa"/>
          </w:tcPr>
          <w:p w14:paraId="0DD15DEE" w14:textId="77777777" w:rsidR="00CC44D3" w:rsidRPr="00517FC6" w:rsidRDefault="00DA1B2A"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﻿Mutations often result in loss of function of GAT-1 and thus reduced GABA re-uptake from the synapse.</w:t>
            </w:r>
          </w:p>
        </w:tc>
      </w:tr>
      <w:tr w:rsidR="00517FC6" w:rsidRPr="00517FC6" w14:paraId="535AC4F4" w14:textId="77777777" w:rsidTr="00C93EF9">
        <w:tc>
          <w:tcPr>
            <w:tcW w:w="1286" w:type="dxa"/>
          </w:tcPr>
          <w:p w14:paraId="7B056F8A"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CSNK2A1</w:t>
            </w:r>
          </w:p>
        </w:tc>
        <w:tc>
          <w:tcPr>
            <w:tcW w:w="1998" w:type="dxa"/>
          </w:tcPr>
          <w:p w14:paraId="1A950E13" w14:textId="77777777" w:rsidR="00CC44D3"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Casein Kinase 2 Alpha 1</w:t>
            </w:r>
          </w:p>
        </w:tc>
        <w:tc>
          <w:tcPr>
            <w:tcW w:w="1419" w:type="dxa"/>
          </w:tcPr>
          <w:p w14:paraId="6349BC00" w14:textId="77777777" w:rsidR="008831BD" w:rsidRPr="00517FC6" w:rsidRDefault="008831BD"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CK2A1</w:t>
            </w:r>
            <w:r w:rsidR="00103ABC" w:rsidRPr="00517FC6">
              <w:rPr>
                <w:rFonts w:asciiTheme="majorHAnsi" w:hAnsiTheme="majorHAnsi" w:cstheme="majorHAnsi"/>
                <w:i/>
                <w:iCs/>
                <w:color w:val="000000" w:themeColor="text1"/>
                <w:sz w:val="16"/>
                <w:szCs w:val="16"/>
              </w:rPr>
              <w:t>,</w:t>
            </w:r>
            <w:r w:rsidRPr="00517FC6">
              <w:rPr>
                <w:rFonts w:asciiTheme="majorHAnsi" w:hAnsiTheme="majorHAnsi" w:cstheme="majorHAnsi"/>
                <w:i/>
                <w:iCs/>
                <w:color w:val="000000" w:themeColor="text1"/>
                <w:sz w:val="16"/>
                <w:szCs w:val="16"/>
              </w:rPr>
              <w:t xml:space="preserve"> Cka1</w:t>
            </w:r>
            <w:r w:rsidR="00103ABC" w:rsidRPr="00517FC6">
              <w:rPr>
                <w:rFonts w:asciiTheme="majorHAnsi" w:hAnsiTheme="majorHAnsi" w:cstheme="majorHAnsi"/>
                <w:i/>
                <w:iCs/>
                <w:color w:val="000000" w:themeColor="text1"/>
                <w:sz w:val="16"/>
                <w:szCs w:val="16"/>
              </w:rPr>
              <w:t>,</w:t>
            </w:r>
          </w:p>
          <w:p w14:paraId="1EBE48AF" w14:textId="77777777" w:rsidR="00CC44D3" w:rsidRPr="00517FC6" w:rsidRDefault="008831BD"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Cka2</w:t>
            </w:r>
          </w:p>
        </w:tc>
        <w:tc>
          <w:tcPr>
            <w:tcW w:w="2268" w:type="dxa"/>
          </w:tcPr>
          <w:p w14:paraId="04F71EA5" w14:textId="77777777" w:rsidR="00CC44D3" w:rsidRPr="00517FC6" w:rsidRDefault="00E601A9"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Casein kinase II is a serine/threonine protein kinase that phosphorylates acidic proteins such as casein. It is involved in various cellular </w:t>
            </w:r>
            <w:r w:rsidRPr="00517FC6">
              <w:rPr>
                <w:rFonts w:asciiTheme="majorHAnsi" w:hAnsiTheme="majorHAnsi" w:cstheme="majorHAnsi"/>
                <w:color w:val="000000" w:themeColor="text1"/>
                <w:sz w:val="16"/>
                <w:szCs w:val="16"/>
              </w:rPr>
              <w:lastRenderedPageBreak/>
              <w:t>processes, including cell cycle control, apoptosis, and circadian rhythm.</w:t>
            </w:r>
          </w:p>
        </w:tc>
        <w:tc>
          <w:tcPr>
            <w:tcW w:w="1585" w:type="dxa"/>
          </w:tcPr>
          <w:p w14:paraId="175F54D8" w14:textId="77777777" w:rsidR="00103ABC" w:rsidRPr="00517FC6" w:rsidRDefault="00103ABC"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t>N</w:t>
            </w:r>
            <w:r w:rsidR="00FB6FC5" w:rsidRPr="00517FC6">
              <w:rPr>
                <w:rFonts w:asciiTheme="majorHAnsi" w:hAnsiTheme="majorHAnsi" w:cstheme="majorHAnsi"/>
                <w:color w:val="000000" w:themeColor="text1"/>
                <w:sz w:val="16"/>
                <w:szCs w:val="16"/>
              </w:rPr>
              <w:t>eurodevelopmental disorders</w:t>
            </w:r>
            <w:r w:rsidR="00E601A9" w:rsidRPr="00517FC6">
              <w:rPr>
                <w:rFonts w:asciiTheme="majorHAnsi" w:hAnsiTheme="majorHAnsi" w:cstheme="majorHAnsi"/>
                <w:color w:val="000000" w:themeColor="text1"/>
                <w:sz w:val="16"/>
                <w:szCs w:val="16"/>
              </w:rPr>
              <w:t xml:space="preserve"> (Okur-Chung Neurodevelopmental Syndrome)</w:t>
            </w:r>
            <w:r w:rsidR="0056785D" w:rsidRPr="00517FC6">
              <w:rPr>
                <w:rFonts w:asciiTheme="majorHAnsi" w:hAnsiTheme="majorHAnsi" w:cstheme="majorHAnsi"/>
                <w:color w:val="000000" w:themeColor="text1"/>
                <w:sz w:val="16"/>
                <w:szCs w:val="16"/>
              </w:rPr>
              <w:t>,</w:t>
            </w:r>
          </w:p>
          <w:p w14:paraId="3F469F16" w14:textId="77777777" w:rsidR="00FB6FC5" w:rsidRPr="00517FC6" w:rsidRDefault="00FB6FC5"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t>Intellectual disability</w:t>
            </w:r>
            <w:r w:rsidR="0056785D" w:rsidRPr="00517FC6">
              <w:rPr>
                <w:rFonts w:asciiTheme="majorHAnsi" w:hAnsiTheme="majorHAnsi" w:cstheme="majorHAnsi"/>
                <w:color w:val="000000" w:themeColor="text1"/>
                <w:sz w:val="16"/>
                <w:szCs w:val="16"/>
              </w:rPr>
              <w:t>,</w:t>
            </w:r>
          </w:p>
          <w:p w14:paraId="1351E6D0" w14:textId="77777777" w:rsidR="00FB6FC5" w:rsidRPr="00517FC6" w:rsidRDefault="00FB6FC5"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Seizures</w:t>
            </w:r>
          </w:p>
          <w:p w14:paraId="4810688B" w14:textId="77777777" w:rsidR="00E601A9" w:rsidRPr="00517FC6" w:rsidRDefault="00E601A9" w:rsidP="00C93EF9">
            <w:pPr>
              <w:rPr>
                <w:rFonts w:asciiTheme="majorHAnsi" w:hAnsiTheme="majorHAnsi" w:cstheme="majorHAnsi"/>
                <w:color w:val="000000" w:themeColor="text1"/>
                <w:sz w:val="16"/>
                <w:szCs w:val="16"/>
              </w:rPr>
            </w:pPr>
          </w:p>
        </w:tc>
        <w:tc>
          <w:tcPr>
            <w:tcW w:w="1574" w:type="dxa"/>
          </w:tcPr>
          <w:p w14:paraId="38877211" w14:textId="77777777" w:rsidR="008831BD" w:rsidRPr="00517FC6" w:rsidRDefault="008831B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shd w:val="clear" w:color="auto" w:fill="FFFFFF"/>
              </w:rPr>
              <w:lastRenderedPageBreak/>
              <w:t>Ubiquitous expression across adult tissues including brain (RPKM: 25.8) </w:t>
            </w:r>
          </w:p>
          <w:p w14:paraId="3F2FBA49" w14:textId="77777777" w:rsidR="00CC44D3" w:rsidRPr="00517FC6" w:rsidRDefault="00CC44D3" w:rsidP="00C93EF9">
            <w:pPr>
              <w:rPr>
                <w:rFonts w:asciiTheme="majorHAnsi" w:hAnsiTheme="majorHAnsi" w:cstheme="majorHAnsi"/>
                <w:color w:val="000000" w:themeColor="text1"/>
                <w:sz w:val="16"/>
                <w:szCs w:val="16"/>
              </w:rPr>
            </w:pPr>
          </w:p>
          <w:p w14:paraId="250A60A2" w14:textId="77777777" w:rsidR="00B0146C" w:rsidRPr="00517FC6" w:rsidRDefault="00B0146C"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Essential for embryonic development.</w:t>
            </w:r>
          </w:p>
        </w:tc>
        <w:tc>
          <w:tcPr>
            <w:tcW w:w="1281" w:type="dxa"/>
          </w:tcPr>
          <w:p w14:paraId="1A29DFBA" w14:textId="1F17F930" w:rsidR="00CC44D3" w:rsidRPr="00517FC6" w:rsidRDefault="0020150D"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lastRenderedPageBreak/>
              <w:fldChar w:fldCharType="begin" w:fldLock="1"/>
            </w:r>
            <w:r w:rsidR="003329D5">
              <w:rPr>
                <w:rFonts w:asciiTheme="majorHAnsi" w:hAnsiTheme="majorHAnsi" w:cstheme="majorHAnsi"/>
                <w:color w:val="000000" w:themeColor="text1"/>
                <w:sz w:val="16"/>
                <w:szCs w:val="16"/>
              </w:rPr>
              <w:instrText>ADDIN CSL_CITATION {"citationItems":[{"id":"ITEM-1","itemData":{"DOI":"10.1002/ajmg.a.38610","ISSN":"15524825","abstract":"Variants in the Protein Kinase CK2 alpha subunit, encoding the CSNK2A1 gene, have previously been reported in children with an intellectual disability and dysmorphic facial features syndrome: now termed the Okur–Chung neurodevelopmental syndrome. More recently, through trio-based exome sequencing undertaken by the Deciphering Developmental Disorders Study (DDD study), a further 11 children with de novo CSNK2A1 variants have been identified. We have undertaken detailed phenotyping of these patients. Consistent with previously reported patients, patients in this series had apparent intellectual disability, swallowing difficulties, and hypotonia. While there are some shared facial characteristics, the gestalt is neither consistent nor readily recognized. Congenital heart abnormalities were identified in nearly 30% of the patients, representing a newly recognized CSNK2A1 clinical association. Based upon the clinical findings from this study and the previously reported patients, we suggest an initial approach to the management of patients with this recently described intellectual disability syndrome.","author":[{"dropping-particle":"","family":"Owen","given":"Ceris I.","non-dropping-particle":"","parse-names":false,"suffix":""},{"dropping-particle":"","family":"Bowden","given":"Ramsay","non-dropping-particle":"","parse-names":false,"suffix":""},{"dropping-particle":"","family":"Parker","given":"Michael J.","non-dropping-particle":"","parse-names":false,"suffix":""},{"dropping-particle":"","family":"Patterson","given":"Jo","non-dropping-particle":"","parse-names":false,"suffix":""},{"dropping-particle":"","family":"Patterson","given":"Joan","non-dropping-particle":"","parse-names":false,"suffix":""},{"dropping-particle":"","family":"Price","given":"Sue","non-dropping-particle":"","parse-names":false,"suffix":""},{"dropping-particle":"","family":"Sarkar","given":"Ajoy","non-dropping-particle":"","parse-names":false,"suffix":""},{"dropping-particle":"","family":"Castle","given":"Bruce","non-dropping-particle":"","parse-names":false,"suffix":""},{"dropping-particle":"","family":"Deshpande","given":"Charulatha","non-dropping-particle":"","parse-names":false,"suffix":""},{"dropping-particle":"","family":"Splitt","given":"Miranda","non-dropping-particle":"","parse-names":false,"suffix":""},{"dropping-particle":"","family":"Ghali","given":"Neeti","non-dropping-particle":"","parse-names":false,"suffix":""},{"dropping-particle":"","family":"Dean","given":"John","non-dropping-particle":"","parse-names":false,"suffix":""},{"dropping-particle":"","family":"Green","given":"Andrew J.","non-dropping-particle":"","parse-names":false,"suffix":""},{"dropping-particle":"","family":"Crosby","given":"Charlene","non-dropping-particle":"","parse-names":false,"suffix":""},{"dropping-particle":"","family":"Tatton-Brown","given":"Katrina","non-dropping-particle":"","parse-names":false,"suffix":""}],"container-title":"American Journal of Medical Genetics Part A","id":"ITEM-1","issue":"5","issued":{"date-parts":[["2018","5","1"]]},"page":"1108-1114","publisher":"Wiley-Liss Inc.","title":"Extending the phenotype associated with the &lt;i&gt;CSNK2A1-&lt;/i&gt; related Okur-Chung syndrome-A clinical study of 11 individuals","type":"article-journal","volume":"176"},"uris":["http://www.mendeley.com/documents/?uuid=cf716fe6-52a9-3c4d-9e11-23102622c974"]},{"id":"ITEM-2","itemData":{"DOI":"10.1038/s10038-018-0559-z","ISSN":"1435232X","PMID":"30655572","abstract":"Casein kinase 2 (CK2) is a serine threonine kinase ubiquitously expressed in eukaryotic cells and involved in various cellular processes. In recent studies, de novo variants in CSNK2A1 and CSNK2B, which encode the subunits of CK2, have been identified in individuals with intellectual disability syndrome. In this study, we describe four patients with neurodevelopmental disorders possessing de novo variants in CSNK2A1 or CSNK2B. Using whole-exome sequencing, we detected two de novo variants in CSNK2A1 in two unrelated Japanese patients, a novel variant c.571C&gt;T, p.(Arg191*) and a recurrent variant c.593A&gt;G, p.(Lys198Arg), and two novel de novo variants in CSNK2B in Japanese and Malaysian patients, c.494A&gt;G, p.(His165Arg) and c.533_534insGT, p.(Pro179Tyrfs*49), respectively. All four patients showed mild to profound intellectual disabilities, developmental delays, and various types of seizures. This and previous studies have found a total of 20 CSNK2A1 variants in 28 individuals with syndromic intellectual disability. The hotspot variant c.593A&gt;G, p.(Lys198Arg) was found in eight of 28 patients. Meanwhile, only five CSNK2B variants were identified in five individuals with neurodevelopmental disorders. We reviewed the previous literature to verify the phenotypic spectrum of CSNK2A1- and CSNK2B-related syndromes.","author":[{"dropping-particle":"","family":"Nakashima","given":"Mitsuko","non-dropping-particle":"","parse-names":false,"suffix":""},{"dropping-particle":"","family":"Tohyama","given":"Jun","non-dropping-particle":"","parse-names":false,"suffix":""},{"dropping-particle":"","family":"Nakagawa","given":"Eiji","non-dropping-particle":"","parse-names":false,"suffix":""},{"dropping-particle":"","family":"Watanabe","given":"Yoshihiro","non-dropping-particle":"","parse-names":false,"suffix":""},{"dropping-particle":"","family":"Siew","given":"Chng Gaik","non-dropping-particle":"","parse-names":false,"suffix":""},{"dropping-particle":"","family":"Kwong","given":"Chieng Siik","non-dropping-particle":"","parse-names":false,"suffix":""},{"dropping-particle":"","family":"Yamoto","given":"Kaori","non-dropping-particle":"","parse-names":false,"suffix":""},{"dropping-particle":"","family":"Hiraide","given":"Takuya","non-dropping-particle":"","parse-names":false,"suffix":""},{"dropping-particle":"","family":"Fukuda","given":"Tokiko","non-dropping-particle":"","parse-names":false,"suffix":""},{"dropping-particle":"","family":"Kaname","given":"Tadashi","non-dropping-particle":"","parse-names":false,"suffix":""},{"dropping-particle":"","family":"Nakabayashi","given":"Kazuhiko","non-dropping-particle":"","parse-names":false,"suffix":""},{"dropping-particle":"","family":"Hata","given":"Kenichiro","non-dropping-particle":"","parse-names":false,"suffix":""},{"dropping-particle":"","family":"Ogata","given":"Tsutomu","non-dropping-particle":"","parse-names":false,"suffix":""},{"dropping-particle":"","family":"Saitsu","given":"Hirotomo","non-dropping-particle":"","parse-names":false,"suffix":""},{"dropping-particle":"","family":"Matsumoto","given":"Naomichi","non-dropping-particle":"","parse-names":false,"suffix":""}],"container-title":"Journal of Human Genetics","id":"ITEM-2","issue":"4","issued":{"date-parts":[["2019","4","1"]]},"page":"313-322","publisher":"Nature Publishing Group","title":"Identification of de novo CSNK2A1 and CSNK2B variants in cases of global developmental delay with seizures","type":"article-journal","volume":"64"},"uris":["http://www.mendeley.com/documents/?uuid=9edc625d-8e06-333c-8463-6faa1057008c"]},{"id":"ITEM-3","itemData":{"DOI":"10.1007/s00439-016-1661-y","ISSN":"1432-1203","PMID":"27048600","abstract":"Whole exome sequencing (WES) can be used to efficiently identify de novo genetic variants associated with genetically heterogeneous conditions including intellectual disabilities. We have performed WES for 4102 (1847 female; 2255 male) intellectual disability/developmental delay cases and we report five patients with a neurodevelopmental disorder associated with developmental delay, intellectual disability, behavioral problems, hypotonia, speech problems, microcephaly, pachygyria and dysmorphic features in whom we have identified de novo missense and canonical splice site mutations in CSNK2A1, the gene encoding CK2α, the catalytic subunit of protein kinase CK2, a ubiquitous serine/threonine kinase composed of two regulatory (β) and two catalytic (α and/or α') subunits. Somatic mutations in CSNK2A1 have been implicated in various cancers; however, this is the first study to describe a human condition associated with germline mutations in any of the CK2 subunits.","author":[{"dropping-particle":"","family":"Okur","given":"Volkan","non-dropping-particle":"","parse-names":false,"suffix":""},{"dropping-particle":"","family":"Cho","given":"Megan T","non-dropping-particle":"","parse-names":false,"suffix":""},{"dropping-particle":"","family":"Henderson","given":"Lindsay","non-dropping-particle":"","parse-names":false,"suffix":""},{"dropping-particle":"","family":"Retterer","given":"Kyle","non-dropping-particle":"","parse-names":false,"suffix":""},{"dropping-particle":"","family":"Schneider","given":"Michael","non-dropping-particle":"","parse-names":false,"suffix":""},{"dropping-particle":"","family":"Sattler","given":"Shannon","non-dropping-particle":"","parse-names":false,"suffix":""},{"dropping-particle":"","family":"Niyazov","given":"Dmitriy","non-dropping-particle":"","parse-names":false,"suffix":""},{"dropping-particle":"","family":"Azage","given":"Meron","non-dropping-particle":"","parse-names":false,"suffix":""},{"dropping-particle":"","family":"Smith","given":"Sharon","non-dropping-particle":"","parse-names":false,"suffix":""},{"dropping-particle":"","family":"Picker","given":"Jonathan","non-dropping-particle":"","parse-names":false,"suffix":""},{"dropping-particle":"","family":"Lincoln","given":"Sharyn","non-dropping-particle":"","parse-names":false,"suffix":""},{"dropping-particle":"","family":"Tarnopolsky","given":"Mark","non-dropping-particle":"","parse-names":false,"suffix":""},{"dropping-particle":"","family":"Brady","given":"Lauren","non-dropping-particle":"","parse-names":false,"suffix":""},{"dropping-particle":"","family":"Bjornsson","given":"Hans T","non-dropping-particle":"","parse-names":false,"suffix":""},{"dropping-particle":"","family":"Applegate","given":"Carolyn","non-dropping-particle":"","parse-names":false,"suffix":""},{"dropping-particle":"","family":"Dameron","given":"Amy","non-dropping-particle":"","parse-names":false,"suffix":""},{"dropping-particle":"","family":"Willaert","given":"Rebecca","non-dropping-particle":"","parse-names":false,"suffix":""},{"dropping-particle":"","family":"Baskin","given":"Berivan","non-dropping-particle":"","parse-names":false,"suffix":""},{"dropping-particle":"","family":"Juusola","given":"Jane","non-dropping-particle":"","parse-names":false,"suffix":""},{"dropping-particle":"","family":"Chung","given":"Wendy K","non-dropping-particle":"","parse-names":false,"suffix":""}],"container-title":"Human genetics","id":"ITEM-3","issue":"7","issued":{"date-parts":[["2016","7","1"]]},"page":"699-705","publisher":"Springer Verlag","title":"De novo mutations in CSNK2A1 are associated with neurodevelopmental abnormalities and dysmorphic features.","type":"article-journal","volume":"135"},"uris":["http://www.mendeley.com/documents/?uuid=434dc75f-21b4-355e-8cc7-1c4008a49563"]},{"id":"ITEM-4","itemData":{"DOI":"10.1002/humu.23270","ISSN":"1098-1004","PMID":"28585349","abstract":"De novo mutations are a frequent cause of disorders related to brain development. We report the results from the screening of two patients diagnosed with intellectual disability (ID) using exome sequencing to identify new causative de novo mutations. Exome sequencing was conducted in two patient-parent trios to identify de novo variants. In silico and expression studies were also performed to evaluate the functional consequences of these variants. The two patients presented developmental delay with minor facial dysmorphy. One of them presented pharmacoresistant myoclonic epilepsy. We identified two de novo splice variants (c.175+2T&gt;G; c.367+2T&gt;C) in the CSNK2B gene encoding the β subunit of the Caseine kinase 2 (CK2). CK2 is a ubiquitously expressed kinase that is present in high levels in brain and it appears to be constitutively active. The mRNA transcripts were abnormal and significantly reduced in affected fibroblasts and most likely produced truncated proteins. Taking into account that mutations in CSNK2A1, encoding the α subunit of CK2, were previously identified in patients with neurodevelopmental disorders and dysmorphic features, our study confirmed that the protein kinase CK2 plays a major role in brain, and showed that CSNK2, encoding the β subunit, is a novel ID gene. This study adds knowledge to the increasingly growing list of causative and candidate genes in ID and epilepsy, and highlights CSNK2B as a new gene for neurodevelopmental disorders.","author":[{"dropping-particle":"","family":"Poirier","given":"Karine","non-dropping-particle":"","parse-names":false,"suffix":""},{"dropping-particle":"","family":"Hubert","given":"Laurence","non-dropping-particle":"","parse-names":false,"suffix":""},{"dropping-particle":"","family":"Viot","given":"Géraldine","non-dropping-particle":"","parse-names":false,"suffix":""},{"dropping-particle":"","family":"Rio","given":"Marlène","non-dropping-particle":"","parse-names":false,"suffix":""},{"dropping-particle":"","family":"Billuart","given":"Pierre","non-dropping-particle":"","parse-names":false,"suffix":""},{"dropping-particle":"","family":"Besmond","given":"Claude","non-dropping-particle":"","parse-names":false,"suffix":""},{"dropping-particle":"","family":"Bienvenu","given":"Thierry","non-dropping-particle":"","parse-names":false,"suffix":""}],"container-title":"Human mutation","id":"ITEM-4","issue":"8","issued":{"date-parts":[["2017","8","1"]]},"page":"932-941","publisher":"John Wiley and Sons Inc.","title":"CSNK2B splice site mutations in patients cause intellectual disability with or without myoclonic epilepsy.","type":"article-journal","volume":"38"},"uris":["http://www.mendeley.com/documents/?uuid=c3044b44-16e1-362e-986f-06562cab3728"]}],"mendeley":{"formattedCitation":"&lt;sup&gt;35–38&lt;/sup&gt;","plainTextFormattedCitation":"35–38","previouslyFormattedCitation":"(Okur &lt;i&gt;et al.&lt;/i&gt;, 2016; Poirier &lt;i&gt;et al.&lt;/i&gt;, 2017; Owen &lt;i&gt;et al.&lt;/i&gt;, 2018; Nakashima &lt;i&gt;et al.&lt;/i&gt;, 2019)"},"properties":{"noteIndex":0},"schema":"https://github.com/citation-style-language/schema/raw/master/csl-citation.json"}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35–38</w:t>
            </w:r>
            <w:r w:rsidRPr="00517FC6">
              <w:rPr>
                <w:rFonts w:asciiTheme="majorHAnsi" w:hAnsiTheme="majorHAnsi" w:cstheme="majorHAnsi"/>
                <w:color w:val="000000" w:themeColor="text1"/>
                <w:sz w:val="16"/>
                <w:szCs w:val="16"/>
              </w:rPr>
              <w:fldChar w:fldCharType="end"/>
            </w:r>
          </w:p>
        </w:tc>
        <w:tc>
          <w:tcPr>
            <w:tcW w:w="1877" w:type="dxa"/>
          </w:tcPr>
          <w:p w14:paraId="537890E0" w14:textId="77777777" w:rsidR="00CC44D3" w:rsidRPr="00517FC6" w:rsidRDefault="00DC346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 xml:space="preserve">Often associated dysmorphic facial features. ﻿Congenital heart abnormalities identified in nearly 30% </w:t>
            </w:r>
            <w:r w:rsidRPr="00517FC6">
              <w:rPr>
                <w:rFonts w:asciiTheme="majorHAnsi" w:hAnsiTheme="majorHAnsi" w:cstheme="majorHAnsi"/>
                <w:color w:val="000000" w:themeColor="text1"/>
                <w:sz w:val="16"/>
                <w:szCs w:val="16"/>
              </w:rPr>
              <w:lastRenderedPageBreak/>
              <w:t xml:space="preserve">of the patients with </w:t>
            </w:r>
            <w:r w:rsidRPr="00517FC6">
              <w:rPr>
                <w:rFonts w:asciiTheme="majorHAnsi" w:hAnsiTheme="majorHAnsi" w:cstheme="majorHAnsi"/>
                <w:i/>
                <w:iCs/>
                <w:color w:val="000000" w:themeColor="text1"/>
                <w:sz w:val="16"/>
                <w:szCs w:val="16"/>
              </w:rPr>
              <w:t xml:space="preserve">CSNK2A1 </w:t>
            </w:r>
            <w:r w:rsidRPr="00517FC6">
              <w:rPr>
                <w:rFonts w:asciiTheme="majorHAnsi" w:hAnsiTheme="majorHAnsi" w:cstheme="majorHAnsi"/>
                <w:color w:val="000000" w:themeColor="text1"/>
                <w:sz w:val="16"/>
                <w:szCs w:val="16"/>
              </w:rPr>
              <w:t>mutations.</w:t>
            </w:r>
          </w:p>
        </w:tc>
      </w:tr>
      <w:tr w:rsidR="00517FC6" w:rsidRPr="00517FC6" w14:paraId="2DEA8A2B" w14:textId="77777777" w:rsidTr="00C93EF9">
        <w:tc>
          <w:tcPr>
            <w:tcW w:w="1286" w:type="dxa"/>
          </w:tcPr>
          <w:p w14:paraId="5C42ADD7"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lastRenderedPageBreak/>
              <w:t>KLHL20</w:t>
            </w:r>
          </w:p>
        </w:tc>
        <w:tc>
          <w:tcPr>
            <w:tcW w:w="1998" w:type="dxa"/>
          </w:tcPr>
          <w:p w14:paraId="0513EBD9" w14:textId="77777777" w:rsidR="00CC44D3" w:rsidRPr="00517FC6" w:rsidRDefault="00CC44D3" w:rsidP="00C93EF9">
            <w:pPr>
              <w:rPr>
                <w:rFonts w:asciiTheme="majorHAnsi" w:hAnsiTheme="majorHAnsi" w:cstheme="majorHAnsi"/>
                <w:color w:val="000000" w:themeColor="text1"/>
                <w:sz w:val="16"/>
                <w:szCs w:val="16"/>
              </w:rPr>
            </w:pPr>
            <w:proofErr w:type="spellStart"/>
            <w:r w:rsidRPr="00517FC6">
              <w:rPr>
                <w:rFonts w:asciiTheme="majorHAnsi" w:hAnsiTheme="majorHAnsi" w:cstheme="majorHAnsi"/>
                <w:color w:val="000000" w:themeColor="text1"/>
                <w:sz w:val="16"/>
                <w:szCs w:val="16"/>
              </w:rPr>
              <w:t>Kelch</w:t>
            </w:r>
            <w:proofErr w:type="spellEnd"/>
            <w:r w:rsidRPr="00517FC6">
              <w:rPr>
                <w:rFonts w:asciiTheme="majorHAnsi" w:hAnsiTheme="majorHAnsi" w:cstheme="majorHAnsi"/>
                <w:color w:val="000000" w:themeColor="text1"/>
                <w:sz w:val="16"/>
                <w:szCs w:val="16"/>
              </w:rPr>
              <w:t xml:space="preserve"> Like Family Member 20</w:t>
            </w:r>
          </w:p>
        </w:tc>
        <w:tc>
          <w:tcPr>
            <w:tcW w:w="1419" w:type="dxa"/>
          </w:tcPr>
          <w:p w14:paraId="684B9608" w14:textId="77777777" w:rsidR="008831BD"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KLEIP</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KLHLX</w:t>
            </w:r>
            <w:r w:rsidR="00103ABC" w:rsidRPr="00517FC6">
              <w:rPr>
                <w:rFonts w:asciiTheme="majorHAnsi" w:hAnsiTheme="majorHAnsi" w:cstheme="majorHAnsi"/>
                <w:i/>
                <w:iCs/>
                <w:color w:val="000000" w:themeColor="text1"/>
                <w:sz w:val="16"/>
                <w:szCs w:val="16"/>
              </w:rPr>
              <w:t xml:space="preserve">, </w:t>
            </w:r>
            <w:r w:rsidR="008831BD" w:rsidRPr="00517FC6">
              <w:rPr>
                <w:rFonts w:asciiTheme="majorHAnsi" w:hAnsiTheme="majorHAnsi" w:cstheme="majorHAnsi"/>
                <w:i/>
                <w:iCs/>
                <w:color w:val="000000" w:themeColor="text1"/>
                <w:sz w:val="16"/>
                <w:szCs w:val="16"/>
              </w:rPr>
              <w:t>KHLHX</w:t>
            </w:r>
          </w:p>
        </w:tc>
        <w:tc>
          <w:tcPr>
            <w:tcW w:w="2268" w:type="dxa"/>
          </w:tcPr>
          <w:p w14:paraId="36C7A592" w14:textId="77777777" w:rsidR="00CC44D3" w:rsidRPr="00517FC6" w:rsidRDefault="00B75A5E"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KLHL20 is a related CUL3-dependent ubiquitin ligase linked to autophagy, cancer, and Alzheimer's disease that promotes the ubiquitination and degradation of substrates including DAPK1, PML, and ULK1.</w:t>
            </w:r>
          </w:p>
        </w:tc>
        <w:tc>
          <w:tcPr>
            <w:tcW w:w="1585" w:type="dxa"/>
          </w:tcPr>
          <w:p w14:paraId="2427A4C3" w14:textId="77777777" w:rsidR="00CC44D3" w:rsidRPr="00517FC6" w:rsidRDefault="00FB6FC5"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Alzheimer’s disease</w:t>
            </w:r>
            <w:r w:rsidR="0056785D" w:rsidRPr="00517FC6">
              <w:rPr>
                <w:rFonts w:asciiTheme="majorHAnsi" w:hAnsiTheme="majorHAnsi" w:cstheme="majorHAnsi"/>
                <w:color w:val="000000" w:themeColor="text1"/>
                <w:sz w:val="16"/>
                <w:szCs w:val="16"/>
              </w:rPr>
              <w:t>,</w:t>
            </w:r>
            <w:r w:rsidRPr="00517FC6">
              <w:rPr>
                <w:rFonts w:asciiTheme="majorHAnsi" w:hAnsiTheme="majorHAnsi" w:cstheme="majorHAnsi"/>
                <w:color w:val="000000" w:themeColor="text1"/>
                <w:sz w:val="16"/>
                <w:szCs w:val="16"/>
              </w:rPr>
              <w:t xml:space="preserve"> </w:t>
            </w:r>
          </w:p>
          <w:p w14:paraId="1FE894B3" w14:textId="77777777" w:rsidR="003B61D6" w:rsidRPr="00517FC6" w:rsidRDefault="003B61D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Cancer</w:t>
            </w:r>
          </w:p>
        </w:tc>
        <w:tc>
          <w:tcPr>
            <w:tcW w:w="1574" w:type="dxa"/>
          </w:tcPr>
          <w:p w14:paraId="389D51EC" w14:textId="77777777" w:rsidR="00CC44D3" w:rsidRPr="00517FC6" w:rsidRDefault="008831BD" w:rsidP="00C93EF9">
            <w:pPr>
              <w:rPr>
                <w:rFonts w:asciiTheme="majorHAnsi" w:hAnsiTheme="majorHAnsi" w:cstheme="majorHAnsi"/>
                <w:color w:val="000000" w:themeColor="text1"/>
                <w:sz w:val="16"/>
                <w:szCs w:val="16"/>
                <w:shd w:val="clear" w:color="auto" w:fill="FFFFFF"/>
              </w:rPr>
            </w:pPr>
            <w:r w:rsidRPr="00517FC6">
              <w:rPr>
                <w:rFonts w:asciiTheme="majorHAnsi" w:hAnsiTheme="majorHAnsi" w:cstheme="majorHAnsi"/>
                <w:color w:val="000000" w:themeColor="text1"/>
                <w:sz w:val="16"/>
                <w:szCs w:val="16"/>
                <w:shd w:val="clear" w:color="auto" w:fill="FFFFFF"/>
              </w:rPr>
              <w:t>Ubiquitous expression across adult tissues including brain (RPKM: 4.7)</w:t>
            </w:r>
            <w:r w:rsidR="00B0146C" w:rsidRPr="00517FC6">
              <w:rPr>
                <w:rFonts w:asciiTheme="majorHAnsi" w:hAnsiTheme="majorHAnsi" w:cstheme="majorHAnsi"/>
                <w:color w:val="000000" w:themeColor="text1"/>
                <w:sz w:val="16"/>
                <w:szCs w:val="16"/>
                <w:shd w:val="clear" w:color="auto" w:fill="FFFFFF"/>
              </w:rPr>
              <w:t>.</w:t>
            </w:r>
          </w:p>
          <w:p w14:paraId="065C9BBC" w14:textId="77777777" w:rsidR="00B0146C" w:rsidRPr="00517FC6" w:rsidRDefault="00B0146C" w:rsidP="00C93EF9">
            <w:pPr>
              <w:rPr>
                <w:rFonts w:asciiTheme="majorHAnsi" w:hAnsiTheme="majorHAnsi" w:cstheme="majorHAnsi"/>
                <w:color w:val="000000" w:themeColor="text1"/>
                <w:sz w:val="16"/>
                <w:szCs w:val="16"/>
                <w:shd w:val="clear" w:color="auto" w:fill="FFFFFF"/>
              </w:rPr>
            </w:pPr>
          </w:p>
          <w:p w14:paraId="29CF3C56" w14:textId="77777777" w:rsidR="00B0146C" w:rsidRPr="00517FC6" w:rsidRDefault="00B0146C"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shd w:val="clear" w:color="auto" w:fill="FFFFFF"/>
              </w:rPr>
              <w:t>Important in Embryonic development.</w:t>
            </w:r>
          </w:p>
        </w:tc>
        <w:tc>
          <w:tcPr>
            <w:tcW w:w="1281" w:type="dxa"/>
          </w:tcPr>
          <w:p w14:paraId="0E4A7C32" w14:textId="5A87A9B0" w:rsidR="00CC44D3" w:rsidRPr="00517FC6" w:rsidRDefault="00033ED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ADDIN CSL_CITATION {"citationItems":[{"id":"ITEM-1","itemData":{"DOI":"10.1016/j.molcel.2015.11.001","ISSN":"10974164","abstract":"Autophagy, a cellular self-eating mechanism, is important for maintaining cell survival and tissue homeostasis in various stressed conditions. Although the molecular mechanism of autophagy induction has been well studied, how cells terminate autophagy process remains elusive. Here, we show that ULK1, a serine/threonine kinase critical for autophagy initiation, is a substrate of the Cul3-KLHL20 ubiquitin ligase. Upon autophagy induction, ULK1 autophosphorylation facilitates its recruitment to KLHL20 for ubiquitination and proteolysis. This autophagy-stimulated, KLHL20-dependent ULK1 degradation restrains the amplitude and duration of autophagy. Additionally, KLHL20 governs the degradation of ATG13, VPS34, Beclin-1, and ATG14 in prolonged starvation through a direct or indirect mechanism. Impairment of KLHL20-mediated regulation of autophagy dynamics potentiates starvation-induced cell death and aggravates diabetes-associated muscle atrophy. Our study identifies a key role of KLHL20 in autophagy termination by controlling autophagy-dependent turnover of ULK1 and VPS34 complex subunits and reveals the pathophysiological functions of this autophagy termination mechanism. Liu et al. report a function of the Cul3-KLHL20 ubiquitin ligase in a feedback regulation, leading to autophagy termination through the degradation of multiple subunits of ULK1 and VPS34 complexes. This mechanism is important for cell survival and muscle homeostasis.","author":[{"dropping-particle":"","family":"Liu","given":"Chin Chih","non-dropping-particle":"","parse-names":false,"suffix":""},{"dropping-particle":"","family":"Lin","given":"Yu Ching","non-dropping-particle":"","parse-names":false,"suffix":""},{"dropping-particle":"","family":"Chen","given":"Yu Hsuan","non-dropping-particle":"","parse-names":false,"suffix":""},{"dropping-particle":"","family":"Chen","given":"Chun Ming","non-dropping-particle":"","parse-names":false,"suffix":""},{"dropping-particle":"","family":"Pang","given":"Liang Yu","non-dropping-particle":"","parse-names":false,"suffix":""},{"dropping-particle":"","family":"Chen","given":"Hsuan An","non-dropping-particle":"","parse-names":false,"suffix":""},{"dropping-particle":"","family":"Wu","given":"Pei Rung","non-dropping-particle":"","parse-names":false,"suffix":""},{"dropping-particle":"","family":"Lin","given":"Mei Yao","non-dropping-particle":"","parse-names":false,"suffix":""},{"dropping-particle":"","family":"Jiang","given":"Si Tse","non-dropping-particle":"","parse-names":false,"suffix":""},{"dropping-particle":"","family":"Tsai","given":"Ting Fen","non-dropping-particle":"","parse-names":false,"suffix":""},{"dropping-particle":"","family":"Chen","given":"Ruey Hwa","non-dropping-particle":"","parse-names":false,"suffix":""}],"container-title":"Molecular Cell","id":"ITEM-1","issue":"1","issued":{"date-parts":[["2016","1","7"]]},"page":"84-97","publisher":"Cell Press","title":"Cul3-KLHL20 Ubiquitin Ligase Governs the Turnover of ULK1 and VPS34 Complexes to Control Autophagy Termination","type":"article-journal","volume":"61"},"uris":["http://www.mendeley.com/documents/?uuid=0d9dc827-babd-3ef9-805f-9c72678fc61f"]},{"id":"ITEM-2","itemData":{"DOI":"10.1080/15548627.2016.1173802","ISSN":"15548635","abstract":"ABSTRACT: The molecular mechanism of macroautophagy/autophagy induction has been intensively studied, but little is known about downregulation of autophagy and how this process is restricted. In particular, how is autophagy maintained at an appropriate homeostatic level when cells are subjected to prolonged stress? In this study (see the related punctum in Autophagy 12–5), Liu et al. report a function of the CUL3-KLHL20 ubiquitin ligase in feedback regulation, leading to the downregulation of autophagy through the degradation of the ULK1 and PIK3C3/VPS34 complexes.","author":[{"dropping-particle":"","family":"Feng","given":"Yuchen","non-dropping-particle":"","parse-names":false,"suffix":""},{"dropping-particle":"","family":"Klionsky","given":"Daniel J.","non-dropping-particle":"","parse-names":false,"suffix":""}],"container-title":"Autophagy","id":"ITEM-2","issue":"7","issued":{"date-parts":[["2016","7","2"]]},"page":"1071-1072","publisher":"Taylor and Francis Inc.","title":"Downregulation of autophagy through CUL3-KLHL20-mediated turnover of the ULK1 and PIK3C3/VPS34 complexes","type":"article","volume":"12"},"uris":["http://www.mendeley.com/documents/?uuid=56548e65-c7e0-326d-8dfb-130b4f799c97"]},{"id":"ITEM-3","itemData":{"DOI":"10.1016/j.str.2019.06.005","ISSN":"18784186","abstract":"BTB-Kelch proteins form the largest subfamily of Cullin-RING E3 ligases, yet their substrate complexes are mapped and structurally characterized only for KEAP1 and KLHL3. KLHL20 is a related CUL3-dependent ubiquitin ligase linked to autophagy, cancer, and Alzheimer's disease that promotes the ubiquitination and degradation of substrates including DAPK1, PML, and ULK1. We identified an “LPDLV”-containing motif in the DAPK1 death domain that determines its recruitment and degradation by KLHL20. A 1.1-Å crystal structure of a KLHL20 Kelch domain-DAPK1 peptide complex reveals DAPK1 binding as a loose helical turn that inserts deeply into the central pocket of the Kelch domain to contact all six blades of the β propeller. Here, KLHL20 forms salt-bridge and hydrophobic interactions including tryptophan and cysteine residues ideally positioned for covalent inhibitor development. The structure highlights the diverse binding modes of β-propeller domains versus linear grooves and suggests a new target for structure-based drug design. KLHL20 is a BTB-Kelch family E3 ligase linked to autophagy, cancer, and Alzheimer's disease. Chen et al. identify an “LPDLV” motif in DAPK1 that determines its recruitment and degradation by KLHL20. A 1.1-Å crystal structure of a KLHL20-DAPK1 complex reveals a hydrophobic pocket in KLHL20 suitable for inhibitor development.","author":[{"dropping-particle":"","family":"Chen","given":"Zhuoyao","non-dropping-particle":"","parse-names":false,"suffix":""},{"dropping-particle":"","family":"Picaud","given":"Sarah","non-dropping-particle":"","parse-names":false,"suffix":""},{"dropping-particle":"","family":"Filippakopoulos","given":"Panagis","non-dropping-particle":"","parse-names":false,"suffix":""},{"dropping-particle":"","family":"D'Angiolella","given":"Vincenzo","non-dropping-particle":"","parse-names":false,"suffix":""},{"dropping-particle":"","family":"Bullock","given":"Alex N.","non-dropping-particle":"","parse-names":false,"suffix":""}],"container-title":"Structure","id":"ITEM-3","issue":"9","issued":{"date-parts":[["2019","9","3"]]},"page":"1395-1404.e4","publisher":"Cell Press","title":"Structural Basis for Recruitment of DAPK1 to the KLHL20 E3 Ligase","type":"article-journal","volume":"27"},"uris":["http://www.mendeley.com/documents/?uuid=7a6fcdc9-f30c-32b6-8ad0-bc71ec064efb"]},{"id":"ITEM-4","itemData":{"DOI":"10.1371/journal.pone.0045535","ISSN":"1932-6203","abstract":"Background: One primary goal of transcriptomic studies is identifying gene expression patterns correlating with disease progression. This is usually achieved by considering transcripts that independently pass an arbitrary threshold (e.g. p&lt;0.05). In diseases involving severe perturbations of multiple molecular systems, such as Alzheimer's disease (AD), this univariate approach often results in a large list of seemingly unrelated transcripts. We utilised a powerful multivariate clustering approach to identify clusters of RNA biomarkers strongly associated with markers of AD progression. We discuss the value of considering pairs of transcripts which, in contrast to individual transcripts, helps avoid natural human transcriptome variation that can overshadow disease-related changes. Methodology/Principal Findings: We re-analysed a dataset of hippocampal transcript levels in nine controls and 22 patients with varying degrees of AD. A large-scale clustering approach determined groups of transcript probe sets that correlate strongly with measures of AD progression, including both clinical and neuropathological measures and quantifiers of the characteristic transcriptome shift from control to severe AD. This enabled identification of restricted groups of highly correlated probe sets from an initial list of 1,372 previously published by our group. We repeated this analysis on an expanded dataset that included all pair-wise combinations of the 1,372 probe sets. As clustering of this massive dataset is unfeasible using standard computational tools, we adapted and re-implemented a clustering algorithm that uses external memory algorithmic approach. This identified various pairs that strongly correlated with markers of AD progression and highlighted important biological pathways potentially involved in AD pathogenesis. Conclusions/Significance: Our analyses demonstrate that, although there exists a relatively large molecular signature of AD progression, only a small number of transcripts recurrently cluster with different markers of AD progression. Furthermore, considering the relationship between two transcripts can highlight important biological relationships that are missed when considering either transcript in isolation. © 2012 Arefin et al.","author":[{"dropping-particle":"","family":"Arefin","given":"Ahmed Shamsul","non-dropping-particle":"","parse-names":false,"suffix":""},{"dropping-particle":"","family":"Mathieson","given":"Luke","non-dropping-particle":"","parse-names":false,"suffix":""},{"dropping-particle":"","family":"Johnstone","given":"Daniel","non-dropping-particle":"","parse-names":false,"suffix":""},{"dropping-particle":"","family":"Berretta","given":"Regina","non-dropping-particle":"","parse-names":false,"suffix":""},{"dropping-particle":"","family":"Moscato","given":"Pablo","non-dropping-particle":"","parse-names":false,"suffix":""}],"container-title":"PLoS ONE","editor":[{"dropping-particle":"","family":"Deli","given":"Maria A.","non-dropping-particle":"","parse-names":false,"suffix":""}],"id":"ITEM-4","issue":"9","issued":{"date-parts":[["2012","9","21"]]},"page":"e45535","publisher":"Public Library of Science","title":"Unveiling Clusters of RNA Transcript Pairs Associated with Markers of Alzheimer’s Disease Progression","type":"article-journal","volume":"7"},"uris":["http://www.mendeley.com/documents/?uuid=009a7a92-e641-3d20-8fb5-f4551016fd86"]}],"mendeley":{"formattedCitation":"&lt;sup&gt;39–42&lt;/sup&gt;","plainTextFormattedCitation":"39–42","previouslyFormattedCitation":"(Arefin &lt;i&gt;et al.&lt;/i&gt;, 2012; Feng and Klionsky, 2016; Liu &lt;i&gt;et al.&lt;/i&gt;, 2016; Chen &lt;i&gt;et al.&lt;/i&gt;, 2019)"},"properties":{"noteIndex":0},"schema":"https://github.com/citation-style-language/schema/raw/master/csl-citation.json"}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39–42</w:t>
            </w:r>
            <w:r w:rsidRPr="00517FC6">
              <w:rPr>
                <w:rFonts w:asciiTheme="majorHAnsi" w:hAnsiTheme="majorHAnsi" w:cstheme="majorHAnsi"/>
                <w:color w:val="000000" w:themeColor="text1"/>
                <w:sz w:val="16"/>
                <w:szCs w:val="16"/>
              </w:rPr>
              <w:fldChar w:fldCharType="end"/>
            </w:r>
            <w:r w:rsidRPr="00517FC6">
              <w:rPr>
                <w:rFonts w:asciiTheme="majorHAnsi" w:hAnsiTheme="majorHAnsi" w:cstheme="majorHAnsi"/>
                <w:color w:val="000000" w:themeColor="text1"/>
                <w:sz w:val="16"/>
                <w:szCs w:val="16"/>
              </w:rPr>
              <w:t xml:space="preserve"> </w:t>
            </w:r>
          </w:p>
        </w:tc>
        <w:tc>
          <w:tcPr>
            <w:tcW w:w="1877" w:type="dxa"/>
          </w:tcPr>
          <w:p w14:paraId="5A8B528B" w14:textId="77777777" w:rsidR="00CC44D3" w:rsidRPr="00517FC6" w:rsidRDefault="00DC3464"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﻿Stress response of KLHL20</w:t>
            </w:r>
            <w:r w:rsidR="006A7589" w:rsidRPr="00517FC6">
              <w:rPr>
                <w:rFonts w:asciiTheme="majorHAnsi" w:hAnsiTheme="majorHAnsi" w:cstheme="majorHAnsi"/>
                <w:color w:val="000000" w:themeColor="text1"/>
                <w:sz w:val="16"/>
                <w:szCs w:val="16"/>
              </w:rPr>
              <w:t xml:space="preserve"> is linked to neurodegeneration.</w:t>
            </w:r>
            <w:r w:rsidRPr="00517FC6">
              <w:rPr>
                <w:rFonts w:asciiTheme="majorHAnsi" w:hAnsiTheme="majorHAnsi" w:cstheme="majorHAnsi"/>
                <w:color w:val="000000" w:themeColor="text1"/>
                <w:sz w:val="16"/>
                <w:szCs w:val="16"/>
              </w:rPr>
              <w:t xml:space="preserve"> KLHL20 RNA transcript levels being among the top 20 biomarkers for Alzheimer’s disease progression</w:t>
            </w:r>
            <w:r w:rsidR="006A7589" w:rsidRPr="00517FC6">
              <w:rPr>
                <w:rFonts w:asciiTheme="majorHAnsi" w:hAnsiTheme="majorHAnsi" w:cstheme="majorHAnsi"/>
                <w:color w:val="000000" w:themeColor="text1"/>
                <w:sz w:val="16"/>
                <w:szCs w:val="16"/>
              </w:rPr>
              <w:t>.</w:t>
            </w:r>
          </w:p>
        </w:tc>
      </w:tr>
      <w:tr w:rsidR="00090EC4" w:rsidRPr="00517FC6" w14:paraId="421E2746" w14:textId="77777777" w:rsidTr="00C93EF9">
        <w:tc>
          <w:tcPr>
            <w:tcW w:w="1286" w:type="dxa"/>
          </w:tcPr>
          <w:p w14:paraId="19C36E23" w14:textId="77777777" w:rsidR="00CC44D3" w:rsidRPr="00517FC6" w:rsidRDefault="00CC44D3"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SCN2A</w:t>
            </w:r>
          </w:p>
        </w:tc>
        <w:tc>
          <w:tcPr>
            <w:tcW w:w="1998" w:type="dxa"/>
          </w:tcPr>
          <w:p w14:paraId="7964F85F" w14:textId="77777777" w:rsidR="00CC44D3" w:rsidRPr="00517FC6" w:rsidRDefault="00CC44D3"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Sodium Voltage-Gated Channel Alpha Subunit 2</w:t>
            </w:r>
          </w:p>
        </w:tc>
        <w:tc>
          <w:tcPr>
            <w:tcW w:w="1419" w:type="dxa"/>
          </w:tcPr>
          <w:p w14:paraId="3199558A" w14:textId="77777777" w:rsidR="00CC44D3" w:rsidRPr="00517FC6" w:rsidRDefault="008831BD" w:rsidP="00C93EF9">
            <w:pPr>
              <w:rPr>
                <w:rFonts w:asciiTheme="majorHAnsi" w:hAnsiTheme="majorHAnsi" w:cstheme="majorHAnsi"/>
                <w:i/>
                <w:iCs/>
                <w:color w:val="000000" w:themeColor="text1"/>
                <w:sz w:val="16"/>
                <w:szCs w:val="16"/>
              </w:rPr>
            </w:pPr>
            <w:r w:rsidRPr="00517FC6">
              <w:rPr>
                <w:rFonts w:asciiTheme="majorHAnsi" w:hAnsiTheme="majorHAnsi" w:cstheme="majorHAnsi"/>
                <w:i/>
                <w:iCs/>
                <w:color w:val="000000" w:themeColor="text1"/>
                <w:sz w:val="16"/>
                <w:szCs w:val="16"/>
              </w:rPr>
              <w:t>BFIC3</w:t>
            </w:r>
            <w:r w:rsidR="00103ABC" w:rsidRPr="00517FC6">
              <w:rPr>
                <w:rFonts w:asciiTheme="majorHAnsi" w:hAnsiTheme="majorHAnsi" w:cstheme="majorHAnsi"/>
                <w:i/>
                <w:iCs/>
                <w:color w:val="000000" w:themeColor="text1"/>
                <w:sz w:val="16"/>
                <w:szCs w:val="16"/>
              </w:rPr>
              <w:t>,</w:t>
            </w:r>
            <w:r w:rsidRPr="00517FC6">
              <w:rPr>
                <w:rFonts w:asciiTheme="majorHAnsi" w:hAnsiTheme="majorHAnsi" w:cstheme="majorHAnsi"/>
                <w:i/>
                <w:iCs/>
                <w:color w:val="000000" w:themeColor="text1"/>
                <w:sz w:val="16"/>
                <w:szCs w:val="16"/>
              </w:rPr>
              <w:t xml:space="preserve"> BFIS3</w:t>
            </w:r>
            <w:r w:rsidR="00103ABC" w:rsidRPr="00517FC6">
              <w:rPr>
                <w:rFonts w:asciiTheme="majorHAnsi" w:hAnsiTheme="majorHAnsi" w:cstheme="majorHAnsi"/>
                <w:i/>
                <w:iCs/>
                <w:color w:val="000000" w:themeColor="text1"/>
                <w:sz w:val="16"/>
                <w:szCs w:val="16"/>
              </w:rPr>
              <w:t xml:space="preserve">, </w:t>
            </w:r>
            <w:r w:rsidRPr="00517FC6">
              <w:rPr>
                <w:rFonts w:asciiTheme="majorHAnsi" w:hAnsiTheme="majorHAnsi" w:cstheme="majorHAnsi"/>
                <w:i/>
                <w:iCs/>
                <w:color w:val="000000" w:themeColor="text1"/>
                <w:sz w:val="16"/>
                <w:szCs w:val="16"/>
              </w:rPr>
              <w:t>BFNIS</w:t>
            </w:r>
          </w:p>
        </w:tc>
        <w:tc>
          <w:tcPr>
            <w:tcW w:w="2268" w:type="dxa"/>
          </w:tcPr>
          <w:p w14:paraId="627360E1" w14:textId="77777777" w:rsidR="00CC44D3" w:rsidRPr="00517FC6" w:rsidRDefault="00E601A9"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Mediates the voltage-dependent sodium ion permeability of excitable membranes.</w:t>
            </w:r>
          </w:p>
          <w:p w14:paraId="7F587818" w14:textId="77777777" w:rsidR="00E601A9" w:rsidRPr="00517FC6" w:rsidRDefault="00E601A9"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Implicated in the regulation of hippocampal replay occurring within sharp wave ripples (SPW-R) important for memory</w:t>
            </w:r>
          </w:p>
        </w:tc>
        <w:tc>
          <w:tcPr>
            <w:tcW w:w="1585" w:type="dxa"/>
          </w:tcPr>
          <w:p w14:paraId="00042131" w14:textId="77777777" w:rsidR="00CC44D3" w:rsidRPr="00517FC6" w:rsidRDefault="003B61D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Autism Spectrum Disorder (ASD)</w:t>
            </w:r>
          </w:p>
        </w:tc>
        <w:tc>
          <w:tcPr>
            <w:tcW w:w="1574" w:type="dxa"/>
          </w:tcPr>
          <w:p w14:paraId="3979FAA4" w14:textId="77777777" w:rsidR="00CC44D3" w:rsidRPr="00517FC6" w:rsidRDefault="008831BD" w:rsidP="00C93EF9">
            <w:pPr>
              <w:rPr>
                <w:rFonts w:asciiTheme="majorHAnsi" w:hAnsiTheme="majorHAnsi" w:cstheme="majorHAnsi"/>
                <w:color w:val="000000" w:themeColor="text1"/>
                <w:sz w:val="16"/>
                <w:szCs w:val="16"/>
                <w:shd w:val="clear" w:color="auto" w:fill="FFFFFF"/>
              </w:rPr>
            </w:pPr>
            <w:r w:rsidRPr="00517FC6">
              <w:rPr>
                <w:rFonts w:asciiTheme="majorHAnsi" w:hAnsiTheme="majorHAnsi" w:cstheme="majorHAnsi"/>
                <w:color w:val="000000" w:themeColor="text1"/>
                <w:sz w:val="16"/>
                <w:szCs w:val="16"/>
                <w:shd w:val="clear" w:color="auto" w:fill="FFFFFF"/>
              </w:rPr>
              <w:t>Biased expression in brain (RPKM: 20.5).</w:t>
            </w:r>
          </w:p>
          <w:p w14:paraId="17913502" w14:textId="77777777" w:rsidR="008831BD" w:rsidRPr="00517FC6" w:rsidRDefault="008831BD" w:rsidP="00C93EF9">
            <w:pPr>
              <w:rPr>
                <w:rFonts w:asciiTheme="majorHAnsi" w:hAnsiTheme="majorHAnsi" w:cstheme="majorHAnsi"/>
                <w:color w:val="000000" w:themeColor="text1"/>
                <w:sz w:val="16"/>
                <w:szCs w:val="16"/>
              </w:rPr>
            </w:pPr>
          </w:p>
          <w:p w14:paraId="38AB3D62" w14:textId="77777777" w:rsidR="00B0146C" w:rsidRPr="00517FC6" w:rsidRDefault="00B0146C" w:rsidP="00C93EF9">
            <w:pPr>
              <w:rPr>
                <w:rFonts w:asciiTheme="majorHAnsi" w:hAnsiTheme="majorHAnsi" w:cstheme="majorHAnsi"/>
                <w:color w:val="000000" w:themeColor="text1"/>
                <w:sz w:val="16"/>
                <w:szCs w:val="16"/>
              </w:rPr>
            </w:pPr>
          </w:p>
        </w:tc>
        <w:tc>
          <w:tcPr>
            <w:tcW w:w="1281" w:type="dxa"/>
          </w:tcPr>
          <w:p w14:paraId="1C5EA029" w14:textId="438B7A2D" w:rsidR="00CC44D3" w:rsidRPr="00517FC6" w:rsidRDefault="00033ED6"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fldChar w:fldCharType="begin" w:fldLock="1"/>
            </w:r>
            <w:r w:rsidR="003329D5">
              <w:rPr>
                <w:rFonts w:asciiTheme="majorHAnsi" w:hAnsiTheme="majorHAnsi" w:cstheme="majorHAnsi"/>
                <w:color w:val="000000" w:themeColor="text1"/>
                <w:sz w:val="16"/>
                <w:szCs w:val="16"/>
              </w:rPr>
              <w:instrText>ADDIN CSL_CITATION {"citationItems":[{"id":"ITEM-1","itemData":{"DOI":"10.1016/j.neuron.2019.05.037","ISSN":"10974199","abstract":"Autism spectrum disorder (ASD) is strongly associated with de novo gene mutations. One of the most commonly affected genes is SCN2A. ASD-associated SCN2A mutations impair the encoded protein NaV1.2, a sodium channel important for action potential initiation and propagation in developing excitatory cortical neurons. The link between an axonal sodium channel and ASD, a disorder typically attributed to synaptic or transcriptional dysfunction, is unclear. Here we show that NaV1.2 is unexpectedly critical for dendritic excitability and synaptic function in mature pyramidal neurons in addition to regulating early developmental axonal excitability. NaV1.2 loss reduced action potential backpropagation into dendrites, impairing synaptic plasticity and synaptic strength, even when NaV1.2 expression was disrupted in a cell-autonomous fashion late in development. These results reveal a novel dendritic function for NaV1.2, providing insight into cellular mechanisms probably underlying circuit and behavioral dysfunction in ASD. Haploinsufficiency in the gene SCN2A, which encodes the sodium channel NaV1.2, has strong autism association. Spratt et al. show that Scn2a contributes to dendritic excitability in mature neocortical pyramidal cells, where its loss impairs excitatory synaptic function and plasticity.","author":[{"dropping-particle":"","family":"Spratt","given":"Perry W.E.","non-dropping-particle":"","parse-names":false,"suffix":""},{"dropping-particle":"","family":"Ben-Shalom","given":"Roy","non-dropping-particle":"","parse-names":false,"suffix":""},{"dropping-particle":"","family":"Keeshen","given":"Caroline M.","non-dropping-particle":"","parse-names":false,"suffix":""},{"dropping-particle":"","family":"Burke","given":"Kenneth J.","non-dropping-particle":"","parse-names":false,"suffix":""},{"dropping-particle":"","family":"Clarkson","given":"Rebecca L.","non-dropping-particle":"","parse-names":false,"suffix":""},{"dropping-particle":"","family":"Sanders","given":"Stephan J.","non-dropping-particle":"","parse-names":false,"suffix":""},{"dropping-particle":"","family":"Bender","given":"Kevin J.","non-dropping-particle":"","parse-names":false,"suffix":""}],"container-title":"Neuron","id":"ITEM-1","issue":"4","issued":{"date-parts":[["2019","8","21"]]},"page":"673-685.e5","publisher":"Cell Press","title":"The Autism-Associated Gene Scn2a Contributes to Dendritic Excitability and Synaptic Function in the Prefrontal Cortex","type":"article-journal","volume":"103"},"uris":["http://www.mendeley.com/documents/?uuid=619f4ad7-20e5-360f-9204-842b530928f5"]},{"id":"ITEM-2","itemData":{"DOI":"10.1016/j.tins.2018.03.011","ISSN":"1878108X","PMID":"29691040","abstract":"Advances in gene discovery for neurodevelopmental disorders have identified SCN2A dysfunction as a leading cause of infantile seizures, autism spectrum disorder, and intellectual disability. SCN2A encodes the neuronal sodium channel NaV1.2. Functional assays demonstrate strong correlation between genotype and phenotype. This insight can help guide therapeutic decisions and raises the possibility that ligands that selectively enhance or diminish channel function may improve symptoms. The well-defined function of sodium channels makes SCN2A an important test case for investigating the neurobiology of neurodevelopmental disorders more generally. Here, we discuss the progress made, through the concerted efforts of a diverse group of academic and industry scientists as well as policy advocates, in understanding and treating SCN2A-related disorders.","author":[{"dropping-particle":"","family":"Sanders","given":"Stephan J.","non-dropping-particle":"","parse-names":false,"suffix":""},{"dropping-particle":"","family":"Campbell","given":"Arthur J.","non-dropping-particle":"","parse-names":false,"suffix":""},{"dropping-particle":"","family":"Cottrell","given":"Jeffrey R.","non-dropping-particle":"","parse-names":false,"suffix":""},{"dropping-particle":"","family":"Moller","given":"Rikke S.","non-dropping-particle":"","parse-names":false,"suffix":""},{"dropping-particle":"","family":"Wagner","given":"Florence F.","non-dropping-particle":"","parse-names":false,"suffix":""},{"dropping-particle":"","family":"Auldridge","given":"Angie L.","non-dropping-particle":"","parse-names":false,"suffix":""},{"dropping-particle":"","family":"Bernier","given":"Raphael A.","non-dropping-particle":"","parse-names":false,"suffix":""},{"dropping-particle":"","family":"Catterall","given":"William A.","non-dropping-particle":"","parse-names":false,"suffix":""},{"dropping-particle":"","family":"Chung","given":"Wendy K.","non-dropping-particle":"","parse-names":false,"suffix":""},{"dropping-particle":"","family":"Empfield","given":"James R.","non-dropping-particle":"","parse-names":false,"suffix":""},{"dropping-particle":"","family":"George","given":"Alfred L.","non-dropping-particle":"","parse-names":false,"suffix":""},{"dropping-particle":"","family":"Hipp","given":"Joerg F.","non-dropping-particle":"","parse-names":false,"suffix":""},{"dropping-particle":"","family":"Khwaja","given":"Omar","non-dropping-particle":"","parse-names":false,"suffix":""},{"dropping-particle":"","family":"Kiskinis","given":"Evangelos","non-dropping-particle":"","parse-names":false,"suffix":""},{"dropping-particle":"","family":"Lal","given":"Dennis","non-dropping-particle":"","parse-names":false,"suffix":""},{"dropping-particle":"","family":"Malhotra","given":"Dheeraj","non-dropping-particle":"","parse-names":false,"suffix":""},{"dropping-particle":"","family":"Millichap","given":"John J.","non-dropping-particle":"","parse-names":false,"suffix":""},{"dropping-particle":"","family":"Otis","given":"Thomas S.","non-dropping-particle":"","parse-names":false,"suffix":""},{"dropping-particle":"","family":"Petrou","given":"Steven","non-dropping-particle":"","parse-names":false,"suffix":""},{"dropping-particle":"","family":"Pitt","given":"Geoffrey","non-dropping-particle":"","parse-names":false,"suffix":""},{"dropping-particle":"","family":"Schust","given":"Leah F.","non-dropping-particle":"","parse-names":false,"suffix":""},{"dropping-particle":"","family":"Taylor","given":"Cora M.","non-dropping-particle":"","parse-names":false,"suffix":""},{"dropping-particle":"","family":"Tjernagel","given":"Jennifer","non-dropping-particle":"","parse-names":false,"suffix":""},{"dropping-particle":"","family":"Spiro","given":"John E.","non-dropping-particle":"","parse-names":false,"suffix":""},{"dropping-particle":"","family":"Bender","given":"Kevin J.","non-dropping-particle":"","parse-names":false,"suffix":""}],"container-title":"Trends in Neurosciences","id":"ITEM-2","issue":"7","issued":{"date-parts":[["2018","7","1"]]},"page":"442-456","publisher":"Elsevier Ltd","title":"Progress in Understanding and Treating SCN2A-Mediated Disorders","type":"article","volume":"41"},"uris":["http://www.mendeley.com/documents/?uuid=9554ee5e-e705-37a9-8e58-c465e5271a57"]},{"id":"ITEM-3","itemData":{"DOI":"10.1111/epi.14935","ISSN":"15281167","abstract":"Pathogenic variants in the SCN2A gene are associated with a variety of neurodevelopmental phenotypes, defined in recent years through multicenter collaboration. Phenotypes include benign (self-limited) neonatal and infantile epilepsy and more severe developmental and epileptic encephalopathies also presenting in early infancy. There is increasing evidence that an important phenotype linked to the gene is autism and intellectual disability without epilepsy or with rare seizures in later childhood. Other associations of SCN2A include the movement disorders chorea and episodic ataxia. It is likely that as genetic testing enters mainstream practice that new phenotypic associations will be identified. Some missense, gain of function variants tend to present in early infancy with epilepsy, whereas other missense or truncating, loss of function variants present with later-onset epilepsies or intellectual disability only. Knowledge of both mutation type and functional consequences can guide precision therapy. Sodium channel blockers may be effective antiepileptic medications in gain of function, neonatal and infantile presentations.","author":[{"dropping-particle":"","family":"Wolff","given":"Markus","non-dropping-particle":"","parse-names":false,"suffix":""},{"dropping-particle":"","family":"Brunklaus","given":"Andreas","non-dropping-particle":"","parse-names":false,"suffix":""},{"dropping-particle":"","family":"Zuberi","given":"Sameer M.","non-dropping-particle":"","parse-names":false,"suffix":""}],"container-title":"Epilepsia","id":"ITEM-3","issue":"S3","issued":{"date-parts":[["2019","12","1"]]},"page":"S59-S67","publisher":"Blackwell Publishing Inc.","title":"Phenotypic spectrum and genetics of SCN2A-related disorders, treatment options, and outcomes in epilepsy and beyond","type":"article-journal","volume":"60"},"uris":["http://www.mendeley.com/documents/?uuid=988a2dbd-22e6-3728-b05d-d55fa7cdb550"]}],"mendeley":{"formattedCitation":"&lt;sup&gt;43–45&lt;/sup&gt;","plainTextFormattedCitation":"43–45","previouslyFormattedCitation":"(Sanders &lt;i&gt;et al.&lt;/i&gt;, 2018; Spratt &lt;i&gt;et al.&lt;/i&gt;, 2019; Wolff, Brunklaus and Zuberi, 2019)"},"properties":{"noteIndex":0},"schema":"https://github.com/citation-style-language/schema/raw/master/csl-citation.json"}</w:instrText>
            </w:r>
            <w:r w:rsidRPr="00517FC6">
              <w:rPr>
                <w:rFonts w:asciiTheme="majorHAnsi" w:hAnsiTheme="majorHAnsi" w:cstheme="majorHAnsi"/>
                <w:color w:val="000000" w:themeColor="text1"/>
                <w:sz w:val="16"/>
                <w:szCs w:val="16"/>
              </w:rPr>
              <w:fldChar w:fldCharType="separate"/>
            </w:r>
            <w:r w:rsidR="003329D5" w:rsidRPr="003329D5">
              <w:rPr>
                <w:rFonts w:asciiTheme="majorHAnsi" w:hAnsiTheme="majorHAnsi" w:cstheme="majorHAnsi"/>
                <w:noProof/>
                <w:color w:val="000000" w:themeColor="text1"/>
                <w:sz w:val="16"/>
                <w:szCs w:val="16"/>
                <w:vertAlign w:val="superscript"/>
              </w:rPr>
              <w:t>43–45</w:t>
            </w:r>
            <w:r w:rsidRPr="00517FC6">
              <w:rPr>
                <w:rFonts w:asciiTheme="majorHAnsi" w:hAnsiTheme="majorHAnsi" w:cstheme="majorHAnsi"/>
                <w:color w:val="000000" w:themeColor="text1"/>
                <w:sz w:val="16"/>
                <w:szCs w:val="16"/>
              </w:rPr>
              <w:fldChar w:fldCharType="end"/>
            </w:r>
          </w:p>
        </w:tc>
        <w:tc>
          <w:tcPr>
            <w:tcW w:w="1877" w:type="dxa"/>
          </w:tcPr>
          <w:p w14:paraId="75330A46" w14:textId="77777777" w:rsidR="00CC44D3" w:rsidRPr="00517FC6" w:rsidRDefault="005511BA" w:rsidP="00C93EF9">
            <w:pPr>
              <w:rPr>
                <w:rFonts w:asciiTheme="majorHAnsi" w:hAnsiTheme="majorHAnsi" w:cstheme="majorHAnsi"/>
                <w:color w:val="000000" w:themeColor="text1"/>
                <w:sz w:val="16"/>
                <w:szCs w:val="16"/>
              </w:rPr>
            </w:pPr>
            <w:r w:rsidRPr="00517FC6">
              <w:rPr>
                <w:rFonts w:asciiTheme="majorHAnsi" w:hAnsiTheme="majorHAnsi" w:cstheme="majorHAnsi"/>
                <w:color w:val="000000" w:themeColor="text1"/>
                <w:sz w:val="16"/>
                <w:szCs w:val="16"/>
              </w:rPr>
              <w:t>Variants with these conditions are usually truncating, suggesting haploinsufficiency plays a major role.</w:t>
            </w:r>
          </w:p>
        </w:tc>
      </w:tr>
    </w:tbl>
    <w:p w14:paraId="19D58E69" w14:textId="77777777" w:rsidR="00F37CA3" w:rsidRDefault="00F37CA3">
      <w:pPr>
        <w:rPr>
          <w:rFonts w:asciiTheme="majorHAnsi" w:hAnsiTheme="majorHAnsi" w:cstheme="majorHAnsi"/>
          <w:color w:val="000000" w:themeColor="text1"/>
          <w:sz w:val="16"/>
          <w:szCs w:val="16"/>
        </w:rPr>
      </w:pPr>
    </w:p>
    <w:p w14:paraId="1023CD70" w14:textId="77777777" w:rsidR="00A116FE" w:rsidRDefault="00A116FE">
      <w:pPr>
        <w:rPr>
          <w:rFonts w:asciiTheme="majorHAnsi" w:hAnsiTheme="majorHAnsi" w:cstheme="majorHAnsi"/>
          <w:color w:val="000000" w:themeColor="text1"/>
          <w:sz w:val="16"/>
          <w:szCs w:val="16"/>
        </w:rPr>
      </w:pPr>
    </w:p>
    <w:p w14:paraId="75794BDC" w14:textId="77777777" w:rsidR="00C93EF9" w:rsidRDefault="00C93EF9">
      <w:pPr>
        <w:rPr>
          <w:rFonts w:asciiTheme="majorHAnsi" w:hAnsiTheme="majorHAnsi" w:cstheme="majorHAnsi"/>
          <w:color w:val="000000" w:themeColor="text1"/>
          <w:sz w:val="16"/>
          <w:szCs w:val="16"/>
        </w:rPr>
      </w:pPr>
    </w:p>
    <w:p w14:paraId="0904D169" w14:textId="77777777" w:rsidR="00C93EF9" w:rsidRDefault="00C93EF9">
      <w:pPr>
        <w:rPr>
          <w:rFonts w:asciiTheme="majorHAnsi" w:hAnsiTheme="majorHAnsi" w:cstheme="majorHAnsi"/>
          <w:color w:val="000000" w:themeColor="text1"/>
          <w:sz w:val="16"/>
          <w:szCs w:val="16"/>
        </w:rPr>
      </w:pPr>
    </w:p>
    <w:p w14:paraId="63E80F71" w14:textId="77777777" w:rsidR="00A116FE" w:rsidRDefault="00A116FE">
      <w:pPr>
        <w:rPr>
          <w:rFonts w:asciiTheme="majorHAnsi" w:hAnsiTheme="majorHAnsi" w:cstheme="majorHAnsi"/>
          <w:color w:val="000000" w:themeColor="text1"/>
          <w:sz w:val="16"/>
          <w:szCs w:val="16"/>
        </w:rPr>
      </w:pPr>
    </w:p>
    <w:p w14:paraId="03D3BB6E" w14:textId="77777777" w:rsidR="00C93EF9" w:rsidRDefault="00C93EF9">
      <w:pPr>
        <w:rPr>
          <w:rFonts w:asciiTheme="majorHAnsi" w:hAnsiTheme="majorHAnsi" w:cstheme="majorHAnsi"/>
          <w:color w:val="000000" w:themeColor="text1"/>
          <w:sz w:val="16"/>
          <w:szCs w:val="16"/>
        </w:rPr>
      </w:pPr>
    </w:p>
    <w:p w14:paraId="1F2FB52F" w14:textId="77777777" w:rsidR="00C93EF9" w:rsidRDefault="00C93EF9">
      <w:pPr>
        <w:rPr>
          <w:rFonts w:asciiTheme="majorHAnsi" w:hAnsiTheme="majorHAnsi" w:cstheme="majorHAnsi"/>
          <w:color w:val="000000" w:themeColor="text1"/>
          <w:sz w:val="16"/>
          <w:szCs w:val="16"/>
        </w:rPr>
      </w:pPr>
    </w:p>
    <w:p w14:paraId="213BC304" w14:textId="77777777" w:rsidR="00C93EF9" w:rsidRDefault="00C93EF9">
      <w:pPr>
        <w:rPr>
          <w:rFonts w:asciiTheme="majorHAnsi" w:hAnsiTheme="majorHAnsi" w:cstheme="majorHAnsi"/>
          <w:color w:val="000000" w:themeColor="text1"/>
          <w:sz w:val="16"/>
          <w:szCs w:val="16"/>
        </w:rPr>
      </w:pPr>
    </w:p>
    <w:p w14:paraId="1DF09EF6" w14:textId="77777777" w:rsidR="00C93EF9" w:rsidRDefault="00C93EF9">
      <w:pPr>
        <w:rPr>
          <w:rFonts w:asciiTheme="majorHAnsi" w:hAnsiTheme="majorHAnsi" w:cstheme="majorHAnsi"/>
          <w:color w:val="000000" w:themeColor="text1"/>
          <w:sz w:val="16"/>
          <w:szCs w:val="16"/>
        </w:rPr>
      </w:pPr>
    </w:p>
    <w:p w14:paraId="6173BEE1" w14:textId="77777777" w:rsidR="00C93EF9" w:rsidRDefault="00C93EF9">
      <w:pPr>
        <w:rPr>
          <w:rFonts w:asciiTheme="majorHAnsi" w:hAnsiTheme="majorHAnsi" w:cstheme="majorHAnsi"/>
          <w:color w:val="000000" w:themeColor="text1"/>
          <w:sz w:val="16"/>
          <w:szCs w:val="16"/>
        </w:rPr>
      </w:pPr>
    </w:p>
    <w:p w14:paraId="1F85C5BF" w14:textId="77777777" w:rsidR="00C93EF9" w:rsidRDefault="00C93EF9">
      <w:pPr>
        <w:rPr>
          <w:rFonts w:asciiTheme="majorHAnsi" w:hAnsiTheme="majorHAnsi" w:cstheme="majorHAnsi"/>
          <w:color w:val="000000" w:themeColor="text1"/>
          <w:sz w:val="16"/>
          <w:szCs w:val="16"/>
        </w:rPr>
      </w:pPr>
    </w:p>
    <w:p w14:paraId="1D6FF1F0" w14:textId="77777777" w:rsidR="00C93EF9" w:rsidRDefault="00C93EF9">
      <w:pPr>
        <w:rPr>
          <w:rFonts w:asciiTheme="majorHAnsi" w:hAnsiTheme="majorHAnsi" w:cstheme="majorHAnsi"/>
          <w:color w:val="000000" w:themeColor="text1"/>
          <w:sz w:val="16"/>
          <w:szCs w:val="16"/>
        </w:rPr>
      </w:pPr>
    </w:p>
    <w:p w14:paraId="4590CA0D" w14:textId="77777777" w:rsidR="00C93EF9" w:rsidRDefault="00C93EF9">
      <w:pPr>
        <w:rPr>
          <w:rFonts w:asciiTheme="majorHAnsi" w:hAnsiTheme="majorHAnsi" w:cstheme="majorHAnsi"/>
          <w:color w:val="000000" w:themeColor="text1"/>
          <w:sz w:val="16"/>
          <w:szCs w:val="16"/>
        </w:rPr>
      </w:pPr>
    </w:p>
    <w:p w14:paraId="5B955C3E" w14:textId="77777777" w:rsidR="00C93EF9" w:rsidRDefault="00C93EF9">
      <w:pPr>
        <w:rPr>
          <w:rFonts w:asciiTheme="majorHAnsi" w:hAnsiTheme="majorHAnsi" w:cstheme="majorHAnsi"/>
          <w:color w:val="000000" w:themeColor="text1"/>
          <w:sz w:val="16"/>
          <w:szCs w:val="16"/>
        </w:rPr>
      </w:pPr>
    </w:p>
    <w:p w14:paraId="0DDA0403" w14:textId="77777777" w:rsidR="00C93EF9" w:rsidRDefault="00C93EF9">
      <w:pPr>
        <w:rPr>
          <w:rFonts w:asciiTheme="majorHAnsi" w:hAnsiTheme="majorHAnsi" w:cstheme="majorHAnsi"/>
          <w:color w:val="000000" w:themeColor="text1"/>
          <w:sz w:val="16"/>
          <w:szCs w:val="16"/>
        </w:rPr>
      </w:pPr>
    </w:p>
    <w:p w14:paraId="32A04A81" w14:textId="77777777" w:rsidR="00C93EF9" w:rsidRDefault="00C93EF9">
      <w:pPr>
        <w:rPr>
          <w:rFonts w:asciiTheme="majorHAnsi" w:hAnsiTheme="majorHAnsi" w:cstheme="majorHAnsi"/>
          <w:color w:val="000000" w:themeColor="text1"/>
          <w:sz w:val="16"/>
          <w:szCs w:val="16"/>
        </w:rPr>
      </w:pPr>
    </w:p>
    <w:p w14:paraId="09A71560" w14:textId="77777777" w:rsidR="00C93EF9" w:rsidRDefault="00C93EF9">
      <w:pPr>
        <w:rPr>
          <w:rFonts w:asciiTheme="majorHAnsi" w:hAnsiTheme="majorHAnsi" w:cstheme="majorHAnsi"/>
          <w:color w:val="000000" w:themeColor="text1"/>
          <w:sz w:val="16"/>
          <w:szCs w:val="16"/>
        </w:rPr>
      </w:pPr>
    </w:p>
    <w:p w14:paraId="1466F80A" w14:textId="77777777" w:rsidR="00C93EF9" w:rsidRDefault="00C93EF9">
      <w:pPr>
        <w:rPr>
          <w:rFonts w:asciiTheme="majorHAnsi" w:hAnsiTheme="majorHAnsi" w:cstheme="majorHAnsi"/>
          <w:color w:val="000000" w:themeColor="text1"/>
          <w:sz w:val="16"/>
          <w:szCs w:val="16"/>
        </w:rPr>
      </w:pPr>
    </w:p>
    <w:p w14:paraId="20261B88" w14:textId="77777777" w:rsidR="00C93EF9" w:rsidRDefault="00C93EF9">
      <w:pPr>
        <w:rPr>
          <w:rFonts w:asciiTheme="majorHAnsi" w:hAnsiTheme="majorHAnsi" w:cstheme="majorHAnsi"/>
          <w:color w:val="000000" w:themeColor="text1"/>
          <w:sz w:val="16"/>
          <w:szCs w:val="16"/>
        </w:rPr>
      </w:pPr>
    </w:p>
    <w:p w14:paraId="65EDD0C9" w14:textId="77777777" w:rsidR="00C93EF9" w:rsidRDefault="00C93EF9">
      <w:pPr>
        <w:rPr>
          <w:rFonts w:asciiTheme="majorHAnsi" w:hAnsiTheme="majorHAnsi" w:cstheme="majorHAnsi"/>
          <w:color w:val="000000" w:themeColor="text1"/>
          <w:sz w:val="16"/>
          <w:szCs w:val="16"/>
        </w:rPr>
      </w:pPr>
    </w:p>
    <w:p w14:paraId="290F817C" w14:textId="77777777" w:rsidR="00C93EF9" w:rsidRDefault="00C93EF9">
      <w:pPr>
        <w:rPr>
          <w:rFonts w:asciiTheme="majorHAnsi" w:hAnsiTheme="majorHAnsi" w:cstheme="majorHAnsi"/>
          <w:color w:val="000000" w:themeColor="text1"/>
          <w:sz w:val="16"/>
          <w:szCs w:val="16"/>
        </w:rPr>
      </w:pPr>
    </w:p>
    <w:p w14:paraId="0E851312" w14:textId="77777777" w:rsidR="00C93EF9" w:rsidRDefault="00C93EF9">
      <w:pPr>
        <w:rPr>
          <w:rFonts w:asciiTheme="majorHAnsi" w:hAnsiTheme="majorHAnsi" w:cstheme="majorHAnsi"/>
          <w:color w:val="000000" w:themeColor="text1"/>
          <w:sz w:val="16"/>
          <w:szCs w:val="16"/>
        </w:rPr>
      </w:pPr>
    </w:p>
    <w:p w14:paraId="0CD91248" w14:textId="77777777" w:rsidR="00C93EF9" w:rsidRDefault="00C93EF9">
      <w:pPr>
        <w:rPr>
          <w:rFonts w:asciiTheme="majorHAnsi" w:hAnsiTheme="majorHAnsi" w:cstheme="majorHAnsi"/>
          <w:color w:val="000000" w:themeColor="text1"/>
          <w:sz w:val="16"/>
          <w:szCs w:val="16"/>
        </w:rPr>
      </w:pPr>
    </w:p>
    <w:p w14:paraId="36E618A9" w14:textId="77777777" w:rsidR="00C93EF9" w:rsidRDefault="00C93EF9">
      <w:pPr>
        <w:rPr>
          <w:rFonts w:asciiTheme="majorHAnsi" w:hAnsiTheme="majorHAnsi" w:cstheme="majorHAnsi"/>
          <w:color w:val="000000" w:themeColor="text1"/>
          <w:sz w:val="16"/>
          <w:szCs w:val="16"/>
        </w:rPr>
      </w:pPr>
    </w:p>
    <w:p w14:paraId="04D5028B" w14:textId="77777777" w:rsidR="00C93EF9" w:rsidRDefault="00C93EF9">
      <w:pPr>
        <w:rPr>
          <w:rFonts w:asciiTheme="majorHAnsi" w:hAnsiTheme="majorHAnsi" w:cstheme="majorHAnsi"/>
          <w:color w:val="000000" w:themeColor="text1"/>
          <w:sz w:val="16"/>
          <w:szCs w:val="16"/>
        </w:rPr>
      </w:pPr>
    </w:p>
    <w:p w14:paraId="7A739286" w14:textId="77777777" w:rsidR="00C93EF9" w:rsidRDefault="00C93EF9">
      <w:pPr>
        <w:rPr>
          <w:rFonts w:asciiTheme="majorHAnsi" w:hAnsiTheme="majorHAnsi" w:cstheme="majorHAnsi"/>
          <w:color w:val="000000" w:themeColor="text1"/>
          <w:sz w:val="16"/>
          <w:szCs w:val="16"/>
        </w:rPr>
      </w:pPr>
    </w:p>
    <w:p w14:paraId="45480F20" w14:textId="77777777" w:rsidR="00C93EF9" w:rsidRDefault="00C93EF9">
      <w:pPr>
        <w:rPr>
          <w:rFonts w:asciiTheme="majorHAnsi" w:hAnsiTheme="majorHAnsi" w:cstheme="majorHAnsi"/>
          <w:color w:val="000000" w:themeColor="text1"/>
          <w:sz w:val="16"/>
          <w:szCs w:val="16"/>
        </w:rPr>
      </w:pPr>
    </w:p>
    <w:p w14:paraId="2A71CD05" w14:textId="7DCD9488" w:rsidR="00C93EF9" w:rsidRPr="002B3966" w:rsidRDefault="00C8489A" w:rsidP="002B3966">
      <w:pPr>
        <w:ind w:firstLine="720"/>
        <w:rPr>
          <w:rFonts w:ascii="Arial" w:hAnsi="Arial" w:cs="Arial"/>
          <w:color w:val="000000" w:themeColor="text1"/>
          <w:sz w:val="22"/>
          <w:szCs w:val="22"/>
          <w:u w:val="single"/>
        </w:rPr>
      </w:pPr>
      <w:r w:rsidRPr="00C8489A">
        <w:rPr>
          <w:rFonts w:ascii="Arial" w:hAnsi="Arial" w:cs="Arial"/>
          <w:color w:val="000000" w:themeColor="text1"/>
          <w:sz w:val="22"/>
          <w:szCs w:val="22"/>
          <w:u w:val="single"/>
        </w:rPr>
        <w:t>Key references from Supplementary Table S7</w:t>
      </w:r>
    </w:p>
    <w:p w14:paraId="3D93D34F" w14:textId="77777777" w:rsidR="00C93EF9" w:rsidRDefault="00C93EF9">
      <w:pPr>
        <w:rPr>
          <w:rFonts w:asciiTheme="majorHAnsi" w:hAnsiTheme="majorHAnsi" w:cstheme="majorHAnsi"/>
          <w:color w:val="000000" w:themeColor="text1"/>
          <w:sz w:val="16"/>
          <w:szCs w:val="16"/>
        </w:rPr>
      </w:pPr>
    </w:p>
    <w:p w14:paraId="5B77EC21" w14:textId="77777777" w:rsidR="00A116FE" w:rsidRPr="002B3966" w:rsidRDefault="00A116FE" w:rsidP="002B3966">
      <w:pPr>
        <w:spacing w:line="480" w:lineRule="auto"/>
        <w:rPr>
          <w:rFonts w:ascii="Arial" w:hAnsi="Arial" w:cs="Arial"/>
          <w:color w:val="000000" w:themeColor="text1"/>
          <w:sz w:val="22"/>
          <w:szCs w:val="22"/>
        </w:rPr>
      </w:pPr>
    </w:p>
    <w:p w14:paraId="39CF8005" w14:textId="5140D0C1" w:rsidR="003329D5" w:rsidRPr="002B3966" w:rsidRDefault="0067749F"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color w:val="000000" w:themeColor="text1"/>
          <w:sz w:val="22"/>
          <w:szCs w:val="22"/>
        </w:rPr>
        <w:fldChar w:fldCharType="begin" w:fldLock="1"/>
      </w:r>
      <w:r w:rsidRPr="002B3966">
        <w:rPr>
          <w:rFonts w:ascii="Arial" w:hAnsi="Arial" w:cs="Arial"/>
          <w:color w:val="000000" w:themeColor="text1"/>
          <w:sz w:val="22"/>
          <w:szCs w:val="22"/>
        </w:rPr>
        <w:instrText xml:space="preserve">ADDIN Mendeley Bibliography CSL_BIBLIOGRAPHY </w:instrText>
      </w:r>
      <w:r w:rsidRPr="002B3966">
        <w:rPr>
          <w:rFonts w:ascii="Arial" w:hAnsi="Arial" w:cs="Arial"/>
          <w:color w:val="000000" w:themeColor="text1"/>
          <w:sz w:val="22"/>
          <w:szCs w:val="22"/>
        </w:rPr>
        <w:fldChar w:fldCharType="separate"/>
      </w:r>
      <w:r w:rsidR="003329D5" w:rsidRPr="002B3966">
        <w:rPr>
          <w:rFonts w:ascii="Arial" w:hAnsi="Arial" w:cs="Arial"/>
          <w:noProof/>
          <w:sz w:val="22"/>
          <w:szCs w:val="22"/>
        </w:rPr>
        <w:t>1.</w:t>
      </w:r>
      <w:r w:rsidR="003329D5" w:rsidRPr="002B3966">
        <w:rPr>
          <w:rFonts w:ascii="Arial" w:hAnsi="Arial" w:cs="Arial"/>
          <w:noProof/>
          <w:sz w:val="22"/>
          <w:szCs w:val="22"/>
        </w:rPr>
        <w:tab/>
        <w:t xml:space="preserve">Shen, E., Shulha, H., Weng, Z. &amp; Akbarian, S. Regulation of histone H3K4 methylation in brain development and disease. </w:t>
      </w:r>
      <w:r w:rsidR="003329D5" w:rsidRPr="002B3966">
        <w:rPr>
          <w:rFonts w:ascii="Arial" w:hAnsi="Arial" w:cs="Arial"/>
          <w:i/>
          <w:iCs/>
          <w:noProof/>
          <w:sz w:val="22"/>
          <w:szCs w:val="22"/>
        </w:rPr>
        <w:t>Philosophical Transactions of the Royal Society B: Biological Sciences</w:t>
      </w:r>
      <w:r w:rsidR="003329D5" w:rsidRPr="002B3966">
        <w:rPr>
          <w:rFonts w:ascii="Arial" w:hAnsi="Arial" w:cs="Arial"/>
          <w:noProof/>
          <w:sz w:val="22"/>
          <w:szCs w:val="22"/>
        </w:rPr>
        <w:t xml:space="preserve"> </w:t>
      </w:r>
      <w:r w:rsidR="003329D5" w:rsidRPr="002B3966">
        <w:rPr>
          <w:rFonts w:ascii="Arial" w:hAnsi="Arial" w:cs="Arial"/>
          <w:b/>
          <w:bCs/>
          <w:noProof/>
          <w:sz w:val="22"/>
          <w:szCs w:val="22"/>
        </w:rPr>
        <w:t>369</w:t>
      </w:r>
      <w:r w:rsidR="003329D5" w:rsidRPr="002B3966">
        <w:rPr>
          <w:rFonts w:ascii="Arial" w:hAnsi="Arial" w:cs="Arial"/>
          <w:noProof/>
          <w:sz w:val="22"/>
          <w:szCs w:val="22"/>
        </w:rPr>
        <w:t>, (2014).</w:t>
      </w:r>
    </w:p>
    <w:p w14:paraId="686F068C"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w:t>
      </w:r>
      <w:r w:rsidRPr="002B3966">
        <w:rPr>
          <w:rFonts w:ascii="Arial" w:hAnsi="Arial" w:cs="Arial"/>
          <w:noProof/>
          <w:sz w:val="22"/>
          <w:szCs w:val="22"/>
        </w:rPr>
        <w:tab/>
        <w:t xml:space="preserve">Froimchuk, E., Jang, Y. &amp; Ge, K. Histone H3 lysine 4 methyltransferase KMT2D. </w:t>
      </w:r>
      <w:r w:rsidRPr="002B3966">
        <w:rPr>
          <w:rFonts w:ascii="Arial" w:hAnsi="Arial" w:cs="Arial"/>
          <w:i/>
          <w:iCs/>
          <w:noProof/>
          <w:sz w:val="22"/>
          <w:szCs w:val="22"/>
        </w:rPr>
        <w:t>Gene</w:t>
      </w:r>
      <w:r w:rsidRPr="002B3966">
        <w:rPr>
          <w:rFonts w:ascii="Arial" w:hAnsi="Arial" w:cs="Arial"/>
          <w:noProof/>
          <w:sz w:val="22"/>
          <w:szCs w:val="22"/>
        </w:rPr>
        <w:t xml:space="preserve"> </w:t>
      </w:r>
      <w:r w:rsidRPr="002B3966">
        <w:rPr>
          <w:rFonts w:ascii="Arial" w:hAnsi="Arial" w:cs="Arial"/>
          <w:b/>
          <w:bCs/>
          <w:noProof/>
          <w:sz w:val="22"/>
          <w:szCs w:val="22"/>
        </w:rPr>
        <w:t>627</w:t>
      </w:r>
      <w:r w:rsidRPr="002B3966">
        <w:rPr>
          <w:rFonts w:ascii="Arial" w:hAnsi="Arial" w:cs="Arial"/>
          <w:noProof/>
          <w:sz w:val="22"/>
          <w:szCs w:val="22"/>
        </w:rPr>
        <w:t>, 337–342 (2017).</w:t>
      </w:r>
    </w:p>
    <w:p w14:paraId="065B14AF"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w:t>
      </w:r>
      <w:r w:rsidRPr="002B3966">
        <w:rPr>
          <w:rFonts w:ascii="Arial" w:hAnsi="Arial" w:cs="Arial"/>
          <w:noProof/>
          <w:sz w:val="22"/>
          <w:szCs w:val="22"/>
        </w:rPr>
        <w:tab/>
        <w:t xml:space="preserve">Vallianatos, C. N. &amp; Iwase, S. Disrupted intricacy of histone H3K4 methylation in neurodevelopmental disorders. </w:t>
      </w:r>
      <w:r w:rsidRPr="002B3966">
        <w:rPr>
          <w:rFonts w:ascii="Arial" w:hAnsi="Arial" w:cs="Arial"/>
          <w:i/>
          <w:iCs/>
          <w:noProof/>
          <w:sz w:val="22"/>
          <w:szCs w:val="22"/>
        </w:rPr>
        <w:t>Epigenomics</w:t>
      </w:r>
      <w:r w:rsidRPr="002B3966">
        <w:rPr>
          <w:rFonts w:ascii="Arial" w:hAnsi="Arial" w:cs="Arial"/>
          <w:noProof/>
          <w:sz w:val="22"/>
          <w:szCs w:val="22"/>
        </w:rPr>
        <w:t xml:space="preserve"> </w:t>
      </w:r>
      <w:r w:rsidRPr="002B3966">
        <w:rPr>
          <w:rFonts w:ascii="Arial" w:hAnsi="Arial" w:cs="Arial"/>
          <w:b/>
          <w:bCs/>
          <w:noProof/>
          <w:sz w:val="22"/>
          <w:szCs w:val="22"/>
        </w:rPr>
        <w:t>7</w:t>
      </w:r>
      <w:r w:rsidRPr="002B3966">
        <w:rPr>
          <w:rFonts w:ascii="Arial" w:hAnsi="Arial" w:cs="Arial"/>
          <w:noProof/>
          <w:sz w:val="22"/>
          <w:szCs w:val="22"/>
        </w:rPr>
        <w:t>, 503–518 (2015).</w:t>
      </w:r>
    </w:p>
    <w:p w14:paraId="6F353FA9"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w:t>
      </w:r>
      <w:r w:rsidRPr="002B3966">
        <w:rPr>
          <w:rFonts w:ascii="Arial" w:hAnsi="Arial" w:cs="Arial"/>
          <w:noProof/>
          <w:sz w:val="22"/>
          <w:szCs w:val="22"/>
        </w:rPr>
        <w:tab/>
        <w:t xml:space="preserve">Placek, K. </w:t>
      </w:r>
      <w:r w:rsidRPr="002B3966">
        <w:rPr>
          <w:rFonts w:ascii="Arial" w:hAnsi="Arial" w:cs="Arial"/>
          <w:i/>
          <w:iCs/>
          <w:noProof/>
          <w:sz w:val="22"/>
          <w:szCs w:val="22"/>
        </w:rPr>
        <w:t>et al.</w:t>
      </w:r>
      <w:r w:rsidRPr="002B3966">
        <w:rPr>
          <w:rFonts w:ascii="Arial" w:hAnsi="Arial" w:cs="Arial"/>
          <w:noProof/>
          <w:sz w:val="22"/>
          <w:szCs w:val="22"/>
        </w:rPr>
        <w:t xml:space="preserve"> MLL4 prepares the enhancer landscape for Foxp3 induction via chromatin looping. </w:t>
      </w:r>
      <w:r w:rsidRPr="002B3966">
        <w:rPr>
          <w:rFonts w:ascii="Arial" w:hAnsi="Arial" w:cs="Arial"/>
          <w:i/>
          <w:iCs/>
          <w:noProof/>
          <w:sz w:val="22"/>
          <w:szCs w:val="22"/>
        </w:rPr>
        <w:t>Nat. Immunol.</w:t>
      </w:r>
      <w:r w:rsidRPr="002B3966">
        <w:rPr>
          <w:rFonts w:ascii="Arial" w:hAnsi="Arial" w:cs="Arial"/>
          <w:noProof/>
          <w:sz w:val="22"/>
          <w:szCs w:val="22"/>
        </w:rPr>
        <w:t xml:space="preserve"> </w:t>
      </w:r>
      <w:r w:rsidRPr="002B3966">
        <w:rPr>
          <w:rFonts w:ascii="Arial" w:hAnsi="Arial" w:cs="Arial"/>
          <w:b/>
          <w:bCs/>
          <w:noProof/>
          <w:sz w:val="22"/>
          <w:szCs w:val="22"/>
        </w:rPr>
        <w:t>18</w:t>
      </w:r>
      <w:r w:rsidRPr="002B3966">
        <w:rPr>
          <w:rFonts w:ascii="Arial" w:hAnsi="Arial" w:cs="Arial"/>
          <w:noProof/>
          <w:sz w:val="22"/>
          <w:szCs w:val="22"/>
        </w:rPr>
        <w:t>, 1035–1045 (2017).</w:t>
      </w:r>
    </w:p>
    <w:p w14:paraId="68D8182C"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5.</w:t>
      </w:r>
      <w:r w:rsidRPr="002B3966">
        <w:rPr>
          <w:rFonts w:ascii="Arial" w:hAnsi="Arial" w:cs="Arial"/>
          <w:noProof/>
          <w:sz w:val="22"/>
          <w:szCs w:val="22"/>
        </w:rPr>
        <w:tab/>
        <w:t xml:space="preserve">Bon,  van B. </w:t>
      </w:r>
      <w:r w:rsidRPr="002B3966">
        <w:rPr>
          <w:rFonts w:ascii="Arial" w:hAnsi="Arial" w:cs="Arial"/>
          <w:i/>
          <w:iCs/>
          <w:noProof/>
          <w:sz w:val="22"/>
          <w:szCs w:val="22"/>
        </w:rPr>
        <w:t>et al.</w:t>
      </w:r>
      <w:r w:rsidRPr="002B3966">
        <w:rPr>
          <w:rFonts w:ascii="Arial" w:hAnsi="Arial" w:cs="Arial"/>
          <w:noProof/>
          <w:sz w:val="22"/>
          <w:szCs w:val="22"/>
        </w:rPr>
        <w:t xml:space="preserve"> MLL2 mutation detection in 86 patients with Kabuki syndrome: a genotype-phenotype study mutation detection in 86 patients with Kabuki syndrome: a genotype-phenotype study. Nothing to declare. </w:t>
      </w:r>
      <w:r w:rsidRPr="002B3966">
        <w:rPr>
          <w:rFonts w:ascii="Arial" w:hAnsi="Arial" w:cs="Arial"/>
          <w:i/>
          <w:iCs/>
          <w:noProof/>
          <w:sz w:val="22"/>
          <w:szCs w:val="22"/>
        </w:rPr>
        <w:t>Clin Genet</w:t>
      </w:r>
      <w:r w:rsidRPr="002B3966">
        <w:rPr>
          <w:rFonts w:ascii="Arial" w:hAnsi="Arial" w:cs="Arial"/>
          <w:noProof/>
          <w:sz w:val="22"/>
          <w:szCs w:val="22"/>
        </w:rPr>
        <w:t xml:space="preserve"> </w:t>
      </w:r>
      <w:r w:rsidRPr="002B3966">
        <w:rPr>
          <w:rFonts w:ascii="Arial" w:hAnsi="Arial" w:cs="Arial"/>
          <w:b/>
          <w:bCs/>
          <w:noProof/>
          <w:sz w:val="22"/>
          <w:szCs w:val="22"/>
        </w:rPr>
        <w:t>84</w:t>
      </w:r>
      <w:r w:rsidRPr="002B3966">
        <w:rPr>
          <w:rFonts w:ascii="Arial" w:hAnsi="Arial" w:cs="Arial"/>
          <w:noProof/>
          <w:sz w:val="22"/>
          <w:szCs w:val="22"/>
        </w:rPr>
        <w:t>, 539–545 (2013).</w:t>
      </w:r>
    </w:p>
    <w:p w14:paraId="452451D6"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6.</w:t>
      </w:r>
      <w:r w:rsidRPr="002B3966">
        <w:rPr>
          <w:rFonts w:ascii="Arial" w:hAnsi="Arial" w:cs="Arial"/>
          <w:noProof/>
          <w:sz w:val="22"/>
          <w:szCs w:val="22"/>
        </w:rPr>
        <w:tab/>
        <w:t xml:space="preserve">Caciolo, C. </w:t>
      </w:r>
      <w:r w:rsidRPr="002B3966">
        <w:rPr>
          <w:rFonts w:ascii="Arial" w:hAnsi="Arial" w:cs="Arial"/>
          <w:i/>
          <w:iCs/>
          <w:noProof/>
          <w:sz w:val="22"/>
          <w:szCs w:val="22"/>
        </w:rPr>
        <w:t>et al.</w:t>
      </w:r>
      <w:r w:rsidRPr="002B3966">
        <w:rPr>
          <w:rFonts w:ascii="Arial" w:hAnsi="Arial" w:cs="Arial"/>
          <w:noProof/>
          <w:sz w:val="22"/>
          <w:szCs w:val="22"/>
        </w:rPr>
        <w:t xml:space="preserve"> Neurobehavioral features in individuals with Kabuki syndrome. </w:t>
      </w:r>
      <w:r w:rsidRPr="002B3966">
        <w:rPr>
          <w:rFonts w:ascii="Arial" w:hAnsi="Arial" w:cs="Arial"/>
          <w:i/>
          <w:iCs/>
          <w:noProof/>
          <w:sz w:val="22"/>
          <w:szCs w:val="22"/>
        </w:rPr>
        <w:t>Mol. Genet. Genomic Med.</w:t>
      </w:r>
      <w:r w:rsidRPr="002B3966">
        <w:rPr>
          <w:rFonts w:ascii="Arial" w:hAnsi="Arial" w:cs="Arial"/>
          <w:noProof/>
          <w:sz w:val="22"/>
          <w:szCs w:val="22"/>
        </w:rPr>
        <w:t xml:space="preserve"> </w:t>
      </w:r>
      <w:r w:rsidRPr="002B3966">
        <w:rPr>
          <w:rFonts w:ascii="Arial" w:hAnsi="Arial" w:cs="Arial"/>
          <w:b/>
          <w:bCs/>
          <w:noProof/>
          <w:sz w:val="22"/>
          <w:szCs w:val="22"/>
        </w:rPr>
        <w:t>6</w:t>
      </w:r>
      <w:r w:rsidRPr="002B3966">
        <w:rPr>
          <w:rFonts w:ascii="Arial" w:hAnsi="Arial" w:cs="Arial"/>
          <w:noProof/>
          <w:sz w:val="22"/>
          <w:szCs w:val="22"/>
        </w:rPr>
        <w:t>, 322–331 (2018).</w:t>
      </w:r>
    </w:p>
    <w:p w14:paraId="1D645044"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lastRenderedPageBreak/>
        <w:t>7.</w:t>
      </w:r>
      <w:r w:rsidRPr="002B3966">
        <w:rPr>
          <w:rFonts w:ascii="Arial" w:hAnsi="Arial" w:cs="Arial"/>
          <w:noProof/>
          <w:sz w:val="22"/>
          <w:szCs w:val="22"/>
        </w:rPr>
        <w:tab/>
        <w:t xml:space="preserve">Bjornsson, H. T. </w:t>
      </w:r>
      <w:r w:rsidRPr="002B3966">
        <w:rPr>
          <w:rFonts w:ascii="Arial" w:hAnsi="Arial" w:cs="Arial"/>
          <w:i/>
          <w:iCs/>
          <w:noProof/>
          <w:sz w:val="22"/>
          <w:szCs w:val="22"/>
        </w:rPr>
        <w:t>et al.</w:t>
      </w:r>
      <w:r w:rsidRPr="002B3966">
        <w:rPr>
          <w:rFonts w:ascii="Arial" w:hAnsi="Arial" w:cs="Arial"/>
          <w:noProof/>
          <w:sz w:val="22"/>
          <w:szCs w:val="22"/>
        </w:rPr>
        <w:t xml:space="preserve"> Histone deacetylase inhibition rescues structural and functional brain deficits in a mouse model of Kabuki syndrome. </w:t>
      </w:r>
      <w:r w:rsidRPr="002B3966">
        <w:rPr>
          <w:rFonts w:ascii="Arial" w:hAnsi="Arial" w:cs="Arial"/>
          <w:i/>
          <w:iCs/>
          <w:noProof/>
          <w:sz w:val="22"/>
          <w:szCs w:val="22"/>
        </w:rPr>
        <w:t>Sci. Transl. Med.</w:t>
      </w:r>
      <w:r w:rsidRPr="002B3966">
        <w:rPr>
          <w:rFonts w:ascii="Arial" w:hAnsi="Arial" w:cs="Arial"/>
          <w:noProof/>
          <w:sz w:val="22"/>
          <w:szCs w:val="22"/>
        </w:rPr>
        <w:t xml:space="preserve"> </w:t>
      </w:r>
      <w:r w:rsidRPr="002B3966">
        <w:rPr>
          <w:rFonts w:ascii="Arial" w:hAnsi="Arial" w:cs="Arial"/>
          <w:b/>
          <w:bCs/>
          <w:noProof/>
          <w:sz w:val="22"/>
          <w:szCs w:val="22"/>
        </w:rPr>
        <w:t>6</w:t>
      </w:r>
      <w:r w:rsidRPr="002B3966">
        <w:rPr>
          <w:rFonts w:ascii="Arial" w:hAnsi="Arial" w:cs="Arial"/>
          <w:noProof/>
          <w:sz w:val="22"/>
          <w:szCs w:val="22"/>
        </w:rPr>
        <w:t>, (2014).</w:t>
      </w:r>
    </w:p>
    <w:p w14:paraId="2C680C28"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8.</w:t>
      </w:r>
      <w:r w:rsidRPr="002B3966">
        <w:rPr>
          <w:rFonts w:ascii="Arial" w:hAnsi="Arial" w:cs="Arial"/>
          <w:noProof/>
          <w:sz w:val="22"/>
          <w:szCs w:val="22"/>
        </w:rPr>
        <w:tab/>
        <w:t xml:space="preserve">Yamamoto, P. K. </w:t>
      </w:r>
      <w:r w:rsidRPr="002B3966">
        <w:rPr>
          <w:rFonts w:ascii="Arial" w:hAnsi="Arial" w:cs="Arial"/>
          <w:i/>
          <w:iCs/>
          <w:noProof/>
          <w:sz w:val="22"/>
          <w:szCs w:val="22"/>
        </w:rPr>
        <w:t>et al.</w:t>
      </w:r>
      <w:r w:rsidRPr="002B3966">
        <w:rPr>
          <w:rFonts w:ascii="Arial" w:hAnsi="Arial" w:cs="Arial"/>
          <w:noProof/>
          <w:sz w:val="22"/>
          <w:szCs w:val="22"/>
        </w:rPr>
        <w:t xml:space="preserve"> Genetic and behavioral characterization of a </w:t>
      </w:r>
      <w:r w:rsidRPr="002B3966">
        <w:rPr>
          <w:rFonts w:ascii="Arial" w:hAnsi="Arial" w:cs="Arial"/>
          <w:i/>
          <w:iCs/>
          <w:noProof/>
          <w:sz w:val="22"/>
          <w:szCs w:val="22"/>
        </w:rPr>
        <w:t>Kmt2d</w:t>
      </w:r>
      <w:r w:rsidRPr="002B3966">
        <w:rPr>
          <w:rFonts w:ascii="Arial" w:hAnsi="Arial" w:cs="Arial"/>
          <w:noProof/>
          <w:sz w:val="22"/>
          <w:szCs w:val="22"/>
        </w:rPr>
        <w:t xml:space="preserve"> mouse mutant, a new model for Kabuki Syndrome. </w:t>
      </w:r>
      <w:r w:rsidRPr="002B3966">
        <w:rPr>
          <w:rFonts w:ascii="Arial" w:hAnsi="Arial" w:cs="Arial"/>
          <w:i/>
          <w:iCs/>
          <w:noProof/>
          <w:sz w:val="22"/>
          <w:szCs w:val="22"/>
        </w:rPr>
        <w:t>Genes, Brain Behav.</w:t>
      </w:r>
      <w:r w:rsidRPr="002B3966">
        <w:rPr>
          <w:rFonts w:ascii="Arial" w:hAnsi="Arial" w:cs="Arial"/>
          <w:noProof/>
          <w:sz w:val="22"/>
          <w:szCs w:val="22"/>
        </w:rPr>
        <w:t xml:space="preserve"> </w:t>
      </w:r>
      <w:r w:rsidRPr="002B3966">
        <w:rPr>
          <w:rFonts w:ascii="Arial" w:hAnsi="Arial" w:cs="Arial"/>
          <w:b/>
          <w:bCs/>
          <w:noProof/>
          <w:sz w:val="22"/>
          <w:szCs w:val="22"/>
        </w:rPr>
        <w:t>18</w:t>
      </w:r>
      <w:r w:rsidRPr="002B3966">
        <w:rPr>
          <w:rFonts w:ascii="Arial" w:hAnsi="Arial" w:cs="Arial"/>
          <w:noProof/>
          <w:sz w:val="22"/>
          <w:szCs w:val="22"/>
        </w:rPr>
        <w:t>, (2019).</w:t>
      </w:r>
    </w:p>
    <w:p w14:paraId="2EA73100"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9.</w:t>
      </w:r>
      <w:r w:rsidRPr="002B3966">
        <w:rPr>
          <w:rFonts w:ascii="Arial" w:hAnsi="Arial" w:cs="Arial"/>
          <w:noProof/>
          <w:sz w:val="22"/>
          <w:szCs w:val="22"/>
        </w:rPr>
        <w:tab/>
        <w:t xml:space="preserve">Jakovcevski, M. </w:t>
      </w:r>
      <w:r w:rsidRPr="002B3966">
        <w:rPr>
          <w:rFonts w:ascii="Arial" w:hAnsi="Arial" w:cs="Arial"/>
          <w:i/>
          <w:iCs/>
          <w:noProof/>
          <w:sz w:val="22"/>
          <w:szCs w:val="22"/>
        </w:rPr>
        <w:t>et al.</w:t>
      </w:r>
      <w:r w:rsidRPr="002B3966">
        <w:rPr>
          <w:rFonts w:ascii="Arial" w:hAnsi="Arial" w:cs="Arial"/>
          <w:noProof/>
          <w:sz w:val="22"/>
          <w:szCs w:val="22"/>
        </w:rPr>
        <w:t xml:space="preserve"> Neuronal Kmt2a/Mll1 histone methyltransferase is essential for prefrontal synaptic plasticity and working memory. </w:t>
      </w:r>
      <w:r w:rsidRPr="002B3966">
        <w:rPr>
          <w:rFonts w:ascii="Arial" w:hAnsi="Arial" w:cs="Arial"/>
          <w:i/>
          <w:iCs/>
          <w:noProof/>
          <w:sz w:val="22"/>
          <w:szCs w:val="22"/>
        </w:rPr>
        <w:t>J. Neurosci.</w:t>
      </w:r>
      <w:r w:rsidRPr="002B3966">
        <w:rPr>
          <w:rFonts w:ascii="Arial" w:hAnsi="Arial" w:cs="Arial"/>
          <w:noProof/>
          <w:sz w:val="22"/>
          <w:szCs w:val="22"/>
        </w:rPr>
        <w:t xml:space="preserve"> </w:t>
      </w:r>
      <w:r w:rsidRPr="002B3966">
        <w:rPr>
          <w:rFonts w:ascii="Arial" w:hAnsi="Arial" w:cs="Arial"/>
          <w:b/>
          <w:bCs/>
          <w:noProof/>
          <w:sz w:val="22"/>
          <w:szCs w:val="22"/>
        </w:rPr>
        <w:t>35</w:t>
      </w:r>
      <w:r w:rsidRPr="002B3966">
        <w:rPr>
          <w:rFonts w:ascii="Arial" w:hAnsi="Arial" w:cs="Arial"/>
          <w:noProof/>
          <w:sz w:val="22"/>
          <w:szCs w:val="22"/>
        </w:rPr>
        <w:t>, 5097–5108 (2015).</w:t>
      </w:r>
    </w:p>
    <w:p w14:paraId="5F0F9800"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10.</w:t>
      </w:r>
      <w:r w:rsidRPr="002B3966">
        <w:rPr>
          <w:rFonts w:ascii="Arial" w:hAnsi="Arial" w:cs="Arial"/>
          <w:noProof/>
          <w:sz w:val="22"/>
          <w:szCs w:val="22"/>
        </w:rPr>
        <w:tab/>
        <w:t xml:space="preserve">Zhu, Y. </w:t>
      </w:r>
      <w:r w:rsidRPr="002B3966">
        <w:rPr>
          <w:rFonts w:ascii="Arial" w:hAnsi="Arial" w:cs="Arial"/>
          <w:i/>
          <w:iCs/>
          <w:noProof/>
          <w:sz w:val="22"/>
          <w:szCs w:val="22"/>
        </w:rPr>
        <w:t>et al.</w:t>
      </w:r>
      <w:r w:rsidRPr="002B3966">
        <w:rPr>
          <w:rFonts w:ascii="Arial" w:hAnsi="Arial" w:cs="Arial"/>
          <w:noProof/>
          <w:sz w:val="22"/>
          <w:szCs w:val="22"/>
        </w:rPr>
        <w:t xml:space="preserve"> Ablation of NF1 function in neurons induces abnormal development of cerebral cortex and reactive gliosis in the brainZhu, Y., Romero, M. I., Ghosh, P., Ye, Z., Charnay, P., Rushing, E. J., … Parada, L. F. (2001). Ablation of NF1 function in neurons induce. </w:t>
      </w:r>
      <w:r w:rsidRPr="002B3966">
        <w:rPr>
          <w:rFonts w:ascii="Arial" w:hAnsi="Arial" w:cs="Arial"/>
          <w:i/>
          <w:iCs/>
          <w:noProof/>
          <w:sz w:val="22"/>
          <w:szCs w:val="22"/>
        </w:rPr>
        <w:t>Genes Dev.</w:t>
      </w:r>
      <w:r w:rsidRPr="002B3966">
        <w:rPr>
          <w:rFonts w:ascii="Arial" w:hAnsi="Arial" w:cs="Arial"/>
          <w:noProof/>
          <w:sz w:val="22"/>
          <w:szCs w:val="22"/>
        </w:rPr>
        <w:t xml:space="preserve"> </w:t>
      </w:r>
      <w:r w:rsidRPr="002B3966">
        <w:rPr>
          <w:rFonts w:ascii="Arial" w:hAnsi="Arial" w:cs="Arial"/>
          <w:b/>
          <w:bCs/>
          <w:noProof/>
          <w:sz w:val="22"/>
          <w:szCs w:val="22"/>
        </w:rPr>
        <w:t>15</w:t>
      </w:r>
      <w:r w:rsidRPr="002B3966">
        <w:rPr>
          <w:rFonts w:ascii="Arial" w:hAnsi="Arial" w:cs="Arial"/>
          <w:noProof/>
          <w:sz w:val="22"/>
          <w:szCs w:val="22"/>
        </w:rPr>
        <w:t>, 859–876 (2001).</w:t>
      </w:r>
    </w:p>
    <w:p w14:paraId="74473162"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11.</w:t>
      </w:r>
      <w:r w:rsidRPr="002B3966">
        <w:rPr>
          <w:rFonts w:ascii="Arial" w:hAnsi="Arial" w:cs="Arial"/>
          <w:noProof/>
          <w:sz w:val="22"/>
          <w:szCs w:val="22"/>
        </w:rPr>
        <w:tab/>
        <w:t xml:space="preserve">Cleven, A. H. G. </w:t>
      </w:r>
      <w:r w:rsidRPr="002B3966">
        <w:rPr>
          <w:rFonts w:ascii="Arial" w:hAnsi="Arial" w:cs="Arial"/>
          <w:i/>
          <w:iCs/>
          <w:noProof/>
          <w:sz w:val="22"/>
          <w:szCs w:val="22"/>
        </w:rPr>
        <w:t>et al.</w:t>
      </w:r>
      <w:r w:rsidRPr="002B3966">
        <w:rPr>
          <w:rFonts w:ascii="Arial" w:hAnsi="Arial" w:cs="Arial"/>
          <w:noProof/>
          <w:sz w:val="22"/>
          <w:szCs w:val="22"/>
        </w:rPr>
        <w:t xml:space="preserve"> Loss of H3K27 tri-methylation is a diagnostic marker for malignant peripheral nerve sheath tumors and an indicator for an inferior survival. </w:t>
      </w:r>
      <w:r w:rsidRPr="002B3966">
        <w:rPr>
          <w:rFonts w:ascii="Arial" w:hAnsi="Arial" w:cs="Arial"/>
          <w:i/>
          <w:iCs/>
          <w:noProof/>
          <w:sz w:val="22"/>
          <w:szCs w:val="22"/>
        </w:rPr>
        <w:t>Mod. Pathol.</w:t>
      </w:r>
      <w:r w:rsidRPr="002B3966">
        <w:rPr>
          <w:rFonts w:ascii="Arial" w:hAnsi="Arial" w:cs="Arial"/>
          <w:noProof/>
          <w:sz w:val="22"/>
          <w:szCs w:val="22"/>
        </w:rPr>
        <w:t xml:space="preserve"> </w:t>
      </w:r>
      <w:r w:rsidRPr="002B3966">
        <w:rPr>
          <w:rFonts w:ascii="Arial" w:hAnsi="Arial" w:cs="Arial"/>
          <w:b/>
          <w:bCs/>
          <w:noProof/>
          <w:sz w:val="22"/>
          <w:szCs w:val="22"/>
        </w:rPr>
        <w:t>29</w:t>
      </w:r>
      <w:r w:rsidRPr="002B3966">
        <w:rPr>
          <w:rFonts w:ascii="Arial" w:hAnsi="Arial" w:cs="Arial"/>
          <w:noProof/>
          <w:sz w:val="22"/>
          <w:szCs w:val="22"/>
        </w:rPr>
        <w:t>, 582–590 (2016).</w:t>
      </w:r>
    </w:p>
    <w:p w14:paraId="6A3E6054"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12.</w:t>
      </w:r>
      <w:r w:rsidRPr="002B3966">
        <w:rPr>
          <w:rFonts w:ascii="Arial" w:hAnsi="Arial" w:cs="Arial"/>
          <w:noProof/>
          <w:sz w:val="22"/>
          <w:szCs w:val="22"/>
        </w:rPr>
        <w:tab/>
        <w:t xml:space="preserve">Kehrer-Sawatzki, H., Mautner, V. F. &amp; Cooper, D. N. Emerging genotype–phenotype relationships in patients with large NF1 deletions. </w:t>
      </w:r>
      <w:r w:rsidRPr="002B3966">
        <w:rPr>
          <w:rFonts w:ascii="Arial" w:hAnsi="Arial" w:cs="Arial"/>
          <w:i/>
          <w:iCs/>
          <w:noProof/>
          <w:sz w:val="22"/>
          <w:szCs w:val="22"/>
        </w:rPr>
        <w:t>Human Genetics</w:t>
      </w:r>
      <w:r w:rsidRPr="002B3966">
        <w:rPr>
          <w:rFonts w:ascii="Arial" w:hAnsi="Arial" w:cs="Arial"/>
          <w:noProof/>
          <w:sz w:val="22"/>
          <w:szCs w:val="22"/>
        </w:rPr>
        <w:t xml:space="preserve"> </w:t>
      </w:r>
      <w:r w:rsidRPr="002B3966">
        <w:rPr>
          <w:rFonts w:ascii="Arial" w:hAnsi="Arial" w:cs="Arial"/>
          <w:b/>
          <w:bCs/>
          <w:noProof/>
          <w:sz w:val="22"/>
          <w:szCs w:val="22"/>
        </w:rPr>
        <w:t>136</w:t>
      </w:r>
      <w:r w:rsidRPr="002B3966">
        <w:rPr>
          <w:rFonts w:ascii="Arial" w:hAnsi="Arial" w:cs="Arial"/>
          <w:noProof/>
          <w:sz w:val="22"/>
          <w:szCs w:val="22"/>
        </w:rPr>
        <w:t>, 349–376 (2017).</w:t>
      </w:r>
    </w:p>
    <w:p w14:paraId="76026DB9"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13.</w:t>
      </w:r>
      <w:r w:rsidRPr="002B3966">
        <w:rPr>
          <w:rFonts w:ascii="Arial" w:hAnsi="Arial" w:cs="Arial"/>
          <w:noProof/>
          <w:sz w:val="22"/>
          <w:szCs w:val="22"/>
        </w:rPr>
        <w:tab/>
        <w:t xml:space="preserve">De Raedt, T. </w:t>
      </w:r>
      <w:r w:rsidRPr="002B3966">
        <w:rPr>
          <w:rFonts w:ascii="Arial" w:hAnsi="Arial" w:cs="Arial"/>
          <w:i/>
          <w:iCs/>
          <w:noProof/>
          <w:sz w:val="22"/>
          <w:szCs w:val="22"/>
        </w:rPr>
        <w:t>et al.</w:t>
      </w:r>
      <w:r w:rsidRPr="002B3966">
        <w:rPr>
          <w:rFonts w:ascii="Arial" w:hAnsi="Arial" w:cs="Arial"/>
          <w:noProof/>
          <w:sz w:val="22"/>
          <w:szCs w:val="22"/>
        </w:rPr>
        <w:t xml:space="preserve"> Somatic loss of wild type NF1 allele in neurofibromas: Comparison of NF1 microdeletion and non-microdeletion patients. </w:t>
      </w:r>
      <w:r w:rsidRPr="002B3966">
        <w:rPr>
          <w:rFonts w:ascii="Arial" w:hAnsi="Arial" w:cs="Arial"/>
          <w:i/>
          <w:iCs/>
          <w:noProof/>
          <w:sz w:val="22"/>
          <w:szCs w:val="22"/>
        </w:rPr>
        <w:t>Genes Chromosom. Cancer</w:t>
      </w:r>
      <w:r w:rsidRPr="002B3966">
        <w:rPr>
          <w:rFonts w:ascii="Arial" w:hAnsi="Arial" w:cs="Arial"/>
          <w:noProof/>
          <w:sz w:val="22"/>
          <w:szCs w:val="22"/>
        </w:rPr>
        <w:t xml:space="preserve"> </w:t>
      </w:r>
      <w:r w:rsidRPr="002B3966">
        <w:rPr>
          <w:rFonts w:ascii="Arial" w:hAnsi="Arial" w:cs="Arial"/>
          <w:b/>
          <w:bCs/>
          <w:noProof/>
          <w:sz w:val="22"/>
          <w:szCs w:val="22"/>
        </w:rPr>
        <w:t>45</w:t>
      </w:r>
      <w:r w:rsidRPr="002B3966">
        <w:rPr>
          <w:rFonts w:ascii="Arial" w:hAnsi="Arial" w:cs="Arial"/>
          <w:noProof/>
          <w:sz w:val="22"/>
          <w:szCs w:val="22"/>
        </w:rPr>
        <w:t>, 893–904 (2006).</w:t>
      </w:r>
    </w:p>
    <w:p w14:paraId="56385209"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14.</w:t>
      </w:r>
      <w:r w:rsidRPr="002B3966">
        <w:rPr>
          <w:rFonts w:ascii="Arial" w:hAnsi="Arial" w:cs="Arial"/>
          <w:noProof/>
          <w:sz w:val="22"/>
          <w:szCs w:val="22"/>
        </w:rPr>
        <w:tab/>
        <w:t xml:space="preserve">Bartelt-Kirbach, B., Wuepping, M., Dodrimont-Lattke, M. &amp; Kaufmann, D. Expression analysis of genes lying in the NF1 microdeletion interval points to four candidate modifiers for neurofibroma formation. </w:t>
      </w:r>
      <w:r w:rsidRPr="002B3966">
        <w:rPr>
          <w:rFonts w:ascii="Arial" w:hAnsi="Arial" w:cs="Arial"/>
          <w:i/>
          <w:iCs/>
          <w:noProof/>
          <w:sz w:val="22"/>
          <w:szCs w:val="22"/>
        </w:rPr>
        <w:t>Neurogenetics</w:t>
      </w:r>
      <w:r w:rsidRPr="002B3966">
        <w:rPr>
          <w:rFonts w:ascii="Arial" w:hAnsi="Arial" w:cs="Arial"/>
          <w:noProof/>
          <w:sz w:val="22"/>
          <w:szCs w:val="22"/>
        </w:rPr>
        <w:t xml:space="preserve"> </w:t>
      </w:r>
      <w:r w:rsidRPr="002B3966">
        <w:rPr>
          <w:rFonts w:ascii="Arial" w:hAnsi="Arial" w:cs="Arial"/>
          <w:b/>
          <w:bCs/>
          <w:noProof/>
          <w:sz w:val="22"/>
          <w:szCs w:val="22"/>
        </w:rPr>
        <w:t>10</w:t>
      </w:r>
      <w:r w:rsidRPr="002B3966">
        <w:rPr>
          <w:rFonts w:ascii="Arial" w:hAnsi="Arial" w:cs="Arial"/>
          <w:noProof/>
          <w:sz w:val="22"/>
          <w:szCs w:val="22"/>
        </w:rPr>
        <w:t>, 79–85 (2009).</w:t>
      </w:r>
    </w:p>
    <w:p w14:paraId="49AFF89D"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15.</w:t>
      </w:r>
      <w:r w:rsidRPr="002B3966">
        <w:rPr>
          <w:rFonts w:ascii="Arial" w:hAnsi="Arial" w:cs="Arial"/>
          <w:noProof/>
          <w:sz w:val="22"/>
          <w:szCs w:val="22"/>
        </w:rPr>
        <w:tab/>
        <w:t xml:space="preserve">Gao, Z. </w:t>
      </w:r>
      <w:r w:rsidRPr="002B3966">
        <w:rPr>
          <w:rFonts w:ascii="Arial" w:hAnsi="Arial" w:cs="Arial"/>
          <w:i/>
          <w:iCs/>
          <w:noProof/>
          <w:sz w:val="22"/>
          <w:szCs w:val="22"/>
        </w:rPr>
        <w:t>et al.</w:t>
      </w:r>
      <w:r w:rsidRPr="002B3966">
        <w:rPr>
          <w:rFonts w:ascii="Arial" w:hAnsi="Arial" w:cs="Arial"/>
          <w:noProof/>
          <w:sz w:val="22"/>
          <w:szCs w:val="22"/>
        </w:rPr>
        <w:t xml:space="preserve"> An AUTS2-Polycomb complex activates gene expression in the CNS. </w:t>
      </w:r>
      <w:r w:rsidRPr="002B3966">
        <w:rPr>
          <w:rFonts w:ascii="Arial" w:hAnsi="Arial" w:cs="Arial"/>
          <w:i/>
          <w:iCs/>
          <w:noProof/>
          <w:sz w:val="22"/>
          <w:szCs w:val="22"/>
        </w:rPr>
        <w:t>Nature</w:t>
      </w:r>
      <w:r w:rsidRPr="002B3966">
        <w:rPr>
          <w:rFonts w:ascii="Arial" w:hAnsi="Arial" w:cs="Arial"/>
          <w:noProof/>
          <w:sz w:val="22"/>
          <w:szCs w:val="22"/>
        </w:rPr>
        <w:t xml:space="preserve"> </w:t>
      </w:r>
      <w:r w:rsidRPr="002B3966">
        <w:rPr>
          <w:rFonts w:ascii="Arial" w:hAnsi="Arial" w:cs="Arial"/>
          <w:b/>
          <w:bCs/>
          <w:noProof/>
          <w:sz w:val="22"/>
          <w:szCs w:val="22"/>
        </w:rPr>
        <w:t>516</w:t>
      </w:r>
      <w:r w:rsidRPr="002B3966">
        <w:rPr>
          <w:rFonts w:ascii="Arial" w:hAnsi="Arial" w:cs="Arial"/>
          <w:noProof/>
          <w:sz w:val="22"/>
          <w:szCs w:val="22"/>
        </w:rPr>
        <w:t>, 349–354 (2014).</w:t>
      </w:r>
    </w:p>
    <w:p w14:paraId="7EE1749A"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16.</w:t>
      </w:r>
      <w:r w:rsidRPr="002B3966">
        <w:rPr>
          <w:rFonts w:ascii="Arial" w:hAnsi="Arial" w:cs="Arial"/>
          <w:noProof/>
          <w:sz w:val="22"/>
          <w:szCs w:val="22"/>
        </w:rPr>
        <w:tab/>
        <w:t xml:space="preserve">Oksenberg, N., Stevison, L., Wall, J. D. &amp; Ahituv, N. Function and Regulation of AUTS2, a Gene Implicated in Autism and Human Evolution. </w:t>
      </w:r>
      <w:r w:rsidRPr="002B3966">
        <w:rPr>
          <w:rFonts w:ascii="Arial" w:hAnsi="Arial" w:cs="Arial"/>
          <w:i/>
          <w:iCs/>
          <w:noProof/>
          <w:sz w:val="22"/>
          <w:szCs w:val="22"/>
        </w:rPr>
        <w:t>PLoS Genet.</w:t>
      </w:r>
      <w:r w:rsidRPr="002B3966">
        <w:rPr>
          <w:rFonts w:ascii="Arial" w:hAnsi="Arial" w:cs="Arial"/>
          <w:noProof/>
          <w:sz w:val="22"/>
          <w:szCs w:val="22"/>
        </w:rPr>
        <w:t xml:space="preserve"> </w:t>
      </w:r>
      <w:r w:rsidRPr="002B3966">
        <w:rPr>
          <w:rFonts w:ascii="Arial" w:hAnsi="Arial" w:cs="Arial"/>
          <w:b/>
          <w:bCs/>
          <w:noProof/>
          <w:sz w:val="22"/>
          <w:szCs w:val="22"/>
        </w:rPr>
        <w:t>9</w:t>
      </w:r>
      <w:r w:rsidRPr="002B3966">
        <w:rPr>
          <w:rFonts w:ascii="Arial" w:hAnsi="Arial" w:cs="Arial"/>
          <w:noProof/>
          <w:sz w:val="22"/>
          <w:szCs w:val="22"/>
        </w:rPr>
        <w:t>, e1003221 (2013).</w:t>
      </w:r>
    </w:p>
    <w:p w14:paraId="2A43226C"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17.</w:t>
      </w:r>
      <w:r w:rsidRPr="002B3966">
        <w:rPr>
          <w:rFonts w:ascii="Arial" w:hAnsi="Arial" w:cs="Arial"/>
          <w:noProof/>
          <w:sz w:val="22"/>
          <w:szCs w:val="22"/>
        </w:rPr>
        <w:tab/>
        <w:t xml:space="preserve">McCarthy, S. E. </w:t>
      </w:r>
      <w:r w:rsidRPr="002B3966">
        <w:rPr>
          <w:rFonts w:ascii="Arial" w:hAnsi="Arial" w:cs="Arial"/>
          <w:i/>
          <w:iCs/>
          <w:noProof/>
          <w:sz w:val="22"/>
          <w:szCs w:val="22"/>
        </w:rPr>
        <w:t>et al.</w:t>
      </w:r>
      <w:r w:rsidRPr="002B3966">
        <w:rPr>
          <w:rFonts w:ascii="Arial" w:hAnsi="Arial" w:cs="Arial"/>
          <w:noProof/>
          <w:sz w:val="22"/>
          <w:szCs w:val="22"/>
        </w:rPr>
        <w:t xml:space="preserve"> De novo mutations in schizophrenia implicate chromatin remodeling and support a genetic overlap with autism and intellectual disability. </w:t>
      </w:r>
      <w:r w:rsidRPr="002B3966">
        <w:rPr>
          <w:rFonts w:ascii="Arial" w:hAnsi="Arial" w:cs="Arial"/>
          <w:i/>
          <w:iCs/>
          <w:noProof/>
          <w:sz w:val="22"/>
          <w:szCs w:val="22"/>
        </w:rPr>
        <w:t>Mol. Psychiatry</w:t>
      </w:r>
      <w:r w:rsidRPr="002B3966">
        <w:rPr>
          <w:rFonts w:ascii="Arial" w:hAnsi="Arial" w:cs="Arial"/>
          <w:noProof/>
          <w:sz w:val="22"/>
          <w:szCs w:val="22"/>
        </w:rPr>
        <w:t xml:space="preserve"> </w:t>
      </w:r>
      <w:r w:rsidRPr="002B3966">
        <w:rPr>
          <w:rFonts w:ascii="Arial" w:hAnsi="Arial" w:cs="Arial"/>
          <w:b/>
          <w:bCs/>
          <w:noProof/>
          <w:sz w:val="22"/>
          <w:szCs w:val="22"/>
        </w:rPr>
        <w:t>19</w:t>
      </w:r>
      <w:r w:rsidRPr="002B3966">
        <w:rPr>
          <w:rFonts w:ascii="Arial" w:hAnsi="Arial" w:cs="Arial"/>
          <w:noProof/>
          <w:sz w:val="22"/>
          <w:szCs w:val="22"/>
        </w:rPr>
        <w:t>, 652–658 (2014).</w:t>
      </w:r>
    </w:p>
    <w:p w14:paraId="6C8C410E"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lastRenderedPageBreak/>
        <w:t>18.</w:t>
      </w:r>
      <w:r w:rsidRPr="002B3966">
        <w:rPr>
          <w:rFonts w:ascii="Arial" w:hAnsi="Arial" w:cs="Arial"/>
          <w:noProof/>
          <w:sz w:val="22"/>
          <w:szCs w:val="22"/>
        </w:rPr>
        <w:tab/>
        <w:t xml:space="preserve">Zhang, B. </w:t>
      </w:r>
      <w:r w:rsidRPr="002B3966">
        <w:rPr>
          <w:rFonts w:ascii="Arial" w:hAnsi="Arial" w:cs="Arial"/>
          <w:i/>
          <w:iCs/>
          <w:noProof/>
          <w:sz w:val="22"/>
          <w:szCs w:val="22"/>
        </w:rPr>
        <w:t>et al.</w:t>
      </w:r>
      <w:r w:rsidRPr="002B3966">
        <w:rPr>
          <w:rFonts w:ascii="Arial" w:hAnsi="Arial" w:cs="Arial"/>
          <w:noProof/>
          <w:sz w:val="22"/>
          <w:szCs w:val="22"/>
        </w:rPr>
        <w:t xml:space="preserve"> Association study identifying a new susceptibility gene (AUTS2) for Schizophrenia. </w:t>
      </w:r>
      <w:r w:rsidRPr="002B3966">
        <w:rPr>
          <w:rFonts w:ascii="Arial" w:hAnsi="Arial" w:cs="Arial"/>
          <w:i/>
          <w:iCs/>
          <w:noProof/>
          <w:sz w:val="22"/>
          <w:szCs w:val="22"/>
        </w:rPr>
        <w:t>Int. J. Mol. Sci.</w:t>
      </w:r>
      <w:r w:rsidRPr="002B3966">
        <w:rPr>
          <w:rFonts w:ascii="Arial" w:hAnsi="Arial" w:cs="Arial"/>
          <w:noProof/>
          <w:sz w:val="22"/>
          <w:szCs w:val="22"/>
        </w:rPr>
        <w:t xml:space="preserve"> </w:t>
      </w:r>
      <w:r w:rsidRPr="002B3966">
        <w:rPr>
          <w:rFonts w:ascii="Arial" w:hAnsi="Arial" w:cs="Arial"/>
          <w:b/>
          <w:bCs/>
          <w:noProof/>
          <w:sz w:val="22"/>
          <w:szCs w:val="22"/>
        </w:rPr>
        <w:t>15</w:t>
      </w:r>
      <w:r w:rsidRPr="002B3966">
        <w:rPr>
          <w:rFonts w:ascii="Arial" w:hAnsi="Arial" w:cs="Arial"/>
          <w:noProof/>
          <w:sz w:val="22"/>
          <w:szCs w:val="22"/>
        </w:rPr>
        <w:t>, 19406–19416 (2014).</w:t>
      </w:r>
    </w:p>
    <w:p w14:paraId="5BA89C49"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19.</w:t>
      </w:r>
      <w:r w:rsidRPr="002B3966">
        <w:rPr>
          <w:rFonts w:ascii="Arial" w:hAnsi="Arial" w:cs="Arial"/>
          <w:noProof/>
          <w:sz w:val="22"/>
          <w:szCs w:val="22"/>
        </w:rPr>
        <w:tab/>
        <w:t xml:space="preserve">Hori, K. &amp; Hoshino, M. Neuronal Migration and AUTS2 Syndrome. </w:t>
      </w:r>
      <w:r w:rsidRPr="002B3966">
        <w:rPr>
          <w:rFonts w:ascii="Arial" w:hAnsi="Arial" w:cs="Arial"/>
          <w:i/>
          <w:iCs/>
          <w:noProof/>
          <w:sz w:val="22"/>
          <w:szCs w:val="22"/>
        </w:rPr>
        <w:t>Brain Sci.</w:t>
      </w:r>
      <w:r w:rsidRPr="002B3966">
        <w:rPr>
          <w:rFonts w:ascii="Arial" w:hAnsi="Arial" w:cs="Arial"/>
          <w:noProof/>
          <w:sz w:val="22"/>
          <w:szCs w:val="22"/>
        </w:rPr>
        <w:t xml:space="preserve"> </w:t>
      </w:r>
      <w:r w:rsidRPr="002B3966">
        <w:rPr>
          <w:rFonts w:ascii="Arial" w:hAnsi="Arial" w:cs="Arial"/>
          <w:b/>
          <w:bCs/>
          <w:noProof/>
          <w:sz w:val="22"/>
          <w:szCs w:val="22"/>
        </w:rPr>
        <w:t>7</w:t>
      </w:r>
      <w:r w:rsidRPr="002B3966">
        <w:rPr>
          <w:rFonts w:ascii="Arial" w:hAnsi="Arial" w:cs="Arial"/>
          <w:noProof/>
          <w:sz w:val="22"/>
          <w:szCs w:val="22"/>
        </w:rPr>
        <w:t>, (2017).</w:t>
      </w:r>
    </w:p>
    <w:p w14:paraId="6E80936E"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20.</w:t>
      </w:r>
      <w:r w:rsidRPr="002B3966">
        <w:rPr>
          <w:rFonts w:ascii="Arial" w:hAnsi="Arial" w:cs="Arial"/>
          <w:noProof/>
          <w:sz w:val="22"/>
          <w:szCs w:val="22"/>
        </w:rPr>
        <w:tab/>
        <w:t xml:space="preserve">Bedogni, F. </w:t>
      </w:r>
      <w:r w:rsidRPr="002B3966">
        <w:rPr>
          <w:rFonts w:ascii="Arial" w:hAnsi="Arial" w:cs="Arial"/>
          <w:i/>
          <w:iCs/>
          <w:noProof/>
          <w:sz w:val="22"/>
          <w:szCs w:val="22"/>
        </w:rPr>
        <w:t>et al.</w:t>
      </w:r>
      <w:r w:rsidRPr="002B3966">
        <w:rPr>
          <w:rFonts w:ascii="Arial" w:hAnsi="Arial" w:cs="Arial"/>
          <w:noProof/>
          <w:sz w:val="22"/>
          <w:szCs w:val="22"/>
        </w:rPr>
        <w:t xml:space="preserve"> Autism susceptibility candidate 2 (Auts2) encodes a nuclear protein expressed in developing brain regions implicated in autism neuropathology. </w:t>
      </w:r>
      <w:r w:rsidRPr="002B3966">
        <w:rPr>
          <w:rFonts w:ascii="Arial" w:hAnsi="Arial" w:cs="Arial"/>
          <w:i/>
          <w:iCs/>
          <w:noProof/>
          <w:sz w:val="22"/>
          <w:szCs w:val="22"/>
        </w:rPr>
        <w:t>Gene Expr. Patterns</w:t>
      </w:r>
      <w:r w:rsidRPr="002B3966">
        <w:rPr>
          <w:rFonts w:ascii="Arial" w:hAnsi="Arial" w:cs="Arial"/>
          <w:noProof/>
          <w:sz w:val="22"/>
          <w:szCs w:val="22"/>
        </w:rPr>
        <w:t xml:space="preserve"> </w:t>
      </w:r>
      <w:r w:rsidRPr="002B3966">
        <w:rPr>
          <w:rFonts w:ascii="Arial" w:hAnsi="Arial" w:cs="Arial"/>
          <w:b/>
          <w:bCs/>
          <w:noProof/>
          <w:sz w:val="22"/>
          <w:szCs w:val="22"/>
        </w:rPr>
        <w:t>10</w:t>
      </w:r>
      <w:r w:rsidRPr="002B3966">
        <w:rPr>
          <w:rFonts w:ascii="Arial" w:hAnsi="Arial" w:cs="Arial"/>
          <w:noProof/>
          <w:sz w:val="22"/>
          <w:szCs w:val="22"/>
        </w:rPr>
        <w:t>, 9–15 (2010).</w:t>
      </w:r>
    </w:p>
    <w:p w14:paraId="55A4C6EA"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21.</w:t>
      </w:r>
      <w:r w:rsidRPr="002B3966">
        <w:rPr>
          <w:rFonts w:ascii="Arial" w:hAnsi="Arial" w:cs="Arial"/>
          <w:noProof/>
          <w:sz w:val="22"/>
          <w:szCs w:val="22"/>
        </w:rPr>
        <w:tab/>
        <w:t xml:space="preserve">Iamjan, S. A., Thanoi, S., Watiktinkorn, P., Reynolds, G. P. &amp; Nudmamud-Thanoi, S. Genetic variation of GRIA3 gene is associated with vulnerability to methamphetamine dependence and its associated psychosis. </w:t>
      </w:r>
      <w:r w:rsidRPr="002B3966">
        <w:rPr>
          <w:rFonts w:ascii="Arial" w:hAnsi="Arial" w:cs="Arial"/>
          <w:i/>
          <w:iCs/>
          <w:noProof/>
          <w:sz w:val="22"/>
          <w:szCs w:val="22"/>
        </w:rPr>
        <w:t>J. Psychopharmacol.</w:t>
      </w:r>
      <w:r w:rsidRPr="002B3966">
        <w:rPr>
          <w:rFonts w:ascii="Arial" w:hAnsi="Arial" w:cs="Arial"/>
          <w:noProof/>
          <w:sz w:val="22"/>
          <w:szCs w:val="22"/>
        </w:rPr>
        <w:t xml:space="preserve"> </w:t>
      </w:r>
      <w:r w:rsidRPr="002B3966">
        <w:rPr>
          <w:rFonts w:ascii="Arial" w:hAnsi="Arial" w:cs="Arial"/>
          <w:b/>
          <w:bCs/>
          <w:noProof/>
          <w:sz w:val="22"/>
          <w:szCs w:val="22"/>
        </w:rPr>
        <w:t>32</w:t>
      </w:r>
      <w:r w:rsidRPr="002B3966">
        <w:rPr>
          <w:rFonts w:ascii="Arial" w:hAnsi="Arial" w:cs="Arial"/>
          <w:noProof/>
          <w:sz w:val="22"/>
          <w:szCs w:val="22"/>
        </w:rPr>
        <w:t>, 309–315 (2018).</w:t>
      </w:r>
    </w:p>
    <w:p w14:paraId="2D6FE4D6"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22.</w:t>
      </w:r>
      <w:r w:rsidRPr="002B3966">
        <w:rPr>
          <w:rFonts w:ascii="Arial" w:hAnsi="Arial" w:cs="Arial"/>
          <w:noProof/>
          <w:sz w:val="22"/>
          <w:szCs w:val="22"/>
        </w:rPr>
        <w:tab/>
        <w:t xml:space="preserve">Davies, B. </w:t>
      </w:r>
      <w:r w:rsidRPr="002B3966">
        <w:rPr>
          <w:rFonts w:ascii="Arial" w:hAnsi="Arial" w:cs="Arial"/>
          <w:i/>
          <w:iCs/>
          <w:noProof/>
          <w:sz w:val="22"/>
          <w:szCs w:val="22"/>
        </w:rPr>
        <w:t>et al.</w:t>
      </w:r>
      <w:r w:rsidRPr="002B3966">
        <w:rPr>
          <w:rFonts w:ascii="Arial" w:hAnsi="Arial" w:cs="Arial"/>
          <w:noProof/>
          <w:sz w:val="22"/>
          <w:szCs w:val="22"/>
        </w:rPr>
        <w:t xml:space="preserve"> A point mutation in the ion conduction pore of AMPA receptor GRIA3 causes dramatically perturbed sleep patterns as well as intellectual disability. </w:t>
      </w:r>
      <w:r w:rsidRPr="002B3966">
        <w:rPr>
          <w:rFonts w:ascii="Arial" w:hAnsi="Arial" w:cs="Arial"/>
          <w:i/>
          <w:iCs/>
          <w:noProof/>
          <w:sz w:val="22"/>
          <w:szCs w:val="22"/>
        </w:rPr>
        <w:t>Hum. Mol. Genet.</w:t>
      </w:r>
      <w:r w:rsidRPr="002B3966">
        <w:rPr>
          <w:rFonts w:ascii="Arial" w:hAnsi="Arial" w:cs="Arial"/>
          <w:noProof/>
          <w:sz w:val="22"/>
          <w:szCs w:val="22"/>
        </w:rPr>
        <w:t xml:space="preserve"> </w:t>
      </w:r>
      <w:r w:rsidRPr="002B3966">
        <w:rPr>
          <w:rFonts w:ascii="Arial" w:hAnsi="Arial" w:cs="Arial"/>
          <w:b/>
          <w:bCs/>
          <w:noProof/>
          <w:sz w:val="22"/>
          <w:szCs w:val="22"/>
        </w:rPr>
        <w:t>26</w:t>
      </w:r>
      <w:r w:rsidRPr="002B3966">
        <w:rPr>
          <w:rFonts w:ascii="Arial" w:hAnsi="Arial" w:cs="Arial"/>
          <w:noProof/>
          <w:sz w:val="22"/>
          <w:szCs w:val="22"/>
        </w:rPr>
        <w:t>, 3869–3882 (2017).</w:t>
      </w:r>
    </w:p>
    <w:p w14:paraId="38AAB9D0"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23.</w:t>
      </w:r>
      <w:r w:rsidRPr="002B3966">
        <w:rPr>
          <w:rFonts w:ascii="Arial" w:hAnsi="Arial" w:cs="Arial"/>
          <w:noProof/>
          <w:sz w:val="22"/>
          <w:szCs w:val="22"/>
        </w:rPr>
        <w:tab/>
        <w:t xml:space="preserve">Bai, Z. &amp; Kong, X. X-linked mental retardation combined with autism caused by a novel hemizygous mutation of GRIA3 gene. </w:t>
      </w:r>
      <w:r w:rsidRPr="002B3966">
        <w:rPr>
          <w:rFonts w:ascii="Arial" w:hAnsi="Arial" w:cs="Arial"/>
          <w:i/>
          <w:iCs/>
          <w:noProof/>
          <w:sz w:val="22"/>
          <w:szCs w:val="22"/>
        </w:rPr>
        <w:t>Zhonghua Yi Xue Yi Chuan Xue Za Zhi</w:t>
      </w:r>
      <w:r w:rsidRPr="002B3966">
        <w:rPr>
          <w:rFonts w:ascii="Arial" w:hAnsi="Arial" w:cs="Arial"/>
          <w:noProof/>
          <w:sz w:val="22"/>
          <w:szCs w:val="22"/>
        </w:rPr>
        <w:t xml:space="preserve"> </w:t>
      </w:r>
      <w:r w:rsidRPr="002B3966">
        <w:rPr>
          <w:rFonts w:ascii="Arial" w:hAnsi="Arial" w:cs="Arial"/>
          <w:b/>
          <w:bCs/>
          <w:noProof/>
          <w:sz w:val="22"/>
          <w:szCs w:val="22"/>
        </w:rPr>
        <w:t>36</w:t>
      </w:r>
      <w:r w:rsidRPr="002B3966">
        <w:rPr>
          <w:rFonts w:ascii="Arial" w:hAnsi="Arial" w:cs="Arial"/>
          <w:noProof/>
          <w:sz w:val="22"/>
          <w:szCs w:val="22"/>
        </w:rPr>
        <w:t>, 829–833 (2019).</w:t>
      </w:r>
    </w:p>
    <w:p w14:paraId="08A732C3"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24.</w:t>
      </w:r>
      <w:r w:rsidRPr="002B3966">
        <w:rPr>
          <w:rFonts w:ascii="Arial" w:hAnsi="Arial" w:cs="Arial"/>
          <w:noProof/>
          <w:sz w:val="22"/>
          <w:szCs w:val="22"/>
        </w:rPr>
        <w:tab/>
        <w:t xml:space="preserve">Philippe, A. </w:t>
      </w:r>
      <w:r w:rsidRPr="002B3966">
        <w:rPr>
          <w:rFonts w:ascii="Arial" w:hAnsi="Arial" w:cs="Arial"/>
          <w:i/>
          <w:iCs/>
          <w:noProof/>
          <w:sz w:val="22"/>
          <w:szCs w:val="22"/>
        </w:rPr>
        <w:t>et al.</w:t>
      </w:r>
      <w:r w:rsidRPr="002B3966">
        <w:rPr>
          <w:rFonts w:ascii="Arial" w:hAnsi="Arial" w:cs="Arial"/>
          <w:noProof/>
          <w:sz w:val="22"/>
          <w:szCs w:val="22"/>
        </w:rPr>
        <w:t xml:space="preserve"> Xq25 duplications encompassing GRIA3 and STAG2 genes in two families convey recognizable X-linked intellectual disability with distinctive facial appearance. </w:t>
      </w:r>
      <w:r w:rsidRPr="002B3966">
        <w:rPr>
          <w:rFonts w:ascii="Arial" w:hAnsi="Arial" w:cs="Arial"/>
          <w:i/>
          <w:iCs/>
          <w:noProof/>
          <w:sz w:val="22"/>
          <w:szCs w:val="22"/>
        </w:rPr>
        <w:t>Am. J. Med. Genet. Part A</w:t>
      </w:r>
      <w:r w:rsidRPr="002B3966">
        <w:rPr>
          <w:rFonts w:ascii="Arial" w:hAnsi="Arial" w:cs="Arial"/>
          <w:noProof/>
          <w:sz w:val="22"/>
          <w:szCs w:val="22"/>
        </w:rPr>
        <w:t xml:space="preserve"> </w:t>
      </w:r>
      <w:r w:rsidRPr="002B3966">
        <w:rPr>
          <w:rFonts w:ascii="Arial" w:hAnsi="Arial" w:cs="Arial"/>
          <w:b/>
          <w:bCs/>
          <w:noProof/>
          <w:sz w:val="22"/>
          <w:szCs w:val="22"/>
        </w:rPr>
        <w:t>161</w:t>
      </w:r>
      <w:r w:rsidRPr="002B3966">
        <w:rPr>
          <w:rFonts w:ascii="Arial" w:hAnsi="Arial" w:cs="Arial"/>
          <w:noProof/>
          <w:sz w:val="22"/>
          <w:szCs w:val="22"/>
        </w:rPr>
        <w:t>, 1370–1375 (2013).</w:t>
      </w:r>
    </w:p>
    <w:p w14:paraId="11532049"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25.</w:t>
      </w:r>
      <w:r w:rsidRPr="002B3966">
        <w:rPr>
          <w:rFonts w:ascii="Arial" w:hAnsi="Arial" w:cs="Arial"/>
          <w:noProof/>
          <w:sz w:val="22"/>
          <w:szCs w:val="22"/>
        </w:rPr>
        <w:tab/>
        <w:t xml:space="preserve">Soto, D., Altafaj, X., Sindreu, C. &amp; Bayés, À. Glutamate receptor mutations in psychiatric and neurodevelopmental disorders. </w:t>
      </w:r>
      <w:r w:rsidRPr="002B3966">
        <w:rPr>
          <w:rFonts w:ascii="Arial" w:hAnsi="Arial" w:cs="Arial"/>
          <w:i/>
          <w:iCs/>
          <w:noProof/>
          <w:sz w:val="22"/>
          <w:szCs w:val="22"/>
        </w:rPr>
        <w:t>Communicative and Integrative Biology</w:t>
      </w:r>
      <w:r w:rsidRPr="002B3966">
        <w:rPr>
          <w:rFonts w:ascii="Arial" w:hAnsi="Arial" w:cs="Arial"/>
          <w:noProof/>
          <w:sz w:val="22"/>
          <w:szCs w:val="22"/>
        </w:rPr>
        <w:t xml:space="preserve"> </w:t>
      </w:r>
      <w:r w:rsidRPr="002B3966">
        <w:rPr>
          <w:rFonts w:ascii="Arial" w:hAnsi="Arial" w:cs="Arial"/>
          <w:b/>
          <w:bCs/>
          <w:noProof/>
          <w:sz w:val="22"/>
          <w:szCs w:val="22"/>
        </w:rPr>
        <w:t>7</w:t>
      </w:r>
      <w:r w:rsidRPr="002B3966">
        <w:rPr>
          <w:rFonts w:ascii="Arial" w:hAnsi="Arial" w:cs="Arial"/>
          <w:noProof/>
          <w:sz w:val="22"/>
          <w:szCs w:val="22"/>
        </w:rPr>
        <w:t>, e27887-1-e27887-6 (2014).</w:t>
      </w:r>
    </w:p>
    <w:p w14:paraId="3D0A41E6"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26.</w:t>
      </w:r>
      <w:r w:rsidRPr="002B3966">
        <w:rPr>
          <w:rFonts w:ascii="Arial" w:hAnsi="Arial" w:cs="Arial"/>
          <w:noProof/>
          <w:sz w:val="22"/>
          <w:szCs w:val="22"/>
        </w:rPr>
        <w:tab/>
        <w:t xml:space="preserve">Gécz, J. </w:t>
      </w:r>
      <w:r w:rsidRPr="002B3966">
        <w:rPr>
          <w:rFonts w:ascii="Arial" w:hAnsi="Arial" w:cs="Arial"/>
          <w:i/>
          <w:iCs/>
          <w:noProof/>
          <w:sz w:val="22"/>
          <w:szCs w:val="22"/>
        </w:rPr>
        <w:t>et al.</w:t>
      </w:r>
      <w:r w:rsidRPr="002B3966">
        <w:rPr>
          <w:rFonts w:ascii="Arial" w:hAnsi="Arial" w:cs="Arial"/>
          <w:noProof/>
          <w:sz w:val="22"/>
          <w:szCs w:val="22"/>
        </w:rPr>
        <w:t xml:space="preserve"> Characterization of the human glutamate receptor subunit 3 gene (GRIA3), a candidate for bipolar disorder and nonspecific X-linked mental retardation. </w:t>
      </w:r>
      <w:r w:rsidRPr="002B3966">
        <w:rPr>
          <w:rFonts w:ascii="Arial" w:hAnsi="Arial" w:cs="Arial"/>
          <w:i/>
          <w:iCs/>
          <w:noProof/>
          <w:sz w:val="22"/>
          <w:szCs w:val="22"/>
        </w:rPr>
        <w:t>Genomics</w:t>
      </w:r>
      <w:r w:rsidRPr="002B3966">
        <w:rPr>
          <w:rFonts w:ascii="Arial" w:hAnsi="Arial" w:cs="Arial"/>
          <w:noProof/>
          <w:sz w:val="22"/>
          <w:szCs w:val="22"/>
        </w:rPr>
        <w:t xml:space="preserve"> </w:t>
      </w:r>
      <w:r w:rsidRPr="002B3966">
        <w:rPr>
          <w:rFonts w:ascii="Arial" w:hAnsi="Arial" w:cs="Arial"/>
          <w:b/>
          <w:bCs/>
          <w:noProof/>
          <w:sz w:val="22"/>
          <w:szCs w:val="22"/>
        </w:rPr>
        <w:t>62</w:t>
      </w:r>
      <w:r w:rsidRPr="002B3966">
        <w:rPr>
          <w:rFonts w:ascii="Arial" w:hAnsi="Arial" w:cs="Arial"/>
          <w:noProof/>
          <w:sz w:val="22"/>
          <w:szCs w:val="22"/>
        </w:rPr>
        <w:t>, 356–368 (1999).</w:t>
      </w:r>
    </w:p>
    <w:p w14:paraId="4D8EE2EE"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27.</w:t>
      </w:r>
      <w:r w:rsidRPr="002B3966">
        <w:rPr>
          <w:rFonts w:ascii="Arial" w:hAnsi="Arial" w:cs="Arial"/>
          <w:noProof/>
          <w:sz w:val="22"/>
          <w:szCs w:val="22"/>
        </w:rPr>
        <w:tab/>
        <w:t xml:space="preserve">Moretto, E., Passafaro, M. &amp; Bassani, S. X-Linked ASDs and ID Gene Mutations. in </w:t>
      </w:r>
      <w:r w:rsidRPr="002B3966">
        <w:rPr>
          <w:rFonts w:ascii="Arial" w:hAnsi="Arial" w:cs="Arial"/>
          <w:i/>
          <w:iCs/>
          <w:noProof/>
          <w:sz w:val="22"/>
          <w:szCs w:val="22"/>
        </w:rPr>
        <w:t>Neuronal and Synaptic Dysfunction in Autism Spectrum Disorder and Intellectual Disability</w:t>
      </w:r>
      <w:r w:rsidRPr="002B3966">
        <w:rPr>
          <w:rFonts w:ascii="Arial" w:hAnsi="Arial" w:cs="Arial"/>
          <w:noProof/>
          <w:sz w:val="22"/>
          <w:szCs w:val="22"/>
        </w:rPr>
        <w:t xml:space="preserve"> 129–150 (Elsevier Inc., 2016). doi:10.1016/B978-0-12-800109-7.00009-1</w:t>
      </w:r>
    </w:p>
    <w:p w14:paraId="7DA49E26"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28.</w:t>
      </w:r>
      <w:r w:rsidRPr="002B3966">
        <w:rPr>
          <w:rFonts w:ascii="Arial" w:hAnsi="Arial" w:cs="Arial"/>
          <w:noProof/>
          <w:sz w:val="22"/>
          <w:szCs w:val="22"/>
        </w:rPr>
        <w:tab/>
        <w:t xml:space="preserve">Zhang, Y. </w:t>
      </w:r>
      <w:r w:rsidRPr="002B3966">
        <w:rPr>
          <w:rFonts w:ascii="Arial" w:hAnsi="Arial" w:cs="Arial"/>
          <w:i/>
          <w:iCs/>
          <w:noProof/>
          <w:sz w:val="22"/>
          <w:szCs w:val="22"/>
        </w:rPr>
        <w:t>et al.</w:t>
      </w:r>
      <w:r w:rsidRPr="002B3966">
        <w:rPr>
          <w:rFonts w:ascii="Arial" w:hAnsi="Arial" w:cs="Arial"/>
          <w:noProof/>
          <w:sz w:val="22"/>
          <w:szCs w:val="22"/>
        </w:rPr>
        <w:t xml:space="preserve"> Association between RUNX3 gene polymorphisms in severe preeclampsia and its clinical features. </w:t>
      </w:r>
      <w:r w:rsidRPr="002B3966">
        <w:rPr>
          <w:rFonts w:ascii="Arial" w:hAnsi="Arial" w:cs="Arial"/>
          <w:i/>
          <w:iCs/>
          <w:noProof/>
          <w:sz w:val="22"/>
          <w:szCs w:val="22"/>
        </w:rPr>
        <w:t>Medicine (Baltimore).</w:t>
      </w:r>
      <w:r w:rsidRPr="002B3966">
        <w:rPr>
          <w:rFonts w:ascii="Arial" w:hAnsi="Arial" w:cs="Arial"/>
          <w:noProof/>
          <w:sz w:val="22"/>
          <w:szCs w:val="22"/>
        </w:rPr>
        <w:t xml:space="preserve"> </w:t>
      </w:r>
      <w:r w:rsidRPr="002B3966">
        <w:rPr>
          <w:rFonts w:ascii="Arial" w:hAnsi="Arial" w:cs="Arial"/>
          <w:b/>
          <w:bCs/>
          <w:noProof/>
          <w:sz w:val="22"/>
          <w:szCs w:val="22"/>
        </w:rPr>
        <w:t>98</w:t>
      </w:r>
      <w:r w:rsidRPr="002B3966">
        <w:rPr>
          <w:rFonts w:ascii="Arial" w:hAnsi="Arial" w:cs="Arial"/>
          <w:noProof/>
          <w:sz w:val="22"/>
          <w:szCs w:val="22"/>
        </w:rPr>
        <w:t>, e14954 (2019).</w:t>
      </w:r>
    </w:p>
    <w:p w14:paraId="2F5401E8"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29.</w:t>
      </w:r>
      <w:r w:rsidRPr="002B3966">
        <w:rPr>
          <w:rFonts w:ascii="Arial" w:hAnsi="Arial" w:cs="Arial"/>
          <w:noProof/>
          <w:sz w:val="22"/>
          <w:szCs w:val="22"/>
        </w:rPr>
        <w:tab/>
        <w:t xml:space="preserve">Manandhar, S. &amp; Lee, Y. M. Emerging role of RUNX3 in the regulation of tumor microenvironment. </w:t>
      </w:r>
      <w:r w:rsidRPr="002B3966">
        <w:rPr>
          <w:rFonts w:ascii="Arial" w:hAnsi="Arial" w:cs="Arial"/>
          <w:i/>
          <w:iCs/>
          <w:noProof/>
          <w:sz w:val="22"/>
          <w:szCs w:val="22"/>
        </w:rPr>
        <w:t>BMB Reports</w:t>
      </w:r>
      <w:r w:rsidRPr="002B3966">
        <w:rPr>
          <w:rFonts w:ascii="Arial" w:hAnsi="Arial" w:cs="Arial"/>
          <w:noProof/>
          <w:sz w:val="22"/>
          <w:szCs w:val="22"/>
        </w:rPr>
        <w:t xml:space="preserve"> </w:t>
      </w:r>
      <w:r w:rsidRPr="002B3966">
        <w:rPr>
          <w:rFonts w:ascii="Arial" w:hAnsi="Arial" w:cs="Arial"/>
          <w:b/>
          <w:bCs/>
          <w:noProof/>
          <w:sz w:val="22"/>
          <w:szCs w:val="22"/>
        </w:rPr>
        <w:t>51</w:t>
      </w:r>
      <w:r w:rsidRPr="002B3966">
        <w:rPr>
          <w:rFonts w:ascii="Arial" w:hAnsi="Arial" w:cs="Arial"/>
          <w:noProof/>
          <w:sz w:val="22"/>
          <w:szCs w:val="22"/>
        </w:rPr>
        <w:t>, 174–181 (2018).</w:t>
      </w:r>
    </w:p>
    <w:p w14:paraId="44D9DC8D"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lastRenderedPageBreak/>
        <w:t>30.</w:t>
      </w:r>
      <w:r w:rsidRPr="002B3966">
        <w:rPr>
          <w:rFonts w:ascii="Arial" w:hAnsi="Arial" w:cs="Arial"/>
          <w:noProof/>
          <w:sz w:val="22"/>
          <w:szCs w:val="22"/>
        </w:rPr>
        <w:tab/>
        <w:t xml:space="preserve">Szatkiewicz, J. P. </w:t>
      </w:r>
      <w:r w:rsidRPr="002B3966">
        <w:rPr>
          <w:rFonts w:ascii="Arial" w:hAnsi="Arial" w:cs="Arial"/>
          <w:i/>
          <w:iCs/>
          <w:noProof/>
          <w:sz w:val="22"/>
          <w:szCs w:val="22"/>
        </w:rPr>
        <w:t>et al.</w:t>
      </w:r>
      <w:r w:rsidRPr="002B3966">
        <w:rPr>
          <w:rFonts w:ascii="Arial" w:hAnsi="Arial" w:cs="Arial"/>
          <w:noProof/>
          <w:sz w:val="22"/>
          <w:szCs w:val="22"/>
        </w:rPr>
        <w:t xml:space="preserve"> Characterization of single gene copy number variants in schizophrenia. </w:t>
      </w:r>
      <w:r w:rsidRPr="002B3966">
        <w:rPr>
          <w:rFonts w:ascii="Arial" w:hAnsi="Arial" w:cs="Arial"/>
          <w:i/>
          <w:iCs/>
          <w:noProof/>
          <w:sz w:val="22"/>
          <w:szCs w:val="22"/>
        </w:rPr>
        <w:t>Biol. Psychiatry</w:t>
      </w:r>
      <w:r w:rsidRPr="002B3966">
        <w:rPr>
          <w:rFonts w:ascii="Arial" w:hAnsi="Arial" w:cs="Arial"/>
          <w:noProof/>
          <w:sz w:val="22"/>
          <w:szCs w:val="22"/>
        </w:rPr>
        <w:t xml:space="preserve"> (2019). doi:10.1016/j.biopsych.2019.09.023</w:t>
      </w:r>
    </w:p>
    <w:p w14:paraId="74EEDAB2"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31.</w:t>
      </w:r>
      <w:r w:rsidRPr="002B3966">
        <w:rPr>
          <w:rFonts w:ascii="Arial" w:hAnsi="Arial" w:cs="Arial"/>
          <w:noProof/>
          <w:sz w:val="22"/>
          <w:szCs w:val="22"/>
        </w:rPr>
        <w:tab/>
        <w:t xml:space="preserve">Rees, E. </w:t>
      </w:r>
      <w:r w:rsidRPr="002B3966">
        <w:rPr>
          <w:rFonts w:ascii="Arial" w:hAnsi="Arial" w:cs="Arial"/>
          <w:i/>
          <w:iCs/>
          <w:noProof/>
          <w:sz w:val="22"/>
          <w:szCs w:val="22"/>
        </w:rPr>
        <w:t>et al.</w:t>
      </w:r>
      <w:r w:rsidRPr="002B3966">
        <w:rPr>
          <w:rFonts w:ascii="Arial" w:hAnsi="Arial" w:cs="Arial"/>
          <w:noProof/>
          <w:sz w:val="22"/>
          <w:szCs w:val="22"/>
        </w:rPr>
        <w:t xml:space="preserve"> De novo mutations identified by exome sequencing implicate rare missense variants in SLC6A1 in schizophrenia. </w:t>
      </w:r>
      <w:r w:rsidRPr="002B3966">
        <w:rPr>
          <w:rFonts w:ascii="Arial" w:hAnsi="Arial" w:cs="Arial"/>
          <w:i/>
          <w:iCs/>
          <w:noProof/>
          <w:sz w:val="22"/>
          <w:szCs w:val="22"/>
        </w:rPr>
        <w:t>Nat. Neurosci.</w:t>
      </w:r>
      <w:r w:rsidRPr="002B3966">
        <w:rPr>
          <w:rFonts w:ascii="Arial" w:hAnsi="Arial" w:cs="Arial"/>
          <w:noProof/>
          <w:sz w:val="22"/>
          <w:szCs w:val="22"/>
        </w:rPr>
        <w:t xml:space="preserve"> </w:t>
      </w:r>
      <w:r w:rsidRPr="002B3966">
        <w:rPr>
          <w:rFonts w:ascii="Arial" w:hAnsi="Arial" w:cs="Arial"/>
          <w:b/>
          <w:bCs/>
          <w:noProof/>
          <w:sz w:val="22"/>
          <w:szCs w:val="22"/>
        </w:rPr>
        <w:t>23</w:t>
      </w:r>
      <w:r w:rsidRPr="002B3966">
        <w:rPr>
          <w:rFonts w:ascii="Arial" w:hAnsi="Arial" w:cs="Arial"/>
          <w:noProof/>
          <w:sz w:val="22"/>
          <w:szCs w:val="22"/>
        </w:rPr>
        <w:t>, 179–184 (2020).</w:t>
      </w:r>
    </w:p>
    <w:p w14:paraId="0A48D7D4"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32.</w:t>
      </w:r>
      <w:r w:rsidRPr="002B3966">
        <w:rPr>
          <w:rFonts w:ascii="Arial" w:hAnsi="Arial" w:cs="Arial"/>
          <w:noProof/>
          <w:sz w:val="22"/>
          <w:szCs w:val="22"/>
        </w:rPr>
        <w:tab/>
        <w:t xml:space="preserve">Johannesen, K. M. </w:t>
      </w:r>
      <w:r w:rsidRPr="002B3966">
        <w:rPr>
          <w:rFonts w:ascii="Arial" w:hAnsi="Arial" w:cs="Arial"/>
          <w:i/>
          <w:iCs/>
          <w:noProof/>
          <w:sz w:val="22"/>
          <w:szCs w:val="22"/>
        </w:rPr>
        <w:t>et al.</w:t>
      </w:r>
      <w:r w:rsidRPr="002B3966">
        <w:rPr>
          <w:rFonts w:ascii="Arial" w:hAnsi="Arial" w:cs="Arial"/>
          <w:noProof/>
          <w:sz w:val="22"/>
          <w:szCs w:val="22"/>
        </w:rPr>
        <w:t xml:space="preserve"> Defining the phenotypic spectrum of SLC6A1 mutations. </w:t>
      </w:r>
      <w:r w:rsidRPr="002B3966">
        <w:rPr>
          <w:rFonts w:ascii="Arial" w:hAnsi="Arial" w:cs="Arial"/>
          <w:i/>
          <w:iCs/>
          <w:noProof/>
          <w:sz w:val="22"/>
          <w:szCs w:val="22"/>
        </w:rPr>
        <w:t>Epilepsia</w:t>
      </w:r>
      <w:r w:rsidRPr="002B3966">
        <w:rPr>
          <w:rFonts w:ascii="Arial" w:hAnsi="Arial" w:cs="Arial"/>
          <w:noProof/>
          <w:sz w:val="22"/>
          <w:szCs w:val="22"/>
        </w:rPr>
        <w:t xml:space="preserve"> </w:t>
      </w:r>
      <w:r w:rsidRPr="002B3966">
        <w:rPr>
          <w:rFonts w:ascii="Arial" w:hAnsi="Arial" w:cs="Arial"/>
          <w:b/>
          <w:bCs/>
          <w:noProof/>
          <w:sz w:val="22"/>
          <w:szCs w:val="22"/>
        </w:rPr>
        <w:t>59</w:t>
      </w:r>
      <w:r w:rsidRPr="002B3966">
        <w:rPr>
          <w:rFonts w:ascii="Arial" w:hAnsi="Arial" w:cs="Arial"/>
          <w:noProof/>
          <w:sz w:val="22"/>
          <w:szCs w:val="22"/>
        </w:rPr>
        <w:t>, 389–402 (2018).</w:t>
      </w:r>
    </w:p>
    <w:p w14:paraId="278C888E"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33.</w:t>
      </w:r>
      <w:r w:rsidRPr="002B3966">
        <w:rPr>
          <w:rFonts w:ascii="Arial" w:hAnsi="Arial" w:cs="Arial"/>
          <w:noProof/>
          <w:sz w:val="22"/>
          <w:szCs w:val="22"/>
        </w:rPr>
        <w:tab/>
        <w:t xml:space="preserve">Carvill, G. L. </w:t>
      </w:r>
      <w:r w:rsidRPr="002B3966">
        <w:rPr>
          <w:rFonts w:ascii="Arial" w:hAnsi="Arial" w:cs="Arial"/>
          <w:i/>
          <w:iCs/>
          <w:noProof/>
          <w:sz w:val="22"/>
          <w:szCs w:val="22"/>
        </w:rPr>
        <w:t>et al.</w:t>
      </w:r>
      <w:r w:rsidRPr="002B3966">
        <w:rPr>
          <w:rFonts w:ascii="Arial" w:hAnsi="Arial" w:cs="Arial"/>
          <w:noProof/>
          <w:sz w:val="22"/>
          <w:szCs w:val="22"/>
        </w:rPr>
        <w:t xml:space="preserve"> Mutations in the GABA transporter SLC6A1 cause epilepsy with myoclonic-atonic seizures. </w:t>
      </w:r>
      <w:r w:rsidRPr="002B3966">
        <w:rPr>
          <w:rFonts w:ascii="Arial" w:hAnsi="Arial" w:cs="Arial"/>
          <w:i/>
          <w:iCs/>
          <w:noProof/>
          <w:sz w:val="22"/>
          <w:szCs w:val="22"/>
        </w:rPr>
        <w:t>Am. J. Hum. Genet.</w:t>
      </w:r>
      <w:r w:rsidRPr="002B3966">
        <w:rPr>
          <w:rFonts w:ascii="Arial" w:hAnsi="Arial" w:cs="Arial"/>
          <w:noProof/>
          <w:sz w:val="22"/>
          <w:szCs w:val="22"/>
        </w:rPr>
        <w:t xml:space="preserve"> </w:t>
      </w:r>
      <w:r w:rsidRPr="002B3966">
        <w:rPr>
          <w:rFonts w:ascii="Arial" w:hAnsi="Arial" w:cs="Arial"/>
          <w:b/>
          <w:bCs/>
          <w:noProof/>
          <w:sz w:val="22"/>
          <w:szCs w:val="22"/>
        </w:rPr>
        <w:t>96</w:t>
      </w:r>
      <w:r w:rsidRPr="002B3966">
        <w:rPr>
          <w:rFonts w:ascii="Arial" w:hAnsi="Arial" w:cs="Arial"/>
          <w:noProof/>
          <w:sz w:val="22"/>
          <w:szCs w:val="22"/>
        </w:rPr>
        <w:t>, 808–815 (2015).</w:t>
      </w:r>
    </w:p>
    <w:p w14:paraId="555F6D53"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34.</w:t>
      </w:r>
      <w:r w:rsidRPr="002B3966">
        <w:rPr>
          <w:rFonts w:ascii="Arial" w:hAnsi="Arial" w:cs="Arial"/>
          <w:noProof/>
          <w:sz w:val="22"/>
          <w:szCs w:val="22"/>
        </w:rPr>
        <w:tab/>
        <w:t xml:space="preserve">Yuan, F. fen, Gu, X., Huang, X., Zhong, Y. &amp; Wu, J. SLC6A1 gene involvement in susceptibility to attention-deficit/hyperactivity disorder: A case-control study and gene-environment interaction. </w:t>
      </w:r>
      <w:r w:rsidRPr="002B3966">
        <w:rPr>
          <w:rFonts w:ascii="Arial" w:hAnsi="Arial" w:cs="Arial"/>
          <w:i/>
          <w:iCs/>
          <w:noProof/>
          <w:sz w:val="22"/>
          <w:szCs w:val="22"/>
        </w:rPr>
        <w:t>Prog. Neuro-Psychopharmacology Biol. Psychiatry</w:t>
      </w:r>
      <w:r w:rsidRPr="002B3966">
        <w:rPr>
          <w:rFonts w:ascii="Arial" w:hAnsi="Arial" w:cs="Arial"/>
          <w:noProof/>
          <w:sz w:val="22"/>
          <w:szCs w:val="22"/>
        </w:rPr>
        <w:t xml:space="preserve"> </w:t>
      </w:r>
      <w:r w:rsidRPr="002B3966">
        <w:rPr>
          <w:rFonts w:ascii="Arial" w:hAnsi="Arial" w:cs="Arial"/>
          <w:b/>
          <w:bCs/>
          <w:noProof/>
          <w:sz w:val="22"/>
          <w:szCs w:val="22"/>
        </w:rPr>
        <w:t>77</w:t>
      </w:r>
      <w:r w:rsidRPr="002B3966">
        <w:rPr>
          <w:rFonts w:ascii="Arial" w:hAnsi="Arial" w:cs="Arial"/>
          <w:noProof/>
          <w:sz w:val="22"/>
          <w:szCs w:val="22"/>
        </w:rPr>
        <w:t>, 202–208 (2017).</w:t>
      </w:r>
    </w:p>
    <w:p w14:paraId="48F1FCC4"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35.</w:t>
      </w:r>
      <w:r w:rsidRPr="002B3966">
        <w:rPr>
          <w:rFonts w:ascii="Arial" w:hAnsi="Arial" w:cs="Arial"/>
          <w:noProof/>
          <w:sz w:val="22"/>
          <w:szCs w:val="22"/>
        </w:rPr>
        <w:tab/>
        <w:t xml:space="preserve">Owen, C. I. </w:t>
      </w:r>
      <w:r w:rsidRPr="002B3966">
        <w:rPr>
          <w:rFonts w:ascii="Arial" w:hAnsi="Arial" w:cs="Arial"/>
          <w:i/>
          <w:iCs/>
          <w:noProof/>
          <w:sz w:val="22"/>
          <w:szCs w:val="22"/>
        </w:rPr>
        <w:t>et al.</w:t>
      </w:r>
      <w:r w:rsidRPr="002B3966">
        <w:rPr>
          <w:rFonts w:ascii="Arial" w:hAnsi="Arial" w:cs="Arial"/>
          <w:noProof/>
          <w:sz w:val="22"/>
          <w:szCs w:val="22"/>
        </w:rPr>
        <w:t xml:space="preserve"> Extending the phenotype associated with the </w:t>
      </w:r>
      <w:r w:rsidRPr="002B3966">
        <w:rPr>
          <w:rFonts w:ascii="Arial" w:hAnsi="Arial" w:cs="Arial"/>
          <w:i/>
          <w:iCs/>
          <w:noProof/>
          <w:sz w:val="22"/>
          <w:szCs w:val="22"/>
        </w:rPr>
        <w:t>CSNK2A1-</w:t>
      </w:r>
      <w:r w:rsidRPr="002B3966">
        <w:rPr>
          <w:rFonts w:ascii="Arial" w:hAnsi="Arial" w:cs="Arial"/>
          <w:noProof/>
          <w:sz w:val="22"/>
          <w:szCs w:val="22"/>
        </w:rPr>
        <w:t xml:space="preserve"> related Okur-Chung syndrome-A clinical study of 11 individuals. </w:t>
      </w:r>
      <w:r w:rsidRPr="002B3966">
        <w:rPr>
          <w:rFonts w:ascii="Arial" w:hAnsi="Arial" w:cs="Arial"/>
          <w:i/>
          <w:iCs/>
          <w:noProof/>
          <w:sz w:val="22"/>
          <w:szCs w:val="22"/>
        </w:rPr>
        <w:t>Am. J. Med. Genet. Part A</w:t>
      </w:r>
      <w:r w:rsidRPr="002B3966">
        <w:rPr>
          <w:rFonts w:ascii="Arial" w:hAnsi="Arial" w:cs="Arial"/>
          <w:noProof/>
          <w:sz w:val="22"/>
          <w:szCs w:val="22"/>
        </w:rPr>
        <w:t xml:space="preserve"> </w:t>
      </w:r>
      <w:r w:rsidRPr="002B3966">
        <w:rPr>
          <w:rFonts w:ascii="Arial" w:hAnsi="Arial" w:cs="Arial"/>
          <w:b/>
          <w:bCs/>
          <w:noProof/>
          <w:sz w:val="22"/>
          <w:szCs w:val="22"/>
        </w:rPr>
        <w:t>176</w:t>
      </w:r>
      <w:r w:rsidRPr="002B3966">
        <w:rPr>
          <w:rFonts w:ascii="Arial" w:hAnsi="Arial" w:cs="Arial"/>
          <w:noProof/>
          <w:sz w:val="22"/>
          <w:szCs w:val="22"/>
        </w:rPr>
        <w:t>, 1108–1114 (2018).</w:t>
      </w:r>
    </w:p>
    <w:p w14:paraId="067ACF76"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36.</w:t>
      </w:r>
      <w:r w:rsidRPr="002B3966">
        <w:rPr>
          <w:rFonts w:ascii="Arial" w:hAnsi="Arial" w:cs="Arial"/>
          <w:noProof/>
          <w:sz w:val="22"/>
          <w:szCs w:val="22"/>
        </w:rPr>
        <w:tab/>
        <w:t xml:space="preserve">Nakashima, M. </w:t>
      </w:r>
      <w:r w:rsidRPr="002B3966">
        <w:rPr>
          <w:rFonts w:ascii="Arial" w:hAnsi="Arial" w:cs="Arial"/>
          <w:i/>
          <w:iCs/>
          <w:noProof/>
          <w:sz w:val="22"/>
          <w:szCs w:val="22"/>
        </w:rPr>
        <w:t>et al.</w:t>
      </w:r>
      <w:r w:rsidRPr="002B3966">
        <w:rPr>
          <w:rFonts w:ascii="Arial" w:hAnsi="Arial" w:cs="Arial"/>
          <w:noProof/>
          <w:sz w:val="22"/>
          <w:szCs w:val="22"/>
        </w:rPr>
        <w:t xml:space="preserve"> Identification of de novo CSNK2A1 and CSNK2B variants in cases of global developmental delay with seizures. </w:t>
      </w:r>
      <w:r w:rsidRPr="002B3966">
        <w:rPr>
          <w:rFonts w:ascii="Arial" w:hAnsi="Arial" w:cs="Arial"/>
          <w:i/>
          <w:iCs/>
          <w:noProof/>
          <w:sz w:val="22"/>
          <w:szCs w:val="22"/>
        </w:rPr>
        <w:t>J. Hum. Genet.</w:t>
      </w:r>
      <w:r w:rsidRPr="002B3966">
        <w:rPr>
          <w:rFonts w:ascii="Arial" w:hAnsi="Arial" w:cs="Arial"/>
          <w:noProof/>
          <w:sz w:val="22"/>
          <w:szCs w:val="22"/>
        </w:rPr>
        <w:t xml:space="preserve"> </w:t>
      </w:r>
      <w:r w:rsidRPr="002B3966">
        <w:rPr>
          <w:rFonts w:ascii="Arial" w:hAnsi="Arial" w:cs="Arial"/>
          <w:b/>
          <w:bCs/>
          <w:noProof/>
          <w:sz w:val="22"/>
          <w:szCs w:val="22"/>
        </w:rPr>
        <w:t>64</w:t>
      </w:r>
      <w:r w:rsidRPr="002B3966">
        <w:rPr>
          <w:rFonts w:ascii="Arial" w:hAnsi="Arial" w:cs="Arial"/>
          <w:noProof/>
          <w:sz w:val="22"/>
          <w:szCs w:val="22"/>
        </w:rPr>
        <w:t>, 313–322 (2019).</w:t>
      </w:r>
    </w:p>
    <w:p w14:paraId="307596B1"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37.</w:t>
      </w:r>
      <w:r w:rsidRPr="002B3966">
        <w:rPr>
          <w:rFonts w:ascii="Arial" w:hAnsi="Arial" w:cs="Arial"/>
          <w:noProof/>
          <w:sz w:val="22"/>
          <w:szCs w:val="22"/>
        </w:rPr>
        <w:tab/>
        <w:t xml:space="preserve">Okur, V. </w:t>
      </w:r>
      <w:r w:rsidRPr="002B3966">
        <w:rPr>
          <w:rFonts w:ascii="Arial" w:hAnsi="Arial" w:cs="Arial"/>
          <w:i/>
          <w:iCs/>
          <w:noProof/>
          <w:sz w:val="22"/>
          <w:szCs w:val="22"/>
        </w:rPr>
        <w:t>et al.</w:t>
      </w:r>
      <w:r w:rsidRPr="002B3966">
        <w:rPr>
          <w:rFonts w:ascii="Arial" w:hAnsi="Arial" w:cs="Arial"/>
          <w:noProof/>
          <w:sz w:val="22"/>
          <w:szCs w:val="22"/>
        </w:rPr>
        <w:t xml:space="preserve"> De novo mutations in CSNK2A1 are associated with neurodevelopmental abnormalities and dysmorphic features. </w:t>
      </w:r>
      <w:r w:rsidRPr="002B3966">
        <w:rPr>
          <w:rFonts w:ascii="Arial" w:hAnsi="Arial" w:cs="Arial"/>
          <w:i/>
          <w:iCs/>
          <w:noProof/>
          <w:sz w:val="22"/>
          <w:szCs w:val="22"/>
        </w:rPr>
        <w:t>Hum. Genet.</w:t>
      </w:r>
      <w:r w:rsidRPr="002B3966">
        <w:rPr>
          <w:rFonts w:ascii="Arial" w:hAnsi="Arial" w:cs="Arial"/>
          <w:noProof/>
          <w:sz w:val="22"/>
          <w:szCs w:val="22"/>
        </w:rPr>
        <w:t xml:space="preserve"> </w:t>
      </w:r>
      <w:r w:rsidRPr="002B3966">
        <w:rPr>
          <w:rFonts w:ascii="Arial" w:hAnsi="Arial" w:cs="Arial"/>
          <w:b/>
          <w:bCs/>
          <w:noProof/>
          <w:sz w:val="22"/>
          <w:szCs w:val="22"/>
        </w:rPr>
        <w:t>135</w:t>
      </w:r>
      <w:r w:rsidRPr="002B3966">
        <w:rPr>
          <w:rFonts w:ascii="Arial" w:hAnsi="Arial" w:cs="Arial"/>
          <w:noProof/>
          <w:sz w:val="22"/>
          <w:szCs w:val="22"/>
        </w:rPr>
        <w:t>, 699–705 (2016).</w:t>
      </w:r>
    </w:p>
    <w:p w14:paraId="2A22E050"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38.</w:t>
      </w:r>
      <w:r w:rsidRPr="002B3966">
        <w:rPr>
          <w:rFonts w:ascii="Arial" w:hAnsi="Arial" w:cs="Arial"/>
          <w:noProof/>
          <w:sz w:val="22"/>
          <w:szCs w:val="22"/>
        </w:rPr>
        <w:tab/>
        <w:t xml:space="preserve">Poirier, K. </w:t>
      </w:r>
      <w:r w:rsidRPr="002B3966">
        <w:rPr>
          <w:rFonts w:ascii="Arial" w:hAnsi="Arial" w:cs="Arial"/>
          <w:i/>
          <w:iCs/>
          <w:noProof/>
          <w:sz w:val="22"/>
          <w:szCs w:val="22"/>
        </w:rPr>
        <w:t>et al.</w:t>
      </w:r>
      <w:r w:rsidRPr="002B3966">
        <w:rPr>
          <w:rFonts w:ascii="Arial" w:hAnsi="Arial" w:cs="Arial"/>
          <w:noProof/>
          <w:sz w:val="22"/>
          <w:szCs w:val="22"/>
        </w:rPr>
        <w:t xml:space="preserve"> CSNK2B splice site mutations in patients cause intellectual disability with or without myoclonic epilepsy. </w:t>
      </w:r>
      <w:r w:rsidRPr="002B3966">
        <w:rPr>
          <w:rFonts w:ascii="Arial" w:hAnsi="Arial" w:cs="Arial"/>
          <w:i/>
          <w:iCs/>
          <w:noProof/>
          <w:sz w:val="22"/>
          <w:szCs w:val="22"/>
        </w:rPr>
        <w:t>Hum. Mutat.</w:t>
      </w:r>
      <w:r w:rsidRPr="002B3966">
        <w:rPr>
          <w:rFonts w:ascii="Arial" w:hAnsi="Arial" w:cs="Arial"/>
          <w:noProof/>
          <w:sz w:val="22"/>
          <w:szCs w:val="22"/>
        </w:rPr>
        <w:t xml:space="preserve"> </w:t>
      </w:r>
      <w:r w:rsidRPr="002B3966">
        <w:rPr>
          <w:rFonts w:ascii="Arial" w:hAnsi="Arial" w:cs="Arial"/>
          <w:b/>
          <w:bCs/>
          <w:noProof/>
          <w:sz w:val="22"/>
          <w:szCs w:val="22"/>
        </w:rPr>
        <w:t>38</w:t>
      </w:r>
      <w:r w:rsidRPr="002B3966">
        <w:rPr>
          <w:rFonts w:ascii="Arial" w:hAnsi="Arial" w:cs="Arial"/>
          <w:noProof/>
          <w:sz w:val="22"/>
          <w:szCs w:val="22"/>
        </w:rPr>
        <w:t>, 932–941 (2017).</w:t>
      </w:r>
    </w:p>
    <w:p w14:paraId="17043901"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39.</w:t>
      </w:r>
      <w:r w:rsidRPr="002B3966">
        <w:rPr>
          <w:rFonts w:ascii="Arial" w:hAnsi="Arial" w:cs="Arial"/>
          <w:noProof/>
          <w:sz w:val="22"/>
          <w:szCs w:val="22"/>
        </w:rPr>
        <w:tab/>
        <w:t xml:space="preserve">Liu, C. C. </w:t>
      </w:r>
      <w:r w:rsidRPr="002B3966">
        <w:rPr>
          <w:rFonts w:ascii="Arial" w:hAnsi="Arial" w:cs="Arial"/>
          <w:i/>
          <w:iCs/>
          <w:noProof/>
          <w:sz w:val="22"/>
          <w:szCs w:val="22"/>
        </w:rPr>
        <w:t>et al.</w:t>
      </w:r>
      <w:r w:rsidRPr="002B3966">
        <w:rPr>
          <w:rFonts w:ascii="Arial" w:hAnsi="Arial" w:cs="Arial"/>
          <w:noProof/>
          <w:sz w:val="22"/>
          <w:szCs w:val="22"/>
        </w:rPr>
        <w:t xml:space="preserve"> Cul3-KLHL20 Ubiquitin Ligase Governs the Turnover of ULK1 and VPS34 Complexes to Control Autophagy Termination. </w:t>
      </w:r>
      <w:r w:rsidRPr="002B3966">
        <w:rPr>
          <w:rFonts w:ascii="Arial" w:hAnsi="Arial" w:cs="Arial"/>
          <w:i/>
          <w:iCs/>
          <w:noProof/>
          <w:sz w:val="22"/>
          <w:szCs w:val="22"/>
        </w:rPr>
        <w:t>Mol. Cell</w:t>
      </w:r>
      <w:r w:rsidRPr="002B3966">
        <w:rPr>
          <w:rFonts w:ascii="Arial" w:hAnsi="Arial" w:cs="Arial"/>
          <w:noProof/>
          <w:sz w:val="22"/>
          <w:szCs w:val="22"/>
        </w:rPr>
        <w:t xml:space="preserve"> </w:t>
      </w:r>
      <w:r w:rsidRPr="002B3966">
        <w:rPr>
          <w:rFonts w:ascii="Arial" w:hAnsi="Arial" w:cs="Arial"/>
          <w:b/>
          <w:bCs/>
          <w:noProof/>
          <w:sz w:val="22"/>
          <w:szCs w:val="22"/>
        </w:rPr>
        <w:t>61</w:t>
      </w:r>
      <w:r w:rsidRPr="002B3966">
        <w:rPr>
          <w:rFonts w:ascii="Arial" w:hAnsi="Arial" w:cs="Arial"/>
          <w:noProof/>
          <w:sz w:val="22"/>
          <w:szCs w:val="22"/>
        </w:rPr>
        <w:t>, 84–97 (2016).</w:t>
      </w:r>
    </w:p>
    <w:p w14:paraId="180B89F9"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40.</w:t>
      </w:r>
      <w:r w:rsidRPr="002B3966">
        <w:rPr>
          <w:rFonts w:ascii="Arial" w:hAnsi="Arial" w:cs="Arial"/>
          <w:noProof/>
          <w:sz w:val="22"/>
          <w:szCs w:val="22"/>
        </w:rPr>
        <w:tab/>
        <w:t xml:space="preserve">Feng, Y. &amp; Klionsky, D. J. Downregulation of autophagy through CUL3-KLHL20-mediated turnover of the ULK1 and PIK3C3/VPS34 complexes. </w:t>
      </w:r>
      <w:r w:rsidRPr="002B3966">
        <w:rPr>
          <w:rFonts w:ascii="Arial" w:hAnsi="Arial" w:cs="Arial"/>
          <w:i/>
          <w:iCs/>
          <w:noProof/>
          <w:sz w:val="22"/>
          <w:szCs w:val="22"/>
        </w:rPr>
        <w:t>Autophagy</w:t>
      </w:r>
      <w:r w:rsidRPr="002B3966">
        <w:rPr>
          <w:rFonts w:ascii="Arial" w:hAnsi="Arial" w:cs="Arial"/>
          <w:noProof/>
          <w:sz w:val="22"/>
          <w:szCs w:val="22"/>
        </w:rPr>
        <w:t xml:space="preserve"> </w:t>
      </w:r>
      <w:r w:rsidRPr="002B3966">
        <w:rPr>
          <w:rFonts w:ascii="Arial" w:hAnsi="Arial" w:cs="Arial"/>
          <w:b/>
          <w:bCs/>
          <w:noProof/>
          <w:sz w:val="22"/>
          <w:szCs w:val="22"/>
        </w:rPr>
        <w:t>12</w:t>
      </w:r>
      <w:r w:rsidRPr="002B3966">
        <w:rPr>
          <w:rFonts w:ascii="Arial" w:hAnsi="Arial" w:cs="Arial"/>
          <w:noProof/>
          <w:sz w:val="22"/>
          <w:szCs w:val="22"/>
        </w:rPr>
        <w:t>, 1071–1072 (2016).</w:t>
      </w:r>
    </w:p>
    <w:p w14:paraId="0DB8C830"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41.</w:t>
      </w:r>
      <w:r w:rsidRPr="002B3966">
        <w:rPr>
          <w:rFonts w:ascii="Arial" w:hAnsi="Arial" w:cs="Arial"/>
          <w:noProof/>
          <w:sz w:val="22"/>
          <w:szCs w:val="22"/>
        </w:rPr>
        <w:tab/>
        <w:t xml:space="preserve">Chen, Z., Picaud, S., Filippakopoulos, P., D’Angiolella, V. &amp; Bullock, A. N. Structural Basis for Recruitment of DAPK1 to the KLHL20 E3 Ligase. </w:t>
      </w:r>
      <w:r w:rsidRPr="002B3966">
        <w:rPr>
          <w:rFonts w:ascii="Arial" w:hAnsi="Arial" w:cs="Arial"/>
          <w:i/>
          <w:iCs/>
          <w:noProof/>
          <w:sz w:val="22"/>
          <w:szCs w:val="22"/>
        </w:rPr>
        <w:lastRenderedPageBreak/>
        <w:t>Structure</w:t>
      </w:r>
      <w:r w:rsidRPr="002B3966">
        <w:rPr>
          <w:rFonts w:ascii="Arial" w:hAnsi="Arial" w:cs="Arial"/>
          <w:noProof/>
          <w:sz w:val="22"/>
          <w:szCs w:val="22"/>
        </w:rPr>
        <w:t xml:space="preserve"> </w:t>
      </w:r>
      <w:r w:rsidRPr="002B3966">
        <w:rPr>
          <w:rFonts w:ascii="Arial" w:hAnsi="Arial" w:cs="Arial"/>
          <w:b/>
          <w:bCs/>
          <w:noProof/>
          <w:sz w:val="22"/>
          <w:szCs w:val="22"/>
        </w:rPr>
        <w:t>27</w:t>
      </w:r>
      <w:r w:rsidRPr="002B3966">
        <w:rPr>
          <w:rFonts w:ascii="Arial" w:hAnsi="Arial" w:cs="Arial"/>
          <w:noProof/>
          <w:sz w:val="22"/>
          <w:szCs w:val="22"/>
        </w:rPr>
        <w:t>, 1395-1404.e4 (2019).</w:t>
      </w:r>
    </w:p>
    <w:p w14:paraId="04E48BCB"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42.</w:t>
      </w:r>
      <w:r w:rsidRPr="002B3966">
        <w:rPr>
          <w:rFonts w:ascii="Arial" w:hAnsi="Arial" w:cs="Arial"/>
          <w:noProof/>
          <w:sz w:val="22"/>
          <w:szCs w:val="22"/>
        </w:rPr>
        <w:tab/>
        <w:t xml:space="preserve">Arefin, A. S., Mathieson, L., Johnstone, D., Berretta, R. &amp; Moscato, P. Unveiling Clusters of RNA Transcript Pairs Associated with Markers of Alzheimer’s Disease Progression. </w:t>
      </w:r>
      <w:r w:rsidRPr="002B3966">
        <w:rPr>
          <w:rFonts w:ascii="Arial" w:hAnsi="Arial" w:cs="Arial"/>
          <w:i/>
          <w:iCs/>
          <w:noProof/>
          <w:sz w:val="22"/>
          <w:szCs w:val="22"/>
        </w:rPr>
        <w:t>PLoS One</w:t>
      </w:r>
      <w:r w:rsidRPr="002B3966">
        <w:rPr>
          <w:rFonts w:ascii="Arial" w:hAnsi="Arial" w:cs="Arial"/>
          <w:noProof/>
          <w:sz w:val="22"/>
          <w:szCs w:val="22"/>
        </w:rPr>
        <w:t xml:space="preserve"> </w:t>
      </w:r>
      <w:r w:rsidRPr="002B3966">
        <w:rPr>
          <w:rFonts w:ascii="Arial" w:hAnsi="Arial" w:cs="Arial"/>
          <w:b/>
          <w:bCs/>
          <w:noProof/>
          <w:sz w:val="22"/>
          <w:szCs w:val="22"/>
        </w:rPr>
        <w:t>7</w:t>
      </w:r>
      <w:r w:rsidRPr="002B3966">
        <w:rPr>
          <w:rFonts w:ascii="Arial" w:hAnsi="Arial" w:cs="Arial"/>
          <w:noProof/>
          <w:sz w:val="22"/>
          <w:szCs w:val="22"/>
        </w:rPr>
        <w:t>, e45535 (2012).</w:t>
      </w:r>
    </w:p>
    <w:p w14:paraId="4ED3A09E"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43.</w:t>
      </w:r>
      <w:r w:rsidRPr="002B3966">
        <w:rPr>
          <w:rFonts w:ascii="Arial" w:hAnsi="Arial" w:cs="Arial"/>
          <w:noProof/>
          <w:sz w:val="22"/>
          <w:szCs w:val="22"/>
        </w:rPr>
        <w:tab/>
        <w:t xml:space="preserve">Spratt, P. W. E. </w:t>
      </w:r>
      <w:r w:rsidRPr="002B3966">
        <w:rPr>
          <w:rFonts w:ascii="Arial" w:hAnsi="Arial" w:cs="Arial"/>
          <w:i/>
          <w:iCs/>
          <w:noProof/>
          <w:sz w:val="22"/>
          <w:szCs w:val="22"/>
        </w:rPr>
        <w:t>et al.</w:t>
      </w:r>
      <w:r w:rsidRPr="002B3966">
        <w:rPr>
          <w:rFonts w:ascii="Arial" w:hAnsi="Arial" w:cs="Arial"/>
          <w:noProof/>
          <w:sz w:val="22"/>
          <w:szCs w:val="22"/>
        </w:rPr>
        <w:t xml:space="preserve"> The Autism-Associated Gene Scn2a Contributes to Dendritic Excitability and Synaptic Function in the Prefrontal Cortex. </w:t>
      </w:r>
      <w:r w:rsidRPr="002B3966">
        <w:rPr>
          <w:rFonts w:ascii="Arial" w:hAnsi="Arial" w:cs="Arial"/>
          <w:i/>
          <w:iCs/>
          <w:noProof/>
          <w:sz w:val="22"/>
          <w:szCs w:val="22"/>
        </w:rPr>
        <w:t>Neuron</w:t>
      </w:r>
      <w:r w:rsidRPr="002B3966">
        <w:rPr>
          <w:rFonts w:ascii="Arial" w:hAnsi="Arial" w:cs="Arial"/>
          <w:noProof/>
          <w:sz w:val="22"/>
          <w:szCs w:val="22"/>
        </w:rPr>
        <w:t xml:space="preserve"> </w:t>
      </w:r>
      <w:r w:rsidRPr="002B3966">
        <w:rPr>
          <w:rFonts w:ascii="Arial" w:hAnsi="Arial" w:cs="Arial"/>
          <w:b/>
          <w:bCs/>
          <w:noProof/>
          <w:sz w:val="22"/>
          <w:szCs w:val="22"/>
        </w:rPr>
        <w:t>103</w:t>
      </w:r>
      <w:r w:rsidRPr="002B3966">
        <w:rPr>
          <w:rFonts w:ascii="Arial" w:hAnsi="Arial" w:cs="Arial"/>
          <w:noProof/>
          <w:sz w:val="22"/>
          <w:szCs w:val="22"/>
        </w:rPr>
        <w:t>, 673-685.e5 (2019).</w:t>
      </w:r>
    </w:p>
    <w:p w14:paraId="27C5BE3E"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44.</w:t>
      </w:r>
      <w:r w:rsidRPr="002B3966">
        <w:rPr>
          <w:rFonts w:ascii="Arial" w:hAnsi="Arial" w:cs="Arial"/>
          <w:noProof/>
          <w:sz w:val="22"/>
          <w:szCs w:val="22"/>
        </w:rPr>
        <w:tab/>
        <w:t xml:space="preserve">Sanders, S. J. </w:t>
      </w:r>
      <w:r w:rsidRPr="002B3966">
        <w:rPr>
          <w:rFonts w:ascii="Arial" w:hAnsi="Arial" w:cs="Arial"/>
          <w:i/>
          <w:iCs/>
          <w:noProof/>
          <w:sz w:val="22"/>
          <w:szCs w:val="22"/>
        </w:rPr>
        <w:t>et al.</w:t>
      </w:r>
      <w:r w:rsidRPr="002B3966">
        <w:rPr>
          <w:rFonts w:ascii="Arial" w:hAnsi="Arial" w:cs="Arial"/>
          <w:noProof/>
          <w:sz w:val="22"/>
          <w:szCs w:val="22"/>
        </w:rPr>
        <w:t xml:space="preserve"> Progress in Understanding and Treating SCN2A-Mediated Disorders. </w:t>
      </w:r>
      <w:r w:rsidRPr="002B3966">
        <w:rPr>
          <w:rFonts w:ascii="Arial" w:hAnsi="Arial" w:cs="Arial"/>
          <w:i/>
          <w:iCs/>
          <w:noProof/>
          <w:sz w:val="22"/>
          <w:szCs w:val="22"/>
        </w:rPr>
        <w:t>Trends in Neurosciences</w:t>
      </w:r>
      <w:r w:rsidRPr="002B3966">
        <w:rPr>
          <w:rFonts w:ascii="Arial" w:hAnsi="Arial" w:cs="Arial"/>
          <w:noProof/>
          <w:sz w:val="22"/>
          <w:szCs w:val="22"/>
        </w:rPr>
        <w:t xml:space="preserve"> </w:t>
      </w:r>
      <w:r w:rsidRPr="002B3966">
        <w:rPr>
          <w:rFonts w:ascii="Arial" w:hAnsi="Arial" w:cs="Arial"/>
          <w:b/>
          <w:bCs/>
          <w:noProof/>
          <w:sz w:val="22"/>
          <w:szCs w:val="22"/>
        </w:rPr>
        <w:t>41</w:t>
      </w:r>
      <w:r w:rsidRPr="002B3966">
        <w:rPr>
          <w:rFonts w:ascii="Arial" w:hAnsi="Arial" w:cs="Arial"/>
          <w:noProof/>
          <w:sz w:val="22"/>
          <w:szCs w:val="22"/>
        </w:rPr>
        <w:t>, 442–456 (2018).</w:t>
      </w:r>
    </w:p>
    <w:p w14:paraId="68201920" w14:textId="77777777" w:rsidR="003329D5" w:rsidRPr="002B3966" w:rsidRDefault="003329D5" w:rsidP="002B3966">
      <w:pPr>
        <w:widowControl w:val="0"/>
        <w:autoSpaceDE w:val="0"/>
        <w:autoSpaceDN w:val="0"/>
        <w:adjustRightInd w:val="0"/>
        <w:spacing w:line="480" w:lineRule="auto"/>
        <w:ind w:left="640" w:hanging="640"/>
        <w:rPr>
          <w:rFonts w:ascii="Arial" w:hAnsi="Arial" w:cs="Arial"/>
          <w:noProof/>
          <w:sz w:val="22"/>
          <w:szCs w:val="22"/>
        </w:rPr>
      </w:pPr>
      <w:r w:rsidRPr="002B3966">
        <w:rPr>
          <w:rFonts w:ascii="Arial" w:hAnsi="Arial" w:cs="Arial"/>
          <w:noProof/>
          <w:sz w:val="22"/>
          <w:szCs w:val="22"/>
        </w:rPr>
        <w:t>45.</w:t>
      </w:r>
      <w:r w:rsidRPr="002B3966">
        <w:rPr>
          <w:rFonts w:ascii="Arial" w:hAnsi="Arial" w:cs="Arial"/>
          <w:noProof/>
          <w:sz w:val="22"/>
          <w:szCs w:val="22"/>
        </w:rPr>
        <w:tab/>
        <w:t xml:space="preserve">Wolff, M., Brunklaus, A. &amp; Zuberi, S. M. Phenotypic spectrum and genetics of SCN2A-related disorders, treatment options, and outcomes in epilepsy and beyond. </w:t>
      </w:r>
      <w:r w:rsidRPr="002B3966">
        <w:rPr>
          <w:rFonts w:ascii="Arial" w:hAnsi="Arial" w:cs="Arial"/>
          <w:i/>
          <w:iCs/>
          <w:noProof/>
          <w:sz w:val="22"/>
          <w:szCs w:val="22"/>
        </w:rPr>
        <w:t>Epilepsia</w:t>
      </w:r>
      <w:r w:rsidRPr="002B3966">
        <w:rPr>
          <w:rFonts w:ascii="Arial" w:hAnsi="Arial" w:cs="Arial"/>
          <w:noProof/>
          <w:sz w:val="22"/>
          <w:szCs w:val="22"/>
        </w:rPr>
        <w:t xml:space="preserve"> </w:t>
      </w:r>
      <w:r w:rsidRPr="002B3966">
        <w:rPr>
          <w:rFonts w:ascii="Arial" w:hAnsi="Arial" w:cs="Arial"/>
          <w:b/>
          <w:bCs/>
          <w:noProof/>
          <w:sz w:val="22"/>
          <w:szCs w:val="22"/>
        </w:rPr>
        <w:t>60</w:t>
      </w:r>
      <w:r w:rsidRPr="002B3966">
        <w:rPr>
          <w:rFonts w:ascii="Arial" w:hAnsi="Arial" w:cs="Arial"/>
          <w:noProof/>
          <w:sz w:val="22"/>
          <w:szCs w:val="22"/>
        </w:rPr>
        <w:t>, S59–S67 (2019).</w:t>
      </w:r>
    </w:p>
    <w:p w14:paraId="042BF49F" w14:textId="3270E134" w:rsidR="0067749F" w:rsidRPr="00517FC6" w:rsidRDefault="0067749F" w:rsidP="002B3966">
      <w:pPr>
        <w:widowControl w:val="0"/>
        <w:autoSpaceDE w:val="0"/>
        <w:autoSpaceDN w:val="0"/>
        <w:adjustRightInd w:val="0"/>
        <w:spacing w:line="480" w:lineRule="auto"/>
        <w:rPr>
          <w:rFonts w:asciiTheme="majorHAnsi" w:hAnsiTheme="majorHAnsi" w:cstheme="majorHAnsi"/>
          <w:color w:val="000000" w:themeColor="text1"/>
          <w:sz w:val="16"/>
          <w:szCs w:val="16"/>
        </w:rPr>
      </w:pPr>
      <w:r w:rsidRPr="002B3966">
        <w:rPr>
          <w:rFonts w:ascii="Arial" w:hAnsi="Arial" w:cs="Arial"/>
          <w:color w:val="000000" w:themeColor="text1"/>
          <w:sz w:val="22"/>
          <w:szCs w:val="22"/>
        </w:rPr>
        <w:fldChar w:fldCharType="end"/>
      </w:r>
    </w:p>
    <w:sectPr w:rsidR="0067749F" w:rsidRPr="00517FC6" w:rsidSect="00DC3464">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Yu Gothic"/>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B044E"/>
    <w:multiLevelType w:val="multilevel"/>
    <w:tmpl w:val="9D66DD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E0A"/>
    <w:rsid w:val="00033ED6"/>
    <w:rsid w:val="00083226"/>
    <w:rsid w:val="00090EC4"/>
    <w:rsid w:val="00092BE4"/>
    <w:rsid w:val="00103ABC"/>
    <w:rsid w:val="001967BA"/>
    <w:rsid w:val="001A2678"/>
    <w:rsid w:val="001A7F48"/>
    <w:rsid w:val="0020150D"/>
    <w:rsid w:val="00275A06"/>
    <w:rsid w:val="002B3966"/>
    <w:rsid w:val="003161F8"/>
    <w:rsid w:val="00317EB7"/>
    <w:rsid w:val="003329D5"/>
    <w:rsid w:val="003B61D6"/>
    <w:rsid w:val="003C6A50"/>
    <w:rsid w:val="003D4E0A"/>
    <w:rsid w:val="0042192D"/>
    <w:rsid w:val="00467FE9"/>
    <w:rsid w:val="004945F4"/>
    <w:rsid w:val="005016AB"/>
    <w:rsid w:val="00512B96"/>
    <w:rsid w:val="00517FC6"/>
    <w:rsid w:val="00532742"/>
    <w:rsid w:val="00537FE7"/>
    <w:rsid w:val="005511BA"/>
    <w:rsid w:val="0055400D"/>
    <w:rsid w:val="0056785D"/>
    <w:rsid w:val="005E4956"/>
    <w:rsid w:val="00640283"/>
    <w:rsid w:val="00652096"/>
    <w:rsid w:val="0067749F"/>
    <w:rsid w:val="00681CD3"/>
    <w:rsid w:val="006A7589"/>
    <w:rsid w:val="0072469C"/>
    <w:rsid w:val="007863BE"/>
    <w:rsid w:val="007C02C6"/>
    <w:rsid w:val="007D794D"/>
    <w:rsid w:val="00842FDD"/>
    <w:rsid w:val="0084307A"/>
    <w:rsid w:val="008831BD"/>
    <w:rsid w:val="008949A7"/>
    <w:rsid w:val="008A3F68"/>
    <w:rsid w:val="00947E4D"/>
    <w:rsid w:val="00A116FE"/>
    <w:rsid w:val="00B0146C"/>
    <w:rsid w:val="00B56437"/>
    <w:rsid w:val="00B75A5E"/>
    <w:rsid w:val="00C53A4E"/>
    <w:rsid w:val="00C73CCF"/>
    <w:rsid w:val="00C77794"/>
    <w:rsid w:val="00C8489A"/>
    <w:rsid w:val="00C93EF9"/>
    <w:rsid w:val="00C97C9E"/>
    <w:rsid w:val="00CC44D3"/>
    <w:rsid w:val="00D31930"/>
    <w:rsid w:val="00DA1B2A"/>
    <w:rsid w:val="00DA30C4"/>
    <w:rsid w:val="00DC3464"/>
    <w:rsid w:val="00E00091"/>
    <w:rsid w:val="00E52AB5"/>
    <w:rsid w:val="00E601A9"/>
    <w:rsid w:val="00E9161A"/>
    <w:rsid w:val="00EF24D4"/>
    <w:rsid w:val="00F36E50"/>
    <w:rsid w:val="00F37CA3"/>
    <w:rsid w:val="00FB6FC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D62E5"/>
  <w15:chartTrackingRefBased/>
  <w15:docId w15:val="{529987C8-2899-4B78-9121-7276252CE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1F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4E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D4E0A"/>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3D4E0A"/>
    <w:rPr>
      <w:rFonts w:ascii="Times New Roman" w:hAnsi="Times New Roman" w:cs="Times New Roman"/>
      <w:sz w:val="18"/>
      <w:szCs w:val="18"/>
    </w:rPr>
  </w:style>
  <w:style w:type="character" w:styleId="Emphasis">
    <w:name w:val="Emphasis"/>
    <w:basedOn w:val="DefaultParagraphFont"/>
    <w:uiPriority w:val="20"/>
    <w:qFormat/>
    <w:rsid w:val="00CC44D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6026">
      <w:bodyDiv w:val="1"/>
      <w:marLeft w:val="0"/>
      <w:marRight w:val="0"/>
      <w:marTop w:val="0"/>
      <w:marBottom w:val="0"/>
      <w:divBdr>
        <w:top w:val="none" w:sz="0" w:space="0" w:color="auto"/>
        <w:left w:val="none" w:sz="0" w:space="0" w:color="auto"/>
        <w:bottom w:val="none" w:sz="0" w:space="0" w:color="auto"/>
        <w:right w:val="none" w:sz="0" w:space="0" w:color="auto"/>
      </w:divBdr>
    </w:div>
    <w:div w:id="109975188">
      <w:bodyDiv w:val="1"/>
      <w:marLeft w:val="0"/>
      <w:marRight w:val="0"/>
      <w:marTop w:val="0"/>
      <w:marBottom w:val="0"/>
      <w:divBdr>
        <w:top w:val="none" w:sz="0" w:space="0" w:color="auto"/>
        <w:left w:val="none" w:sz="0" w:space="0" w:color="auto"/>
        <w:bottom w:val="none" w:sz="0" w:space="0" w:color="auto"/>
        <w:right w:val="none" w:sz="0" w:space="0" w:color="auto"/>
      </w:divBdr>
    </w:div>
    <w:div w:id="159194807">
      <w:bodyDiv w:val="1"/>
      <w:marLeft w:val="0"/>
      <w:marRight w:val="0"/>
      <w:marTop w:val="0"/>
      <w:marBottom w:val="0"/>
      <w:divBdr>
        <w:top w:val="none" w:sz="0" w:space="0" w:color="auto"/>
        <w:left w:val="none" w:sz="0" w:space="0" w:color="auto"/>
        <w:bottom w:val="none" w:sz="0" w:space="0" w:color="auto"/>
        <w:right w:val="none" w:sz="0" w:space="0" w:color="auto"/>
      </w:divBdr>
    </w:div>
    <w:div w:id="178929875">
      <w:bodyDiv w:val="1"/>
      <w:marLeft w:val="0"/>
      <w:marRight w:val="0"/>
      <w:marTop w:val="0"/>
      <w:marBottom w:val="0"/>
      <w:divBdr>
        <w:top w:val="none" w:sz="0" w:space="0" w:color="auto"/>
        <w:left w:val="none" w:sz="0" w:space="0" w:color="auto"/>
        <w:bottom w:val="none" w:sz="0" w:space="0" w:color="auto"/>
        <w:right w:val="none" w:sz="0" w:space="0" w:color="auto"/>
      </w:divBdr>
    </w:div>
    <w:div w:id="189151091">
      <w:bodyDiv w:val="1"/>
      <w:marLeft w:val="0"/>
      <w:marRight w:val="0"/>
      <w:marTop w:val="0"/>
      <w:marBottom w:val="0"/>
      <w:divBdr>
        <w:top w:val="none" w:sz="0" w:space="0" w:color="auto"/>
        <w:left w:val="none" w:sz="0" w:space="0" w:color="auto"/>
        <w:bottom w:val="none" w:sz="0" w:space="0" w:color="auto"/>
        <w:right w:val="none" w:sz="0" w:space="0" w:color="auto"/>
      </w:divBdr>
    </w:div>
    <w:div w:id="254704110">
      <w:bodyDiv w:val="1"/>
      <w:marLeft w:val="0"/>
      <w:marRight w:val="0"/>
      <w:marTop w:val="0"/>
      <w:marBottom w:val="0"/>
      <w:divBdr>
        <w:top w:val="none" w:sz="0" w:space="0" w:color="auto"/>
        <w:left w:val="none" w:sz="0" w:space="0" w:color="auto"/>
        <w:bottom w:val="none" w:sz="0" w:space="0" w:color="auto"/>
        <w:right w:val="none" w:sz="0" w:space="0" w:color="auto"/>
      </w:divBdr>
    </w:div>
    <w:div w:id="271591825">
      <w:bodyDiv w:val="1"/>
      <w:marLeft w:val="0"/>
      <w:marRight w:val="0"/>
      <w:marTop w:val="0"/>
      <w:marBottom w:val="0"/>
      <w:divBdr>
        <w:top w:val="none" w:sz="0" w:space="0" w:color="auto"/>
        <w:left w:val="none" w:sz="0" w:space="0" w:color="auto"/>
        <w:bottom w:val="none" w:sz="0" w:space="0" w:color="auto"/>
        <w:right w:val="none" w:sz="0" w:space="0" w:color="auto"/>
      </w:divBdr>
    </w:div>
    <w:div w:id="345713624">
      <w:bodyDiv w:val="1"/>
      <w:marLeft w:val="0"/>
      <w:marRight w:val="0"/>
      <w:marTop w:val="0"/>
      <w:marBottom w:val="0"/>
      <w:divBdr>
        <w:top w:val="none" w:sz="0" w:space="0" w:color="auto"/>
        <w:left w:val="none" w:sz="0" w:space="0" w:color="auto"/>
        <w:bottom w:val="none" w:sz="0" w:space="0" w:color="auto"/>
        <w:right w:val="none" w:sz="0" w:space="0" w:color="auto"/>
      </w:divBdr>
    </w:div>
    <w:div w:id="391083863">
      <w:bodyDiv w:val="1"/>
      <w:marLeft w:val="0"/>
      <w:marRight w:val="0"/>
      <w:marTop w:val="0"/>
      <w:marBottom w:val="0"/>
      <w:divBdr>
        <w:top w:val="none" w:sz="0" w:space="0" w:color="auto"/>
        <w:left w:val="none" w:sz="0" w:space="0" w:color="auto"/>
        <w:bottom w:val="none" w:sz="0" w:space="0" w:color="auto"/>
        <w:right w:val="none" w:sz="0" w:space="0" w:color="auto"/>
      </w:divBdr>
    </w:div>
    <w:div w:id="394815425">
      <w:bodyDiv w:val="1"/>
      <w:marLeft w:val="0"/>
      <w:marRight w:val="0"/>
      <w:marTop w:val="0"/>
      <w:marBottom w:val="0"/>
      <w:divBdr>
        <w:top w:val="none" w:sz="0" w:space="0" w:color="auto"/>
        <w:left w:val="none" w:sz="0" w:space="0" w:color="auto"/>
        <w:bottom w:val="none" w:sz="0" w:space="0" w:color="auto"/>
        <w:right w:val="none" w:sz="0" w:space="0" w:color="auto"/>
      </w:divBdr>
    </w:div>
    <w:div w:id="401568471">
      <w:bodyDiv w:val="1"/>
      <w:marLeft w:val="0"/>
      <w:marRight w:val="0"/>
      <w:marTop w:val="0"/>
      <w:marBottom w:val="0"/>
      <w:divBdr>
        <w:top w:val="none" w:sz="0" w:space="0" w:color="auto"/>
        <w:left w:val="none" w:sz="0" w:space="0" w:color="auto"/>
        <w:bottom w:val="none" w:sz="0" w:space="0" w:color="auto"/>
        <w:right w:val="none" w:sz="0" w:space="0" w:color="auto"/>
      </w:divBdr>
    </w:div>
    <w:div w:id="418989045">
      <w:bodyDiv w:val="1"/>
      <w:marLeft w:val="0"/>
      <w:marRight w:val="0"/>
      <w:marTop w:val="0"/>
      <w:marBottom w:val="0"/>
      <w:divBdr>
        <w:top w:val="none" w:sz="0" w:space="0" w:color="auto"/>
        <w:left w:val="none" w:sz="0" w:space="0" w:color="auto"/>
        <w:bottom w:val="none" w:sz="0" w:space="0" w:color="auto"/>
        <w:right w:val="none" w:sz="0" w:space="0" w:color="auto"/>
      </w:divBdr>
    </w:div>
    <w:div w:id="464007505">
      <w:bodyDiv w:val="1"/>
      <w:marLeft w:val="0"/>
      <w:marRight w:val="0"/>
      <w:marTop w:val="0"/>
      <w:marBottom w:val="0"/>
      <w:divBdr>
        <w:top w:val="none" w:sz="0" w:space="0" w:color="auto"/>
        <w:left w:val="none" w:sz="0" w:space="0" w:color="auto"/>
        <w:bottom w:val="none" w:sz="0" w:space="0" w:color="auto"/>
        <w:right w:val="none" w:sz="0" w:space="0" w:color="auto"/>
      </w:divBdr>
    </w:div>
    <w:div w:id="512258445">
      <w:bodyDiv w:val="1"/>
      <w:marLeft w:val="0"/>
      <w:marRight w:val="0"/>
      <w:marTop w:val="0"/>
      <w:marBottom w:val="0"/>
      <w:divBdr>
        <w:top w:val="none" w:sz="0" w:space="0" w:color="auto"/>
        <w:left w:val="none" w:sz="0" w:space="0" w:color="auto"/>
        <w:bottom w:val="none" w:sz="0" w:space="0" w:color="auto"/>
        <w:right w:val="none" w:sz="0" w:space="0" w:color="auto"/>
      </w:divBdr>
    </w:div>
    <w:div w:id="597833558">
      <w:bodyDiv w:val="1"/>
      <w:marLeft w:val="0"/>
      <w:marRight w:val="0"/>
      <w:marTop w:val="0"/>
      <w:marBottom w:val="0"/>
      <w:divBdr>
        <w:top w:val="none" w:sz="0" w:space="0" w:color="auto"/>
        <w:left w:val="none" w:sz="0" w:space="0" w:color="auto"/>
        <w:bottom w:val="none" w:sz="0" w:space="0" w:color="auto"/>
        <w:right w:val="none" w:sz="0" w:space="0" w:color="auto"/>
      </w:divBdr>
    </w:div>
    <w:div w:id="621768551">
      <w:bodyDiv w:val="1"/>
      <w:marLeft w:val="0"/>
      <w:marRight w:val="0"/>
      <w:marTop w:val="0"/>
      <w:marBottom w:val="0"/>
      <w:divBdr>
        <w:top w:val="none" w:sz="0" w:space="0" w:color="auto"/>
        <w:left w:val="none" w:sz="0" w:space="0" w:color="auto"/>
        <w:bottom w:val="none" w:sz="0" w:space="0" w:color="auto"/>
        <w:right w:val="none" w:sz="0" w:space="0" w:color="auto"/>
      </w:divBdr>
    </w:div>
    <w:div w:id="675965614">
      <w:bodyDiv w:val="1"/>
      <w:marLeft w:val="0"/>
      <w:marRight w:val="0"/>
      <w:marTop w:val="0"/>
      <w:marBottom w:val="0"/>
      <w:divBdr>
        <w:top w:val="none" w:sz="0" w:space="0" w:color="auto"/>
        <w:left w:val="none" w:sz="0" w:space="0" w:color="auto"/>
        <w:bottom w:val="none" w:sz="0" w:space="0" w:color="auto"/>
        <w:right w:val="none" w:sz="0" w:space="0" w:color="auto"/>
      </w:divBdr>
    </w:div>
    <w:div w:id="778839483">
      <w:bodyDiv w:val="1"/>
      <w:marLeft w:val="0"/>
      <w:marRight w:val="0"/>
      <w:marTop w:val="0"/>
      <w:marBottom w:val="0"/>
      <w:divBdr>
        <w:top w:val="none" w:sz="0" w:space="0" w:color="auto"/>
        <w:left w:val="none" w:sz="0" w:space="0" w:color="auto"/>
        <w:bottom w:val="none" w:sz="0" w:space="0" w:color="auto"/>
        <w:right w:val="none" w:sz="0" w:space="0" w:color="auto"/>
      </w:divBdr>
    </w:div>
    <w:div w:id="779498153">
      <w:bodyDiv w:val="1"/>
      <w:marLeft w:val="0"/>
      <w:marRight w:val="0"/>
      <w:marTop w:val="0"/>
      <w:marBottom w:val="0"/>
      <w:divBdr>
        <w:top w:val="none" w:sz="0" w:space="0" w:color="auto"/>
        <w:left w:val="none" w:sz="0" w:space="0" w:color="auto"/>
        <w:bottom w:val="none" w:sz="0" w:space="0" w:color="auto"/>
        <w:right w:val="none" w:sz="0" w:space="0" w:color="auto"/>
      </w:divBdr>
    </w:div>
    <w:div w:id="794375592">
      <w:bodyDiv w:val="1"/>
      <w:marLeft w:val="0"/>
      <w:marRight w:val="0"/>
      <w:marTop w:val="0"/>
      <w:marBottom w:val="0"/>
      <w:divBdr>
        <w:top w:val="none" w:sz="0" w:space="0" w:color="auto"/>
        <w:left w:val="none" w:sz="0" w:space="0" w:color="auto"/>
        <w:bottom w:val="none" w:sz="0" w:space="0" w:color="auto"/>
        <w:right w:val="none" w:sz="0" w:space="0" w:color="auto"/>
      </w:divBdr>
    </w:div>
    <w:div w:id="801390447">
      <w:bodyDiv w:val="1"/>
      <w:marLeft w:val="0"/>
      <w:marRight w:val="0"/>
      <w:marTop w:val="0"/>
      <w:marBottom w:val="0"/>
      <w:divBdr>
        <w:top w:val="none" w:sz="0" w:space="0" w:color="auto"/>
        <w:left w:val="none" w:sz="0" w:space="0" w:color="auto"/>
        <w:bottom w:val="none" w:sz="0" w:space="0" w:color="auto"/>
        <w:right w:val="none" w:sz="0" w:space="0" w:color="auto"/>
      </w:divBdr>
    </w:div>
    <w:div w:id="848106630">
      <w:bodyDiv w:val="1"/>
      <w:marLeft w:val="0"/>
      <w:marRight w:val="0"/>
      <w:marTop w:val="0"/>
      <w:marBottom w:val="0"/>
      <w:divBdr>
        <w:top w:val="none" w:sz="0" w:space="0" w:color="auto"/>
        <w:left w:val="none" w:sz="0" w:space="0" w:color="auto"/>
        <w:bottom w:val="none" w:sz="0" w:space="0" w:color="auto"/>
        <w:right w:val="none" w:sz="0" w:space="0" w:color="auto"/>
      </w:divBdr>
    </w:div>
    <w:div w:id="877935012">
      <w:bodyDiv w:val="1"/>
      <w:marLeft w:val="0"/>
      <w:marRight w:val="0"/>
      <w:marTop w:val="0"/>
      <w:marBottom w:val="0"/>
      <w:divBdr>
        <w:top w:val="none" w:sz="0" w:space="0" w:color="auto"/>
        <w:left w:val="none" w:sz="0" w:space="0" w:color="auto"/>
        <w:bottom w:val="none" w:sz="0" w:space="0" w:color="auto"/>
        <w:right w:val="none" w:sz="0" w:space="0" w:color="auto"/>
      </w:divBdr>
    </w:div>
    <w:div w:id="942029199">
      <w:bodyDiv w:val="1"/>
      <w:marLeft w:val="0"/>
      <w:marRight w:val="0"/>
      <w:marTop w:val="0"/>
      <w:marBottom w:val="0"/>
      <w:divBdr>
        <w:top w:val="none" w:sz="0" w:space="0" w:color="auto"/>
        <w:left w:val="none" w:sz="0" w:space="0" w:color="auto"/>
        <w:bottom w:val="none" w:sz="0" w:space="0" w:color="auto"/>
        <w:right w:val="none" w:sz="0" w:space="0" w:color="auto"/>
      </w:divBdr>
    </w:div>
    <w:div w:id="947929917">
      <w:bodyDiv w:val="1"/>
      <w:marLeft w:val="0"/>
      <w:marRight w:val="0"/>
      <w:marTop w:val="0"/>
      <w:marBottom w:val="0"/>
      <w:divBdr>
        <w:top w:val="none" w:sz="0" w:space="0" w:color="auto"/>
        <w:left w:val="none" w:sz="0" w:space="0" w:color="auto"/>
        <w:bottom w:val="none" w:sz="0" w:space="0" w:color="auto"/>
        <w:right w:val="none" w:sz="0" w:space="0" w:color="auto"/>
      </w:divBdr>
    </w:div>
    <w:div w:id="961770305">
      <w:bodyDiv w:val="1"/>
      <w:marLeft w:val="0"/>
      <w:marRight w:val="0"/>
      <w:marTop w:val="0"/>
      <w:marBottom w:val="0"/>
      <w:divBdr>
        <w:top w:val="none" w:sz="0" w:space="0" w:color="auto"/>
        <w:left w:val="none" w:sz="0" w:space="0" w:color="auto"/>
        <w:bottom w:val="none" w:sz="0" w:space="0" w:color="auto"/>
        <w:right w:val="none" w:sz="0" w:space="0" w:color="auto"/>
      </w:divBdr>
    </w:div>
    <w:div w:id="977227541">
      <w:bodyDiv w:val="1"/>
      <w:marLeft w:val="0"/>
      <w:marRight w:val="0"/>
      <w:marTop w:val="0"/>
      <w:marBottom w:val="0"/>
      <w:divBdr>
        <w:top w:val="none" w:sz="0" w:space="0" w:color="auto"/>
        <w:left w:val="none" w:sz="0" w:space="0" w:color="auto"/>
        <w:bottom w:val="none" w:sz="0" w:space="0" w:color="auto"/>
        <w:right w:val="none" w:sz="0" w:space="0" w:color="auto"/>
      </w:divBdr>
    </w:div>
    <w:div w:id="983437866">
      <w:bodyDiv w:val="1"/>
      <w:marLeft w:val="0"/>
      <w:marRight w:val="0"/>
      <w:marTop w:val="0"/>
      <w:marBottom w:val="0"/>
      <w:divBdr>
        <w:top w:val="none" w:sz="0" w:space="0" w:color="auto"/>
        <w:left w:val="none" w:sz="0" w:space="0" w:color="auto"/>
        <w:bottom w:val="none" w:sz="0" w:space="0" w:color="auto"/>
        <w:right w:val="none" w:sz="0" w:space="0" w:color="auto"/>
      </w:divBdr>
    </w:div>
    <w:div w:id="1038897679">
      <w:bodyDiv w:val="1"/>
      <w:marLeft w:val="0"/>
      <w:marRight w:val="0"/>
      <w:marTop w:val="0"/>
      <w:marBottom w:val="0"/>
      <w:divBdr>
        <w:top w:val="none" w:sz="0" w:space="0" w:color="auto"/>
        <w:left w:val="none" w:sz="0" w:space="0" w:color="auto"/>
        <w:bottom w:val="none" w:sz="0" w:space="0" w:color="auto"/>
        <w:right w:val="none" w:sz="0" w:space="0" w:color="auto"/>
      </w:divBdr>
    </w:div>
    <w:div w:id="1052079278">
      <w:bodyDiv w:val="1"/>
      <w:marLeft w:val="0"/>
      <w:marRight w:val="0"/>
      <w:marTop w:val="0"/>
      <w:marBottom w:val="0"/>
      <w:divBdr>
        <w:top w:val="none" w:sz="0" w:space="0" w:color="auto"/>
        <w:left w:val="none" w:sz="0" w:space="0" w:color="auto"/>
        <w:bottom w:val="none" w:sz="0" w:space="0" w:color="auto"/>
        <w:right w:val="none" w:sz="0" w:space="0" w:color="auto"/>
      </w:divBdr>
    </w:div>
    <w:div w:id="1078986320">
      <w:bodyDiv w:val="1"/>
      <w:marLeft w:val="0"/>
      <w:marRight w:val="0"/>
      <w:marTop w:val="0"/>
      <w:marBottom w:val="0"/>
      <w:divBdr>
        <w:top w:val="none" w:sz="0" w:space="0" w:color="auto"/>
        <w:left w:val="none" w:sz="0" w:space="0" w:color="auto"/>
        <w:bottom w:val="none" w:sz="0" w:space="0" w:color="auto"/>
        <w:right w:val="none" w:sz="0" w:space="0" w:color="auto"/>
      </w:divBdr>
    </w:div>
    <w:div w:id="1110514451">
      <w:bodyDiv w:val="1"/>
      <w:marLeft w:val="0"/>
      <w:marRight w:val="0"/>
      <w:marTop w:val="0"/>
      <w:marBottom w:val="0"/>
      <w:divBdr>
        <w:top w:val="none" w:sz="0" w:space="0" w:color="auto"/>
        <w:left w:val="none" w:sz="0" w:space="0" w:color="auto"/>
        <w:bottom w:val="none" w:sz="0" w:space="0" w:color="auto"/>
        <w:right w:val="none" w:sz="0" w:space="0" w:color="auto"/>
      </w:divBdr>
    </w:div>
    <w:div w:id="1164247212">
      <w:bodyDiv w:val="1"/>
      <w:marLeft w:val="0"/>
      <w:marRight w:val="0"/>
      <w:marTop w:val="0"/>
      <w:marBottom w:val="0"/>
      <w:divBdr>
        <w:top w:val="none" w:sz="0" w:space="0" w:color="auto"/>
        <w:left w:val="none" w:sz="0" w:space="0" w:color="auto"/>
        <w:bottom w:val="none" w:sz="0" w:space="0" w:color="auto"/>
        <w:right w:val="none" w:sz="0" w:space="0" w:color="auto"/>
      </w:divBdr>
    </w:div>
    <w:div w:id="1225532720">
      <w:bodyDiv w:val="1"/>
      <w:marLeft w:val="0"/>
      <w:marRight w:val="0"/>
      <w:marTop w:val="0"/>
      <w:marBottom w:val="0"/>
      <w:divBdr>
        <w:top w:val="none" w:sz="0" w:space="0" w:color="auto"/>
        <w:left w:val="none" w:sz="0" w:space="0" w:color="auto"/>
        <w:bottom w:val="none" w:sz="0" w:space="0" w:color="auto"/>
        <w:right w:val="none" w:sz="0" w:space="0" w:color="auto"/>
      </w:divBdr>
    </w:div>
    <w:div w:id="1226642768">
      <w:bodyDiv w:val="1"/>
      <w:marLeft w:val="0"/>
      <w:marRight w:val="0"/>
      <w:marTop w:val="0"/>
      <w:marBottom w:val="0"/>
      <w:divBdr>
        <w:top w:val="none" w:sz="0" w:space="0" w:color="auto"/>
        <w:left w:val="none" w:sz="0" w:space="0" w:color="auto"/>
        <w:bottom w:val="none" w:sz="0" w:space="0" w:color="auto"/>
        <w:right w:val="none" w:sz="0" w:space="0" w:color="auto"/>
      </w:divBdr>
    </w:div>
    <w:div w:id="1246263459">
      <w:bodyDiv w:val="1"/>
      <w:marLeft w:val="0"/>
      <w:marRight w:val="0"/>
      <w:marTop w:val="0"/>
      <w:marBottom w:val="0"/>
      <w:divBdr>
        <w:top w:val="none" w:sz="0" w:space="0" w:color="auto"/>
        <w:left w:val="none" w:sz="0" w:space="0" w:color="auto"/>
        <w:bottom w:val="none" w:sz="0" w:space="0" w:color="auto"/>
        <w:right w:val="none" w:sz="0" w:space="0" w:color="auto"/>
      </w:divBdr>
    </w:div>
    <w:div w:id="1316567062">
      <w:bodyDiv w:val="1"/>
      <w:marLeft w:val="0"/>
      <w:marRight w:val="0"/>
      <w:marTop w:val="0"/>
      <w:marBottom w:val="0"/>
      <w:divBdr>
        <w:top w:val="none" w:sz="0" w:space="0" w:color="auto"/>
        <w:left w:val="none" w:sz="0" w:space="0" w:color="auto"/>
        <w:bottom w:val="none" w:sz="0" w:space="0" w:color="auto"/>
        <w:right w:val="none" w:sz="0" w:space="0" w:color="auto"/>
      </w:divBdr>
    </w:div>
    <w:div w:id="1356349767">
      <w:bodyDiv w:val="1"/>
      <w:marLeft w:val="0"/>
      <w:marRight w:val="0"/>
      <w:marTop w:val="0"/>
      <w:marBottom w:val="0"/>
      <w:divBdr>
        <w:top w:val="none" w:sz="0" w:space="0" w:color="auto"/>
        <w:left w:val="none" w:sz="0" w:space="0" w:color="auto"/>
        <w:bottom w:val="none" w:sz="0" w:space="0" w:color="auto"/>
        <w:right w:val="none" w:sz="0" w:space="0" w:color="auto"/>
      </w:divBdr>
    </w:div>
    <w:div w:id="1440831086">
      <w:bodyDiv w:val="1"/>
      <w:marLeft w:val="0"/>
      <w:marRight w:val="0"/>
      <w:marTop w:val="0"/>
      <w:marBottom w:val="0"/>
      <w:divBdr>
        <w:top w:val="none" w:sz="0" w:space="0" w:color="auto"/>
        <w:left w:val="none" w:sz="0" w:space="0" w:color="auto"/>
        <w:bottom w:val="none" w:sz="0" w:space="0" w:color="auto"/>
        <w:right w:val="none" w:sz="0" w:space="0" w:color="auto"/>
      </w:divBdr>
    </w:div>
    <w:div w:id="1465200535">
      <w:bodyDiv w:val="1"/>
      <w:marLeft w:val="0"/>
      <w:marRight w:val="0"/>
      <w:marTop w:val="0"/>
      <w:marBottom w:val="0"/>
      <w:divBdr>
        <w:top w:val="none" w:sz="0" w:space="0" w:color="auto"/>
        <w:left w:val="none" w:sz="0" w:space="0" w:color="auto"/>
        <w:bottom w:val="none" w:sz="0" w:space="0" w:color="auto"/>
        <w:right w:val="none" w:sz="0" w:space="0" w:color="auto"/>
      </w:divBdr>
    </w:div>
    <w:div w:id="1513569647">
      <w:bodyDiv w:val="1"/>
      <w:marLeft w:val="0"/>
      <w:marRight w:val="0"/>
      <w:marTop w:val="0"/>
      <w:marBottom w:val="0"/>
      <w:divBdr>
        <w:top w:val="none" w:sz="0" w:space="0" w:color="auto"/>
        <w:left w:val="none" w:sz="0" w:space="0" w:color="auto"/>
        <w:bottom w:val="none" w:sz="0" w:space="0" w:color="auto"/>
        <w:right w:val="none" w:sz="0" w:space="0" w:color="auto"/>
      </w:divBdr>
    </w:div>
    <w:div w:id="1587423762">
      <w:bodyDiv w:val="1"/>
      <w:marLeft w:val="0"/>
      <w:marRight w:val="0"/>
      <w:marTop w:val="0"/>
      <w:marBottom w:val="0"/>
      <w:divBdr>
        <w:top w:val="none" w:sz="0" w:space="0" w:color="auto"/>
        <w:left w:val="none" w:sz="0" w:space="0" w:color="auto"/>
        <w:bottom w:val="none" w:sz="0" w:space="0" w:color="auto"/>
        <w:right w:val="none" w:sz="0" w:space="0" w:color="auto"/>
      </w:divBdr>
    </w:div>
    <w:div w:id="1647203250">
      <w:bodyDiv w:val="1"/>
      <w:marLeft w:val="0"/>
      <w:marRight w:val="0"/>
      <w:marTop w:val="0"/>
      <w:marBottom w:val="0"/>
      <w:divBdr>
        <w:top w:val="none" w:sz="0" w:space="0" w:color="auto"/>
        <w:left w:val="none" w:sz="0" w:space="0" w:color="auto"/>
        <w:bottom w:val="none" w:sz="0" w:space="0" w:color="auto"/>
        <w:right w:val="none" w:sz="0" w:space="0" w:color="auto"/>
      </w:divBdr>
    </w:div>
    <w:div w:id="1710689962">
      <w:bodyDiv w:val="1"/>
      <w:marLeft w:val="0"/>
      <w:marRight w:val="0"/>
      <w:marTop w:val="0"/>
      <w:marBottom w:val="0"/>
      <w:divBdr>
        <w:top w:val="none" w:sz="0" w:space="0" w:color="auto"/>
        <w:left w:val="none" w:sz="0" w:space="0" w:color="auto"/>
        <w:bottom w:val="none" w:sz="0" w:space="0" w:color="auto"/>
        <w:right w:val="none" w:sz="0" w:space="0" w:color="auto"/>
      </w:divBdr>
    </w:div>
    <w:div w:id="1714497248">
      <w:bodyDiv w:val="1"/>
      <w:marLeft w:val="0"/>
      <w:marRight w:val="0"/>
      <w:marTop w:val="0"/>
      <w:marBottom w:val="0"/>
      <w:divBdr>
        <w:top w:val="none" w:sz="0" w:space="0" w:color="auto"/>
        <w:left w:val="none" w:sz="0" w:space="0" w:color="auto"/>
        <w:bottom w:val="none" w:sz="0" w:space="0" w:color="auto"/>
        <w:right w:val="none" w:sz="0" w:space="0" w:color="auto"/>
      </w:divBdr>
      <w:divsChild>
        <w:div w:id="831409880">
          <w:marLeft w:val="0"/>
          <w:marRight w:val="0"/>
          <w:marTop w:val="0"/>
          <w:marBottom w:val="0"/>
          <w:divBdr>
            <w:top w:val="none" w:sz="0" w:space="0" w:color="auto"/>
            <w:left w:val="none" w:sz="0" w:space="0" w:color="auto"/>
            <w:bottom w:val="none" w:sz="0" w:space="0" w:color="auto"/>
            <w:right w:val="none" w:sz="0" w:space="0" w:color="auto"/>
          </w:divBdr>
          <w:divsChild>
            <w:div w:id="1356806586">
              <w:marLeft w:val="0"/>
              <w:marRight w:val="0"/>
              <w:marTop w:val="0"/>
              <w:marBottom w:val="0"/>
              <w:divBdr>
                <w:top w:val="none" w:sz="0" w:space="0" w:color="auto"/>
                <w:left w:val="none" w:sz="0" w:space="0" w:color="auto"/>
                <w:bottom w:val="none" w:sz="0" w:space="0" w:color="auto"/>
                <w:right w:val="none" w:sz="0" w:space="0" w:color="auto"/>
              </w:divBdr>
              <w:divsChild>
                <w:div w:id="338431489">
                  <w:marLeft w:val="0"/>
                  <w:marRight w:val="0"/>
                  <w:marTop w:val="0"/>
                  <w:marBottom w:val="0"/>
                  <w:divBdr>
                    <w:top w:val="none" w:sz="0" w:space="0" w:color="auto"/>
                    <w:left w:val="none" w:sz="0" w:space="0" w:color="auto"/>
                    <w:bottom w:val="none" w:sz="0" w:space="0" w:color="auto"/>
                    <w:right w:val="none" w:sz="0" w:space="0" w:color="auto"/>
                  </w:divBdr>
                  <w:divsChild>
                    <w:div w:id="181968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141570">
      <w:bodyDiv w:val="1"/>
      <w:marLeft w:val="0"/>
      <w:marRight w:val="0"/>
      <w:marTop w:val="0"/>
      <w:marBottom w:val="0"/>
      <w:divBdr>
        <w:top w:val="none" w:sz="0" w:space="0" w:color="auto"/>
        <w:left w:val="none" w:sz="0" w:space="0" w:color="auto"/>
        <w:bottom w:val="none" w:sz="0" w:space="0" w:color="auto"/>
        <w:right w:val="none" w:sz="0" w:space="0" w:color="auto"/>
      </w:divBdr>
      <w:divsChild>
        <w:div w:id="111948986">
          <w:marLeft w:val="0"/>
          <w:marRight w:val="0"/>
          <w:marTop w:val="0"/>
          <w:marBottom w:val="0"/>
          <w:divBdr>
            <w:top w:val="none" w:sz="0" w:space="0" w:color="auto"/>
            <w:left w:val="none" w:sz="0" w:space="0" w:color="auto"/>
            <w:bottom w:val="none" w:sz="0" w:space="0" w:color="auto"/>
            <w:right w:val="none" w:sz="0" w:space="0" w:color="auto"/>
          </w:divBdr>
          <w:divsChild>
            <w:div w:id="745762383">
              <w:marLeft w:val="0"/>
              <w:marRight w:val="0"/>
              <w:marTop w:val="0"/>
              <w:marBottom w:val="0"/>
              <w:divBdr>
                <w:top w:val="none" w:sz="0" w:space="0" w:color="auto"/>
                <w:left w:val="none" w:sz="0" w:space="0" w:color="auto"/>
                <w:bottom w:val="none" w:sz="0" w:space="0" w:color="auto"/>
                <w:right w:val="none" w:sz="0" w:space="0" w:color="auto"/>
              </w:divBdr>
              <w:divsChild>
                <w:div w:id="267084865">
                  <w:marLeft w:val="0"/>
                  <w:marRight w:val="0"/>
                  <w:marTop w:val="0"/>
                  <w:marBottom w:val="0"/>
                  <w:divBdr>
                    <w:top w:val="none" w:sz="0" w:space="0" w:color="auto"/>
                    <w:left w:val="none" w:sz="0" w:space="0" w:color="auto"/>
                    <w:bottom w:val="none" w:sz="0" w:space="0" w:color="auto"/>
                    <w:right w:val="none" w:sz="0" w:space="0" w:color="auto"/>
                  </w:divBdr>
                  <w:divsChild>
                    <w:div w:id="135692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134727">
      <w:bodyDiv w:val="1"/>
      <w:marLeft w:val="0"/>
      <w:marRight w:val="0"/>
      <w:marTop w:val="0"/>
      <w:marBottom w:val="0"/>
      <w:divBdr>
        <w:top w:val="none" w:sz="0" w:space="0" w:color="auto"/>
        <w:left w:val="none" w:sz="0" w:space="0" w:color="auto"/>
        <w:bottom w:val="none" w:sz="0" w:space="0" w:color="auto"/>
        <w:right w:val="none" w:sz="0" w:space="0" w:color="auto"/>
      </w:divBdr>
    </w:div>
    <w:div w:id="1750541612">
      <w:bodyDiv w:val="1"/>
      <w:marLeft w:val="0"/>
      <w:marRight w:val="0"/>
      <w:marTop w:val="0"/>
      <w:marBottom w:val="0"/>
      <w:divBdr>
        <w:top w:val="none" w:sz="0" w:space="0" w:color="auto"/>
        <w:left w:val="none" w:sz="0" w:space="0" w:color="auto"/>
        <w:bottom w:val="none" w:sz="0" w:space="0" w:color="auto"/>
        <w:right w:val="none" w:sz="0" w:space="0" w:color="auto"/>
      </w:divBdr>
    </w:div>
    <w:div w:id="1772436434">
      <w:bodyDiv w:val="1"/>
      <w:marLeft w:val="0"/>
      <w:marRight w:val="0"/>
      <w:marTop w:val="0"/>
      <w:marBottom w:val="0"/>
      <w:divBdr>
        <w:top w:val="none" w:sz="0" w:space="0" w:color="auto"/>
        <w:left w:val="none" w:sz="0" w:space="0" w:color="auto"/>
        <w:bottom w:val="none" w:sz="0" w:space="0" w:color="auto"/>
        <w:right w:val="none" w:sz="0" w:space="0" w:color="auto"/>
      </w:divBdr>
    </w:div>
    <w:div w:id="1784155834">
      <w:bodyDiv w:val="1"/>
      <w:marLeft w:val="0"/>
      <w:marRight w:val="0"/>
      <w:marTop w:val="0"/>
      <w:marBottom w:val="0"/>
      <w:divBdr>
        <w:top w:val="none" w:sz="0" w:space="0" w:color="auto"/>
        <w:left w:val="none" w:sz="0" w:space="0" w:color="auto"/>
        <w:bottom w:val="none" w:sz="0" w:space="0" w:color="auto"/>
        <w:right w:val="none" w:sz="0" w:space="0" w:color="auto"/>
      </w:divBdr>
    </w:div>
    <w:div w:id="1799562641">
      <w:bodyDiv w:val="1"/>
      <w:marLeft w:val="0"/>
      <w:marRight w:val="0"/>
      <w:marTop w:val="0"/>
      <w:marBottom w:val="0"/>
      <w:divBdr>
        <w:top w:val="none" w:sz="0" w:space="0" w:color="auto"/>
        <w:left w:val="none" w:sz="0" w:space="0" w:color="auto"/>
        <w:bottom w:val="none" w:sz="0" w:space="0" w:color="auto"/>
        <w:right w:val="none" w:sz="0" w:space="0" w:color="auto"/>
      </w:divBdr>
    </w:div>
    <w:div w:id="1808283957">
      <w:bodyDiv w:val="1"/>
      <w:marLeft w:val="0"/>
      <w:marRight w:val="0"/>
      <w:marTop w:val="0"/>
      <w:marBottom w:val="0"/>
      <w:divBdr>
        <w:top w:val="none" w:sz="0" w:space="0" w:color="auto"/>
        <w:left w:val="none" w:sz="0" w:space="0" w:color="auto"/>
        <w:bottom w:val="none" w:sz="0" w:space="0" w:color="auto"/>
        <w:right w:val="none" w:sz="0" w:space="0" w:color="auto"/>
      </w:divBdr>
    </w:div>
    <w:div w:id="1811556706">
      <w:bodyDiv w:val="1"/>
      <w:marLeft w:val="0"/>
      <w:marRight w:val="0"/>
      <w:marTop w:val="0"/>
      <w:marBottom w:val="0"/>
      <w:divBdr>
        <w:top w:val="none" w:sz="0" w:space="0" w:color="auto"/>
        <w:left w:val="none" w:sz="0" w:space="0" w:color="auto"/>
        <w:bottom w:val="none" w:sz="0" w:space="0" w:color="auto"/>
        <w:right w:val="none" w:sz="0" w:space="0" w:color="auto"/>
      </w:divBdr>
    </w:div>
    <w:div w:id="1860774142">
      <w:bodyDiv w:val="1"/>
      <w:marLeft w:val="0"/>
      <w:marRight w:val="0"/>
      <w:marTop w:val="0"/>
      <w:marBottom w:val="0"/>
      <w:divBdr>
        <w:top w:val="none" w:sz="0" w:space="0" w:color="auto"/>
        <w:left w:val="none" w:sz="0" w:space="0" w:color="auto"/>
        <w:bottom w:val="none" w:sz="0" w:space="0" w:color="auto"/>
        <w:right w:val="none" w:sz="0" w:space="0" w:color="auto"/>
      </w:divBdr>
    </w:div>
    <w:div w:id="1911504655">
      <w:bodyDiv w:val="1"/>
      <w:marLeft w:val="0"/>
      <w:marRight w:val="0"/>
      <w:marTop w:val="0"/>
      <w:marBottom w:val="0"/>
      <w:divBdr>
        <w:top w:val="none" w:sz="0" w:space="0" w:color="auto"/>
        <w:left w:val="none" w:sz="0" w:space="0" w:color="auto"/>
        <w:bottom w:val="none" w:sz="0" w:space="0" w:color="auto"/>
        <w:right w:val="none" w:sz="0" w:space="0" w:color="auto"/>
      </w:divBdr>
    </w:div>
    <w:div w:id="1934898654">
      <w:bodyDiv w:val="1"/>
      <w:marLeft w:val="0"/>
      <w:marRight w:val="0"/>
      <w:marTop w:val="0"/>
      <w:marBottom w:val="0"/>
      <w:divBdr>
        <w:top w:val="none" w:sz="0" w:space="0" w:color="auto"/>
        <w:left w:val="none" w:sz="0" w:space="0" w:color="auto"/>
        <w:bottom w:val="none" w:sz="0" w:space="0" w:color="auto"/>
        <w:right w:val="none" w:sz="0" w:space="0" w:color="auto"/>
      </w:divBdr>
    </w:div>
    <w:div w:id="1960721289">
      <w:bodyDiv w:val="1"/>
      <w:marLeft w:val="0"/>
      <w:marRight w:val="0"/>
      <w:marTop w:val="0"/>
      <w:marBottom w:val="0"/>
      <w:divBdr>
        <w:top w:val="none" w:sz="0" w:space="0" w:color="auto"/>
        <w:left w:val="none" w:sz="0" w:space="0" w:color="auto"/>
        <w:bottom w:val="none" w:sz="0" w:space="0" w:color="auto"/>
        <w:right w:val="none" w:sz="0" w:space="0" w:color="auto"/>
      </w:divBdr>
    </w:div>
    <w:div w:id="1965966574">
      <w:bodyDiv w:val="1"/>
      <w:marLeft w:val="0"/>
      <w:marRight w:val="0"/>
      <w:marTop w:val="0"/>
      <w:marBottom w:val="0"/>
      <w:divBdr>
        <w:top w:val="none" w:sz="0" w:space="0" w:color="auto"/>
        <w:left w:val="none" w:sz="0" w:space="0" w:color="auto"/>
        <w:bottom w:val="none" w:sz="0" w:space="0" w:color="auto"/>
        <w:right w:val="none" w:sz="0" w:space="0" w:color="auto"/>
      </w:divBdr>
    </w:div>
    <w:div w:id="1999918464">
      <w:bodyDiv w:val="1"/>
      <w:marLeft w:val="0"/>
      <w:marRight w:val="0"/>
      <w:marTop w:val="0"/>
      <w:marBottom w:val="0"/>
      <w:divBdr>
        <w:top w:val="none" w:sz="0" w:space="0" w:color="auto"/>
        <w:left w:val="none" w:sz="0" w:space="0" w:color="auto"/>
        <w:bottom w:val="none" w:sz="0" w:space="0" w:color="auto"/>
        <w:right w:val="none" w:sz="0" w:space="0" w:color="auto"/>
      </w:divBdr>
    </w:div>
    <w:div w:id="2038003542">
      <w:bodyDiv w:val="1"/>
      <w:marLeft w:val="0"/>
      <w:marRight w:val="0"/>
      <w:marTop w:val="0"/>
      <w:marBottom w:val="0"/>
      <w:divBdr>
        <w:top w:val="none" w:sz="0" w:space="0" w:color="auto"/>
        <w:left w:val="none" w:sz="0" w:space="0" w:color="auto"/>
        <w:bottom w:val="none" w:sz="0" w:space="0" w:color="auto"/>
        <w:right w:val="none" w:sz="0" w:space="0" w:color="auto"/>
      </w:divBdr>
    </w:div>
    <w:div w:id="2065834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48ADEE6C4785945A10C8B6198DECCD2" ma:contentTypeVersion="4" ma:contentTypeDescription="Create a new document." ma:contentTypeScope="" ma:versionID="e6791057bb0ad4d354a4e441a4407a7c">
  <xsd:schema xmlns:xsd="http://www.w3.org/2001/XMLSchema" xmlns:xs="http://www.w3.org/2001/XMLSchema" xmlns:p="http://schemas.microsoft.com/office/2006/metadata/properties" xmlns:ns2="c527f524-11e1-4374-ab91-ec52936eebc0" targetNamespace="http://schemas.microsoft.com/office/2006/metadata/properties" ma:root="true" ma:fieldsID="b4af24ad9f0ecb004113b808e11bed0f" ns2:_="">
    <xsd:import namespace="c527f524-11e1-4374-ab91-ec52936eeb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27f524-11e1-4374-ab91-ec52936eeb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92AD5F-6254-4766-B3A8-2CB8E27839A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2BCE047-6FD2-0D4E-B2D4-9B2AC18C40C5}">
  <ds:schemaRefs>
    <ds:schemaRef ds:uri="http://schemas.openxmlformats.org/officeDocument/2006/bibliography"/>
  </ds:schemaRefs>
</ds:datastoreItem>
</file>

<file path=customXml/itemProps3.xml><?xml version="1.0" encoding="utf-8"?>
<ds:datastoreItem xmlns:ds="http://schemas.openxmlformats.org/officeDocument/2006/customXml" ds:itemID="{51225DBF-4680-4BE7-8105-586155A03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27f524-11e1-4374-ab91-ec52936ee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CF2287-BF0A-4C6E-A7ED-6420D1B6C8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4620</TotalTime>
  <Pages>7</Pages>
  <Words>24849</Words>
  <Characters>141643</Characters>
  <Application>Microsoft Office Word</Application>
  <DocSecurity>0</DocSecurity>
  <Lines>1180</Lines>
  <Paragraphs>332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Creeth</dc:creator>
  <cp:keywords/>
  <dc:description/>
  <cp:lastModifiedBy>Elliott Rees</cp:lastModifiedBy>
  <cp:revision>45</cp:revision>
  <dcterms:created xsi:type="dcterms:W3CDTF">2020-06-08T09:56:00Z</dcterms:created>
  <dcterms:modified xsi:type="dcterms:W3CDTF">2020-08-18T18:30:00Z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http://www.zotero.org/styles/nature-communications</vt:lpwstr>
  </property>
  <property fmtid="{D5CDD505-2E9C-101B-9397-08002B2CF9AE}" pid="21" name="Mendeley Recent Style Name 9_1">
    <vt:lpwstr>Nature Communications</vt:lpwstr>
  </property>
  <property fmtid="{D5CDD505-2E9C-101B-9397-08002B2CF9AE}" pid="22" name="Mendeley Document_1">
    <vt:lpwstr>True</vt:lpwstr>
  </property>
  <property fmtid="{D5CDD505-2E9C-101B-9397-08002B2CF9AE}" pid="23" name="Mendeley Unique User Id_1">
    <vt:lpwstr>150ec7e0-debb-3ba5-8a21-3c97f3ad671f</vt:lpwstr>
  </property>
  <property fmtid="{D5CDD505-2E9C-101B-9397-08002B2CF9AE}" pid="24" name="Mendeley Citation Style_1">
    <vt:lpwstr>http://www.zotero.org/styles/nature-communications</vt:lpwstr>
  </property>
  <property fmtid="{D5CDD505-2E9C-101B-9397-08002B2CF9AE}" pid="25" name="ContentTypeId">
    <vt:lpwstr>0x010100248ADEE6C4785945A10C8B6198DECCD2</vt:lpwstr>
  </property>
</Properties>
</file>