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995E8" w14:textId="2D466EDE" w:rsidR="001D2C6E" w:rsidRPr="00A8193E" w:rsidRDefault="001D2C6E">
      <w:pPr>
        <w:rPr>
          <w:rFonts w:ascii="Arial" w:hAnsi="Arial" w:cs="Arial"/>
          <w:sz w:val="18"/>
          <w:szCs w:val="18"/>
        </w:rPr>
      </w:pPr>
    </w:p>
    <w:p w14:paraId="23C35512" w14:textId="25DFA5CE" w:rsidR="0029279C" w:rsidRPr="00A8193E" w:rsidRDefault="0029279C">
      <w:pPr>
        <w:rPr>
          <w:rFonts w:ascii="Arial" w:hAnsi="Arial" w:cs="Arial"/>
          <w:sz w:val="18"/>
          <w:szCs w:val="18"/>
        </w:rPr>
      </w:pPr>
    </w:p>
    <w:p w14:paraId="35E6228C" w14:textId="7C86AEAB" w:rsidR="00EA72D2" w:rsidRDefault="00EA72D2" w:rsidP="00956A53">
      <w:pPr>
        <w:pStyle w:val="NormalWeb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55E7CF6E" wp14:editId="390D8BCC">
            <wp:extent cx="6477000" cy="6108700"/>
            <wp:effectExtent l="0" t="0" r="0" b="0"/>
            <wp:docPr id="408320229" name="Picture 2" descr="A diagram of different colore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20229" name="Picture 2" descr="A diagram of different colored circl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B99B" w14:textId="77FDDB42" w:rsidR="00200415" w:rsidRPr="00200415" w:rsidRDefault="00200415" w:rsidP="00253FD9">
      <w:pPr>
        <w:pStyle w:val="NormalWeb"/>
        <w:jc w:val="both"/>
        <w:rPr>
          <w:rFonts w:ascii="Arial" w:hAnsi="Arial" w:cs="Arial"/>
          <w:sz w:val="18"/>
          <w:szCs w:val="18"/>
        </w:rPr>
      </w:pPr>
      <w:r w:rsidRPr="00200415">
        <w:rPr>
          <w:rFonts w:ascii="Arial" w:eastAsia="Arial" w:hAnsi="Arial" w:cs="Arial"/>
          <w:b/>
          <w:bCs/>
          <w:sz w:val="18"/>
          <w:szCs w:val="18"/>
        </w:rPr>
        <w:t xml:space="preserve">Extended Figure 7. </w:t>
      </w:r>
      <w:r w:rsidRPr="00200415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Isoflurane networks are denser across a variety of weight thresholds. </w:t>
      </w:r>
      <w:r w:rsidRPr="00200415">
        <w:rPr>
          <w:rFonts w:ascii="Arial" w:eastAsia="Arial" w:hAnsi="Arial" w:cs="Arial"/>
          <w:color w:val="000000" w:themeColor="text1"/>
          <w:sz w:val="18"/>
          <w:szCs w:val="18"/>
        </w:rPr>
        <w:t>(</w:t>
      </w:r>
      <w:r w:rsidRPr="00200415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a</w:t>
      </w:r>
      <w:r w:rsidRPr="00200415">
        <w:rPr>
          <w:rFonts w:ascii="Arial" w:eastAsia="Arial" w:hAnsi="Arial" w:cs="Arial"/>
          <w:color w:val="000000" w:themeColor="text1"/>
          <w:sz w:val="18"/>
          <w:szCs w:val="18"/>
        </w:rPr>
        <w:t xml:space="preserve">) control (red) and isoflurane (blue) networks thresholded at various alpha values. </w:t>
      </w:r>
      <w:r w:rsidRPr="00200415">
        <w:rPr>
          <w:rFonts w:ascii="Arial" w:hAnsi="Arial" w:cs="Arial"/>
          <w:color w:val="000000"/>
          <w:sz w:val="18"/>
          <w:szCs w:val="18"/>
        </w:rPr>
        <w:t>(</w:t>
      </w:r>
      <w:r w:rsidRPr="00200415">
        <w:rPr>
          <w:rFonts w:ascii="Arial" w:hAnsi="Arial" w:cs="Arial"/>
          <w:b/>
          <w:bCs/>
          <w:color w:val="000000"/>
          <w:sz w:val="18"/>
          <w:szCs w:val="18"/>
        </w:rPr>
        <w:t>b</w:t>
      </w:r>
      <w:r w:rsidRPr="00200415">
        <w:rPr>
          <w:rFonts w:ascii="Arial" w:hAnsi="Arial" w:cs="Arial"/>
          <w:color w:val="000000"/>
          <w:sz w:val="18"/>
          <w:szCs w:val="18"/>
        </w:rPr>
        <w:t>) Mean degree, clustering, betweenness, and efficiency metrics calculated across a range of significance thresholds and (</w:t>
      </w:r>
      <w:r w:rsidRPr="00200415">
        <w:rPr>
          <w:rFonts w:ascii="Arial" w:hAnsi="Arial" w:cs="Arial"/>
          <w:b/>
          <w:bCs/>
          <w:color w:val="000000"/>
          <w:sz w:val="18"/>
          <w:szCs w:val="18"/>
        </w:rPr>
        <w:t>c</w:t>
      </w:r>
      <w:r w:rsidRPr="00200415">
        <w:rPr>
          <w:rFonts w:ascii="Arial" w:hAnsi="Arial" w:cs="Arial"/>
          <w:color w:val="000000"/>
          <w:sz w:val="18"/>
          <w:szCs w:val="18"/>
        </w:rPr>
        <w:t xml:space="preserve">) edge proportion thresholds. </w:t>
      </w:r>
      <w:r w:rsidRPr="00200415">
        <w:rPr>
          <w:rFonts w:ascii="Arial" w:hAnsi="Arial" w:cs="Arial"/>
          <w:noProof/>
          <w:sz w:val="18"/>
          <w:szCs w:val="18"/>
        </w:rPr>
        <w:t>(</w:t>
      </w:r>
      <w:r w:rsidRPr="00200415">
        <w:rPr>
          <w:rFonts w:ascii="Arial" w:hAnsi="Arial" w:cs="Arial"/>
          <w:b/>
          <w:bCs/>
          <w:noProof/>
          <w:sz w:val="18"/>
          <w:szCs w:val="18"/>
        </w:rPr>
        <w:t>d</w:t>
      </w:r>
      <w:r w:rsidRPr="00200415">
        <w:rPr>
          <w:rFonts w:ascii="Arial" w:hAnsi="Arial" w:cs="Arial"/>
          <w:noProof/>
          <w:sz w:val="18"/>
          <w:szCs w:val="18"/>
        </w:rPr>
        <w:t xml:space="preserve">) Assessment of small-world properties of individual networks plotted in </w:t>
      </w:r>
      <w:r w:rsidRPr="00200415">
        <w:rPr>
          <w:rFonts w:ascii="Arial" w:hAnsi="Arial" w:cs="Arial"/>
          <w:noProof/>
          <w:color w:val="0432FF"/>
          <w:sz w:val="18"/>
          <w:szCs w:val="18"/>
        </w:rPr>
        <w:t>Fig 3</w:t>
      </w:r>
      <w:r w:rsidRPr="00200415">
        <w:rPr>
          <w:rFonts w:ascii="Arial" w:hAnsi="Arial" w:cs="Arial"/>
          <w:noProof/>
          <w:sz w:val="18"/>
          <w:szCs w:val="18"/>
        </w:rPr>
        <w:t>. Small-world index (σ) for both networks are above the threshold of 1 (black dotted horizontal line). The control network (</w:t>
      </w:r>
      <w:r w:rsidRPr="00200415">
        <w:rPr>
          <w:rFonts w:ascii="Arial" w:hAnsi="Arial" w:cs="Arial"/>
          <w:b/>
          <w:bCs/>
          <w:noProof/>
          <w:sz w:val="18"/>
          <w:szCs w:val="18"/>
        </w:rPr>
        <w:t>e</w:t>
      </w:r>
      <w:r w:rsidRPr="00200415">
        <w:rPr>
          <w:rFonts w:ascii="Arial" w:hAnsi="Arial" w:cs="Arial"/>
          <w:noProof/>
          <w:sz w:val="18"/>
          <w:szCs w:val="18"/>
        </w:rPr>
        <w:t>) clustering coefficient and (</w:t>
      </w:r>
      <w:r w:rsidRPr="00200415">
        <w:rPr>
          <w:rFonts w:ascii="Arial" w:hAnsi="Arial" w:cs="Arial"/>
          <w:b/>
          <w:bCs/>
          <w:noProof/>
          <w:sz w:val="18"/>
          <w:szCs w:val="18"/>
        </w:rPr>
        <w:t>f</w:t>
      </w:r>
      <w:r w:rsidRPr="00200415">
        <w:rPr>
          <w:rFonts w:ascii="Arial" w:hAnsi="Arial" w:cs="Arial"/>
          <w:noProof/>
          <w:sz w:val="18"/>
          <w:szCs w:val="18"/>
        </w:rPr>
        <w:t>) path length as well as the isoflurane (</w:t>
      </w:r>
      <w:r w:rsidRPr="00200415">
        <w:rPr>
          <w:rFonts w:ascii="Arial" w:hAnsi="Arial" w:cs="Arial"/>
          <w:b/>
          <w:bCs/>
          <w:noProof/>
          <w:sz w:val="18"/>
          <w:szCs w:val="18"/>
        </w:rPr>
        <w:t>g</w:t>
      </w:r>
      <w:r w:rsidRPr="00200415">
        <w:rPr>
          <w:rFonts w:ascii="Arial" w:hAnsi="Arial" w:cs="Arial"/>
          <w:noProof/>
          <w:sz w:val="18"/>
          <w:szCs w:val="18"/>
        </w:rPr>
        <w:t>) clustering coefficient and (</w:t>
      </w:r>
      <w:r w:rsidRPr="00200415">
        <w:rPr>
          <w:rFonts w:ascii="Arial" w:hAnsi="Arial" w:cs="Arial"/>
          <w:b/>
          <w:bCs/>
          <w:noProof/>
          <w:sz w:val="18"/>
          <w:szCs w:val="18"/>
        </w:rPr>
        <w:t>h</w:t>
      </w:r>
      <w:r w:rsidRPr="00200415">
        <w:rPr>
          <w:rFonts w:ascii="Arial" w:hAnsi="Arial" w:cs="Arial"/>
          <w:noProof/>
          <w:sz w:val="18"/>
          <w:szCs w:val="18"/>
        </w:rPr>
        <w:t>) path length are higher than randomly rewired networks with matching degree sequences. (</w:t>
      </w:r>
      <w:r w:rsidRPr="00200415">
        <w:rPr>
          <w:rFonts w:ascii="Arial" w:hAnsi="Arial" w:cs="Arial"/>
          <w:b/>
          <w:bCs/>
          <w:noProof/>
          <w:sz w:val="18"/>
          <w:szCs w:val="18"/>
        </w:rPr>
        <w:t>i</w:t>
      </w:r>
      <w:r w:rsidRPr="00200415">
        <w:rPr>
          <w:rFonts w:ascii="Arial" w:hAnsi="Arial" w:cs="Arial"/>
          <w:noProof/>
          <w:sz w:val="18"/>
          <w:szCs w:val="18"/>
        </w:rPr>
        <w:t>) Distributions of the Pearson correlation coefficients between all unique regional connections and their associated (</w:t>
      </w:r>
      <w:r w:rsidRPr="00200415">
        <w:rPr>
          <w:rFonts w:ascii="Arial" w:hAnsi="Arial" w:cs="Arial"/>
          <w:b/>
          <w:bCs/>
          <w:noProof/>
          <w:sz w:val="18"/>
          <w:szCs w:val="18"/>
        </w:rPr>
        <w:t>j</w:t>
      </w:r>
      <w:r w:rsidRPr="00200415">
        <w:rPr>
          <w:rFonts w:ascii="Arial" w:hAnsi="Arial" w:cs="Arial"/>
          <w:noProof/>
          <w:sz w:val="18"/>
          <w:szCs w:val="18"/>
        </w:rPr>
        <w:t>) p-value for the control and isoflurane networks. (</w:t>
      </w:r>
      <w:r w:rsidRPr="00200415">
        <w:rPr>
          <w:rFonts w:ascii="Arial" w:hAnsi="Arial" w:cs="Arial"/>
          <w:b/>
          <w:bCs/>
          <w:noProof/>
          <w:sz w:val="18"/>
          <w:szCs w:val="18"/>
        </w:rPr>
        <w:t>k</w:t>
      </w:r>
      <w:r w:rsidRPr="00200415">
        <w:rPr>
          <w:rFonts w:ascii="Arial" w:hAnsi="Arial" w:cs="Arial"/>
          <w:noProof/>
          <w:sz w:val="18"/>
          <w:szCs w:val="18"/>
        </w:rPr>
        <w:t>) Volcano plot illustrating the regional correlations which most differ between the networks. The horizontal red line denotes a significance threshold of p &lt; 0.001. Red points in the upper right (control &lt; isoflurane) and upper left quadrants (control &gt; isoflurane), defined by vertical red line lines, indicate regional correlation differences with a magnitude shift greater than 1 between groups. Two-tailed Student</w:t>
      </w:r>
      <w:r w:rsidR="006377CA">
        <w:rPr>
          <w:rFonts w:ascii="Arial" w:hAnsi="Arial" w:cs="Arial"/>
          <w:noProof/>
          <w:sz w:val="18"/>
          <w:szCs w:val="18"/>
        </w:rPr>
        <w:t>’</w:t>
      </w:r>
      <w:r w:rsidRPr="00200415">
        <w:rPr>
          <w:rFonts w:ascii="Arial" w:hAnsi="Arial" w:cs="Arial"/>
          <w:noProof/>
          <w:sz w:val="18"/>
          <w:szCs w:val="18"/>
        </w:rPr>
        <w:t xml:space="preserve">s </w:t>
      </w:r>
      <w:r w:rsidRPr="00200415">
        <w:rPr>
          <w:rFonts w:ascii="Arial" w:hAnsi="Arial" w:cs="Arial"/>
          <w:i/>
          <w:iCs/>
          <w:noProof/>
          <w:sz w:val="18"/>
          <w:szCs w:val="18"/>
        </w:rPr>
        <w:t>t</w:t>
      </w:r>
      <w:r w:rsidRPr="00200415">
        <w:rPr>
          <w:rFonts w:ascii="Arial" w:hAnsi="Arial" w:cs="Arial"/>
          <w:noProof/>
          <w:sz w:val="18"/>
          <w:szCs w:val="18"/>
        </w:rPr>
        <w:t xml:space="preserve">-test: **p&lt;0.01, ****p&lt;0.0001. </w:t>
      </w:r>
      <w:r w:rsidRPr="00200415">
        <w:rPr>
          <w:rFonts w:ascii="Arial" w:hAnsi="Arial" w:cs="Arial"/>
          <w:color w:val="000000" w:themeColor="text1"/>
          <w:sz w:val="18"/>
          <w:szCs w:val="18"/>
        </w:rPr>
        <w:t xml:space="preserve">Error bars represent mean ± SEM. </w:t>
      </w:r>
      <w:r w:rsidRPr="00200415">
        <w:rPr>
          <w:rStyle w:val="normaltextrun"/>
          <w:rFonts w:ascii="Arial" w:eastAsiaTheme="majorEastAsia" w:hAnsi="Arial" w:cs="Arial"/>
          <w:color w:val="000000" w:themeColor="text1"/>
          <w:sz w:val="18"/>
          <w:szCs w:val="18"/>
        </w:rPr>
        <w:t xml:space="preserve">See </w:t>
      </w:r>
      <w:r w:rsidRPr="00200415">
        <w:rPr>
          <w:rStyle w:val="normaltextrun"/>
          <w:rFonts w:ascii="Arial" w:eastAsiaTheme="majorEastAsia" w:hAnsi="Arial" w:cs="Arial"/>
          <w:color w:val="0000FF"/>
          <w:sz w:val="18"/>
          <w:szCs w:val="18"/>
        </w:rPr>
        <w:t xml:space="preserve">Extended Data Tables 6-8 for </w:t>
      </w:r>
      <w:r w:rsidRPr="00200415">
        <w:rPr>
          <w:rStyle w:val="normaltextrun"/>
          <w:rFonts w:ascii="Arial" w:eastAsiaTheme="majorEastAsia" w:hAnsi="Arial" w:cs="Arial"/>
          <w:color w:val="000000" w:themeColor="text1"/>
          <w:sz w:val="18"/>
          <w:szCs w:val="18"/>
        </w:rPr>
        <w:t>full abbreviations and detailed statistics.</w:t>
      </w:r>
    </w:p>
    <w:p w14:paraId="6EDC8B21" w14:textId="2E9D9AE5" w:rsidR="0029279C" w:rsidRPr="00A8193E" w:rsidRDefault="0029279C" w:rsidP="00200415">
      <w:pPr>
        <w:pStyle w:val="NormalWeb"/>
        <w:jc w:val="both"/>
        <w:rPr>
          <w:rFonts w:ascii="Arial" w:eastAsia="Arial" w:hAnsi="Arial" w:cs="Arial"/>
          <w:sz w:val="18"/>
          <w:szCs w:val="18"/>
        </w:rPr>
      </w:pPr>
    </w:p>
    <w:sectPr w:rsidR="0029279C" w:rsidRPr="00A8193E" w:rsidSect="002927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7PxsKSIzwjXCvb" int2:id="8E81WciO">
      <int2:state int2:value="Rejected" int2:type="AugLoop_Text_Critique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9C"/>
    <w:rsid w:val="00114700"/>
    <w:rsid w:val="001D2C6E"/>
    <w:rsid w:val="00200415"/>
    <w:rsid w:val="002112BF"/>
    <w:rsid w:val="002339FF"/>
    <w:rsid w:val="00253FD9"/>
    <w:rsid w:val="00281CBB"/>
    <w:rsid w:val="0029279C"/>
    <w:rsid w:val="002970E9"/>
    <w:rsid w:val="00430B07"/>
    <w:rsid w:val="005F56C1"/>
    <w:rsid w:val="006377CA"/>
    <w:rsid w:val="00677016"/>
    <w:rsid w:val="00812D3E"/>
    <w:rsid w:val="00851A08"/>
    <w:rsid w:val="00870214"/>
    <w:rsid w:val="008C53D8"/>
    <w:rsid w:val="008E3DBD"/>
    <w:rsid w:val="00956A53"/>
    <w:rsid w:val="00A54C3E"/>
    <w:rsid w:val="00A8193E"/>
    <w:rsid w:val="00B90C29"/>
    <w:rsid w:val="00BC570F"/>
    <w:rsid w:val="00CB3576"/>
    <w:rsid w:val="00CE0D4B"/>
    <w:rsid w:val="00D35409"/>
    <w:rsid w:val="00E3769C"/>
    <w:rsid w:val="00EA72D2"/>
    <w:rsid w:val="00F52833"/>
    <w:rsid w:val="00F53FF5"/>
    <w:rsid w:val="00FB1DF0"/>
    <w:rsid w:val="73C9CFA9"/>
    <w:rsid w:val="7ECBF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A75E7"/>
  <w15:chartTrackingRefBased/>
  <w15:docId w15:val="{E3B5051F-D3F1-204F-BA80-33744D388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27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27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27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27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27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27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27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27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27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27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27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27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27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27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27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27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27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27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27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27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279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27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27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27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27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27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27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27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279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56A5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8E3DBD"/>
  </w:style>
  <w:style w:type="paragraph" w:styleId="Revision">
    <w:name w:val="Revision"/>
    <w:hidden/>
    <w:uiPriority w:val="99"/>
    <w:semiHidden/>
    <w:rsid w:val="00F528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8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20/10/relationships/intelligence" Target="intelligence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 Heshmati</dc:creator>
  <cp:keywords/>
  <dc:description/>
  <cp:lastModifiedBy>Mitra Heshmati</cp:lastModifiedBy>
  <cp:revision>2</cp:revision>
  <dcterms:created xsi:type="dcterms:W3CDTF">2025-03-10T04:42:00Z</dcterms:created>
  <dcterms:modified xsi:type="dcterms:W3CDTF">2025-03-10T04:42:00Z</dcterms:modified>
</cp:coreProperties>
</file>