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B597EE" w14:textId="77777777" w:rsidR="0025325D" w:rsidRDefault="0025325D"/>
    <w:p w14:paraId="044B6D98" w14:textId="72B65C78" w:rsidR="0025325D" w:rsidRDefault="0025325D">
      <w:r>
        <w:rPr>
          <w:noProof/>
        </w:rPr>
        <w:drawing>
          <wp:inline distT="0" distB="0" distL="0" distR="0" wp14:anchorId="590660D4" wp14:editId="25D6ACDB">
            <wp:extent cx="6477000" cy="6108700"/>
            <wp:effectExtent l="0" t="0" r="0" b="0"/>
            <wp:docPr id="1536414394" name="Picture 2" descr="A collage of images of a bra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14394" name="Picture 2" descr="A collage of images of a brain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6BEE3" w14:textId="525635DA" w:rsidR="001D2C6E" w:rsidRDefault="0025325D" w:rsidP="00C51E42">
      <w:pPr>
        <w:spacing w:line="240" w:lineRule="auto"/>
        <w:jc w:val="both"/>
        <w:rPr>
          <w:rFonts w:ascii="Arial" w:eastAsia="Arial" w:hAnsi="Arial" w:cs="Arial"/>
          <w:color w:val="000000" w:themeColor="text1"/>
          <w:sz w:val="18"/>
          <w:szCs w:val="18"/>
        </w:rPr>
      </w:pPr>
      <w:r w:rsidRPr="6CC2665E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>Extended Figure 3</w:t>
      </w:r>
      <w:r w:rsidRPr="6CC2665E">
        <w:rPr>
          <w:rFonts w:ascii="Arial" w:eastAsia="Arial" w:hAnsi="Arial" w:cs="Arial"/>
          <w:color w:val="000000" w:themeColor="text1"/>
          <w:sz w:val="18"/>
          <w:szCs w:val="18"/>
        </w:rPr>
        <w:t>.</w:t>
      </w:r>
      <w:r w:rsidRPr="6CC2665E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 xml:space="preserve"> DREADD immunolabeling after synthetic activity-dependent capture.  </w:t>
      </w:r>
      <w:r w:rsidRPr="6CC2665E">
        <w:rPr>
          <w:rFonts w:ascii="Arial" w:eastAsia="Arial" w:hAnsi="Arial" w:cs="Arial"/>
          <w:color w:val="000000" w:themeColor="text1"/>
          <w:sz w:val="18"/>
          <w:szCs w:val="18"/>
        </w:rPr>
        <w:t>(</w:t>
      </w:r>
      <w:r w:rsidRPr="6CC2665E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>a</w:t>
      </w:r>
      <w:r w:rsidRPr="6CC2665E">
        <w:rPr>
          <w:rFonts w:ascii="Arial" w:eastAsia="Arial" w:hAnsi="Arial" w:cs="Arial"/>
          <w:color w:val="000000" w:themeColor="text1"/>
          <w:sz w:val="18"/>
          <w:szCs w:val="18"/>
        </w:rPr>
        <w:t xml:space="preserve">) </w:t>
      </w:r>
      <w:r w:rsidRPr="6CC2665E">
        <w:rPr>
          <w:rStyle w:val="normaltextrun"/>
          <w:rFonts w:ascii="Arial" w:hAnsi="Arial" w:cs="Arial"/>
          <w:color w:val="000000" w:themeColor="text1"/>
          <w:sz w:val="18"/>
          <w:szCs w:val="18"/>
        </w:rPr>
        <w:t xml:space="preserve">Experimental timeline: FosTRAP2 transgenic mice received retroorbital injection of an AAV-PHP.eB Cre-dependent Gq-DREADD followed by activity-dependent capture (TRAP) during isoflurane exposure with 4-hydroxytamoxifen (4-OHT). After experiments, intact brains were immunolabeled for mCherry-DREADD and cleared by iDisco+. </w:t>
      </w:r>
      <w:r w:rsidRPr="6CC2665E">
        <w:rPr>
          <w:rFonts w:ascii="Arial" w:hAnsi="Arial" w:cs="Arial"/>
          <w:sz w:val="18"/>
          <w:szCs w:val="18"/>
        </w:rPr>
        <w:t>ClearMap was used to register brains, detect Fos+ cells, and generate cell counts and density heat maps.</w:t>
      </w:r>
      <w:r w:rsidRPr="6CC2665E">
        <w:rPr>
          <w:rStyle w:val="normaltextrun"/>
          <w:rFonts w:ascii="Arial" w:hAnsi="Arial" w:cs="Arial"/>
          <w:color w:val="000000" w:themeColor="text1"/>
          <w:sz w:val="18"/>
          <w:szCs w:val="18"/>
        </w:rPr>
        <w:t xml:space="preserve"> (</w:t>
      </w:r>
      <w:r w:rsidRPr="6CC2665E">
        <w:rPr>
          <w:rStyle w:val="normaltextrun"/>
          <w:rFonts w:ascii="Arial" w:hAnsi="Arial" w:cs="Arial"/>
          <w:b/>
          <w:bCs/>
          <w:color w:val="000000" w:themeColor="text1"/>
          <w:sz w:val="18"/>
          <w:szCs w:val="18"/>
        </w:rPr>
        <w:t>b</w:t>
      </w:r>
      <w:r w:rsidRPr="6CC2665E">
        <w:rPr>
          <w:rStyle w:val="normaltextrun"/>
          <w:rFonts w:ascii="Arial" w:hAnsi="Arial" w:cs="Arial"/>
          <w:color w:val="000000" w:themeColor="text1"/>
          <w:sz w:val="18"/>
          <w:szCs w:val="18"/>
        </w:rPr>
        <w:t>)</w:t>
      </w:r>
      <w:r w:rsidRPr="6CC2665E">
        <w:rPr>
          <w:rFonts w:ascii="Arial" w:hAnsi="Arial" w:cs="Arial"/>
          <w:sz w:val="18"/>
          <w:szCs w:val="18"/>
        </w:rPr>
        <w:t xml:space="preserve"> Mean TRAP+ cell density calculated across larger brain subdivisions after atlas registration by ClearMap shows similar TRAP+ cell density across the brain, </w:t>
      </w:r>
      <w:r w:rsidR="200AE5ED" w:rsidRPr="6CC2665E">
        <w:rPr>
          <w:rFonts w:ascii="Arial" w:hAnsi="Arial" w:cs="Arial"/>
          <w:sz w:val="18"/>
          <w:szCs w:val="18"/>
        </w:rPr>
        <w:t>except for</w:t>
      </w:r>
      <w:r w:rsidRPr="6CC2665E">
        <w:rPr>
          <w:rFonts w:ascii="Arial" w:hAnsi="Arial" w:cs="Arial"/>
          <w:sz w:val="18"/>
          <w:szCs w:val="18"/>
        </w:rPr>
        <w:t xml:space="preserve"> significant differences in the hindbrain</w:t>
      </w:r>
      <w:r w:rsidR="00C51E42">
        <w:rPr>
          <w:rFonts w:ascii="Arial" w:hAnsi="Arial" w:cs="Arial"/>
          <w:sz w:val="18"/>
          <w:szCs w:val="18"/>
        </w:rPr>
        <w:t xml:space="preserve"> </w:t>
      </w:r>
      <w:r w:rsidRPr="6CC2665E">
        <w:rPr>
          <w:rFonts w:ascii="Arial" w:hAnsi="Arial" w:cs="Arial"/>
          <w:sz w:val="18"/>
          <w:szCs w:val="18"/>
        </w:rPr>
        <w:t>and cerebellum (1-way ANOVA, *p&lt;0.05). (</w:t>
      </w:r>
      <w:r w:rsidRPr="6CC2665E">
        <w:rPr>
          <w:rFonts w:ascii="Arial" w:hAnsi="Arial" w:cs="Arial"/>
          <w:b/>
          <w:bCs/>
          <w:sz w:val="18"/>
          <w:szCs w:val="18"/>
        </w:rPr>
        <w:t>c</w:t>
      </w:r>
      <w:r w:rsidRPr="6CC2665E">
        <w:rPr>
          <w:rFonts w:ascii="Arial" w:hAnsi="Arial" w:cs="Arial"/>
          <w:sz w:val="18"/>
          <w:szCs w:val="18"/>
        </w:rPr>
        <w:t>) 3-dimensional mean density heatmap (n=7 mice). (</w:t>
      </w:r>
      <w:r w:rsidRPr="6CC2665E">
        <w:rPr>
          <w:rFonts w:ascii="Arial" w:hAnsi="Arial" w:cs="Arial"/>
          <w:b/>
          <w:bCs/>
          <w:sz w:val="18"/>
          <w:szCs w:val="18"/>
        </w:rPr>
        <w:t>d</w:t>
      </w:r>
      <w:r w:rsidRPr="6CC2665E">
        <w:rPr>
          <w:rFonts w:ascii="Arial" w:hAnsi="Arial" w:cs="Arial"/>
          <w:sz w:val="18"/>
          <w:szCs w:val="18"/>
        </w:rPr>
        <w:t>) Mean TRAP+ density across all samples shown as voxel-based 2D-projection heatmaps (calibration bar is arbitrary units). (</w:t>
      </w:r>
      <w:r w:rsidRPr="6CC2665E">
        <w:rPr>
          <w:rFonts w:ascii="Arial" w:hAnsi="Arial" w:cs="Arial"/>
          <w:b/>
          <w:bCs/>
          <w:sz w:val="18"/>
          <w:szCs w:val="18"/>
        </w:rPr>
        <w:t>e</w:t>
      </w:r>
      <w:r w:rsidRPr="6CC2665E">
        <w:rPr>
          <w:rFonts w:ascii="Arial" w:hAnsi="Arial" w:cs="Arial"/>
          <w:sz w:val="18"/>
          <w:szCs w:val="18"/>
        </w:rPr>
        <w:t xml:space="preserve">) </w:t>
      </w:r>
      <w:r w:rsidRPr="6CC2665E">
        <w:rPr>
          <w:rFonts w:ascii="Arial" w:eastAsia="Arial" w:hAnsi="Arial" w:cs="Arial"/>
          <w:color w:val="000000" w:themeColor="text1"/>
          <w:sz w:val="18"/>
          <w:szCs w:val="18"/>
        </w:rPr>
        <w:t xml:space="preserve">Representative whole brain light sheet microscopy images after iDisco clearing and mCherry-DREADD immunolabeling digitally sliced to the 2D coronal plane from one control mouse expressing retroorbital AAV-PHP.eB Cre-dependent Gq-DREADD with oil vehicle administered during isoflurane exposure (non-TRAP control, see </w:t>
      </w:r>
      <w:r w:rsidRPr="6CC2665E">
        <w:rPr>
          <w:rFonts w:ascii="Arial" w:eastAsia="Arial" w:hAnsi="Arial" w:cs="Arial"/>
          <w:color w:val="0000FF"/>
          <w:sz w:val="18"/>
          <w:szCs w:val="18"/>
        </w:rPr>
        <w:t>Methods</w:t>
      </w:r>
      <w:r w:rsidRPr="6CC2665E">
        <w:rPr>
          <w:rFonts w:ascii="Arial" w:eastAsia="Arial" w:hAnsi="Arial" w:cs="Arial"/>
          <w:color w:val="000000" w:themeColor="text1"/>
          <w:sz w:val="18"/>
          <w:szCs w:val="18"/>
        </w:rPr>
        <w:t>) and (</w:t>
      </w:r>
      <w:r w:rsidRPr="6CC2665E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>f</w:t>
      </w:r>
      <w:r w:rsidRPr="6CC2665E">
        <w:rPr>
          <w:rFonts w:ascii="Arial" w:eastAsia="Arial" w:hAnsi="Arial" w:cs="Arial"/>
          <w:color w:val="000000" w:themeColor="text1"/>
          <w:sz w:val="18"/>
          <w:szCs w:val="18"/>
        </w:rPr>
        <w:t xml:space="preserve">) one Gq-DREADD-expressing mouse that received 4-OHT during isoflurane exposure for activity-dependent capture of synthetic unconscious state. Abbreviations: </w:t>
      </w:r>
      <w:proofErr w:type="spellStart"/>
      <w:r w:rsidRPr="6CC2665E">
        <w:rPr>
          <w:rFonts w:ascii="Arial" w:eastAsia="Arial" w:hAnsi="Arial" w:cs="Arial"/>
          <w:color w:val="000000" w:themeColor="text1"/>
          <w:sz w:val="18"/>
          <w:szCs w:val="18"/>
        </w:rPr>
        <w:t>SSp</w:t>
      </w:r>
      <w:proofErr w:type="spellEnd"/>
      <w:r w:rsidRPr="6CC2665E">
        <w:rPr>
          <w:rFonts w:ascii="Arial" w:eastAsia="Arial" w:hAnsi="Arial" w:cs="Arial"/>
          <w:color w:val="000000" w:themeColor="text1"/>
          <w:sz w:val="18"/>
          <w:szCs w:val="18"/>
        </w:rPr>
        <w:t xml:space="preserve">= primary somatosensory cortex, HDB = horizontal limb of diagonal band, BMA = </w:t>
      </w:r>
      <w:proofErr w:type="spellStart"/>
      <w:r w:rsidRPr="6CC2665E">
        <w:rPr>
          <w:rFonts w:ascii="Arial" w:eastAsia="Arial" w:hAnsi="Arial" w:cs="Arial"/>
          <w:color w:val="000000" w:themeColor="text1"/>
          <w:sz w:val="18"/>
          <w:szCs w:val="18"/>
        </w:rPr>
        <w:t>basomedial</w:t>
      </w:r>
      <w:proofErr w:type="spellEnd"/>
      <w:r w:rsidRPr="6CC2665E">
        <w:rPr>
          <w:rFonts w:ascii="Arial" w:eastAsia="Arial" w:hAnsi="Arial" w:cs="Arial"/>
          <w:color w:val="000000" w:themeColor="text1"/>
          <w:sz w:val="18"/>
          <w:szCs w:val="18"/>
        </w:rPr>
        <w:t xml:space="preserve"> amygdala, VMH = ventromedial hypothalamus, </w:t>
      </w:r>
      <w:proofErr w:type="spellStart"/>
      <w:r w:rsidRPr="6CC2665E">
        <w:rPr>
          <w:rFonts w:ascii="Arial" w:eastAsia="Arial" w:hAnsi="Arial" w:cs="Arial"/>
          <w:color w:val="000000" w:themeColor="text1"/>
          <w:sz w:val="18"/>
          <w:szCs w:val="18"/>
        </w:rPr>
        <w:t>MiTG</w:t>
      </w:r>
      <w:proofErr w:type="spellEnd"/>
      <w:r w:rsidRPr="6CC2665E">
        <w:rPr>
          <w:rFonts w:ascii="Arial" w:eastAsia="Arial" w:hAnsi="Arial" w:cs="Arial"/>
          <w:color w:val="000000" w:themeColor="text1"/>
          <w:sz w:val="18"/>
          <w:szCs w:val="18"/>
        </w:rPr>
        <w:t xml:space="preserve"> = microcellular tegmental nucleus, </w:t>
      </w:r>
      <w:proofErr w:type="spellStart"/>
      <w:r w:rsidRPr="6CC2665E">
        <w:rPr>
          <w:rFonts w:ascii="Arial" w:eastAsia="Arial" w:hAnsi="Arial" w:cs="Arial"/>
          <w:color w:val="000000" w:themeColor="text1"/>
          <w:sz w:val="18"/>
          <w:szCs w:val="18"/>
        </w:rPr>
        <w:t>PrCnF</w:t>
      </w:r>
      <w:proofErr w:type="spellEnd"/>
      <w:r w:rsidRPr="6CC2665E">
        <w:rPr>
          <w:rFonts w:ascii="Arial" w:eastAsia="Arial" w:hAnsi="Arial" w:cs="Arial"/>
          <w:color w:val="000000" w:themeColor="text1"/>
          <w:sz w:val="18"/>
          <w:szCs w:val="18"/>
        </w:rPr>
        <w:t xml:space="preserve"> = </w:t>
      </w:r>
      <w:proofErr w:type="spellStart"/>
      <w:r w:rsidRPr="6CC2665E">
        <w:rPr>
          <w:rFonts w:ascii="Arial" w:eastAsia="Arial" w:hAnsi="Arial" w:cs="Arial"/>
          <w:color w:val="000000" w:themeColor="text1"/>
          <w:sz w:val="18"/>
          <w:szCs w:val="18"/>
        </w:rPr>
        <w:t>precuneiform</w:t>
      </w:r>
      <w:proofErr w:type="spellEnd"/>
      <w:r w:rsidRPr="6CC2665E">
        <w:rPr>
          <w:rFonts w:ascii="Arial" w:eastAsia="Arial" w:hAnsi="Arial" w:cs="Arial"/>
          <w:color w:val="000000" w:themeColor="text1"/>
          <w:sz w:val="18"/>
          <w:szCs w:val="18"/>
        </w:rPr>
        <w:t xml:space="preserve"> area, PNO = pontine reticular, </w:t>
      </w:r>
      <w:proofErr w:type="spellStart"/>
      <w:r w:rsidRPr="6CC2665E">
        <w:rPr>
          <w:rFonts w:ascii="Arial" w:eastAsia="Arial" w:hAnsi="Arial" w:cs="Arial"/>
          <w:color w:val="000000" w:themeColor="text1"/>
          <w:sz w:val="18"/>
          <w:szCs w:val="18"/>
        </w:rPr>
        <w:t>MnR</w:t>
      </w:r>
      <w:proofErr w:type="spellEnd"/>
      <w:r w:rsidRPr="6CC2665E">
        <w:rPr>
          <w:rFonts w:ascii="Arial" w:eastAsia="Arial" w:hAnsi="Arial" w:cs="Arial"/>
          <w:color w:val="000000" w:themeColor="text1"/>
          <w:sz w:val="18"/>
          <w:szCs w:val="18"/>
        </w:rPr>
        <w:t xml:space="preserve"> = median raphe nucleus. Scale bar for full coronal slices is 1mm, inset scale bar is 500 µm. </w:t>
      </w:r>
    </w:p>
    <w:sectPr w:rsidR="001D2C6E" w:rsidSect="002532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45F"/>
    <w:rsid w:val="000A0BD4"/>
    <w:rsid w:val="001D2C6E"/>
    <w:rsid w:val="002112BF"/>
    <w:rsid w:val="0025325D"/>
    <w:rsid w:val="00350840"/>
    <w:rsid w:val="00430B07"/>
    <w:rsid w:val="005F145F"/>
    <w:rsid w:val="005F56C1"/>
    <w:rsid w:val="00814797"/>
    <w:rsid w:val="008C53D8"/>
    <w:rsid w:val="00C51E42"/>
    <w:rsid w:val="00FB1DF0"/>
    <w:rsid w:val="200AE5ED"/>
    <w:rsid w:val="294F5F0B"/>
    <w:rsid w:val="6BAFE1E2"/>
    <w:rsid w:val="6CC2665E"/>
    <w:rsid w:val="72EF3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FEA3A"/>
  <w15:chartTrackingRefBased/>
  <w15:docId w15:val="{9DE8F7AB-26EB-EE40-8FB2-BD3AF02F6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14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14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145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14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145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14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14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14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14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14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14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145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145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145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14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14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14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145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14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14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14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14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14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F14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145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F145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14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145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145F"/>
    <w:rPr>
      <w:b/>
      <w:bCs/>
      <w:smallCaps/>
      <w:color w:val="0F4761" w:themeColor="accent1" w:themeShade="BF"/>
      <w:spacing w:val="5"/>
    </w:rPr>
  </w:style>
  <w:style w:type="character" w:customStyle="1" w:styleId="normaltextrun">
    <w:name w:val="normaltextrun"/>
    <w:basedOn w:val="DefaultParagraphFont"/>
    <w:rsid w:val="002532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6b6dd5b-f02f-441a-99a0-162ac5060bd2}" enabled="0" method="" siteId="{f6b6dd5b-f02f-441a-99a0-162ac5060bd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263</Words>
  <Characters>1501</Characters>
  <Application>Microsoft Office Word</Application>
  <DocSecurity>0</DocSecurity>
  <Lines>12</Lines>
  <Paragraphs>3</Paragraphs>
  <ScaleCrop>false</ScaleCrop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Mitra Heshmati</dc:creator>
  <cp:keywords/>
  <dc:description/>
  <cp:lastModifiedBy>Mitra Heshmati</cp:lastModifiedBy>
  <cp:revision>2</cp:revision>
  <dcterms:created xsi:type="dcterms:W3CDTF">2025-03-10T04:39:00Z</dcterms:created>
  <dcterms:modified xsi:type="dcterms:W3CDTF">2025-03-10T04:39:00Z</dcterms:modified>
</cp:coreProperties>
</file>