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520E6" w14:textId="149CAAFD" w:rsidR="00090088" w:rsidRDefault="000620DC">
      <w:r>
        <w:t>The animation of iso-surface of water volume fraction colored by the y-component of the flow velocity for case h=0.1 m.</w:t>
      </w:r>
    </w:p>
    <w:sectPr w:rsidR="00090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0DC"/>
    <w:rsid w:val="000620DC"/>
    <w:rsid w:val="00090088"/>
    <w:rsid w:val="00415282"/>
    <w:rsid w:val="00E702EB"/>
    <w:rsid w:val="00FE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3AF6C"/>
  <w15:chartTrackingRefBased/>
  <w15:docId w15:val="{EB400381-29F9-41F2-9842-51BBE668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2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0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0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0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0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0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2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2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2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2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0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20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0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0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 Mahyawansi</dc:creator>
  <cp:keywords/>
  <dc:description/>
  <cp:lastModifiedBy>Pratik Mahyawansi</cp:lastModifiedBy>
  <cp:revision>1</cp:revision>
  <dcterms:created xsi:type="dcterms:W3CDTF">2025-03-28T02:39:00Z</dcterms:created>
  <dcterms:modified xsi:type="dcterms:W3CDTF">2025-03-28T02:41:00Z</dcterms:modified>
</cp:coreProperties>
</file>