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AE0F12" w14:textId="77777777" w:rsidR="001554C5" w:rsidRPr="001D7342" w:rsidRDefault="001554C5" w:rsidP="001554C5">
      <w:pPr>
        <w:spacing w:line="360" w:lineRule="auto"/>
        <w:rPr>
          <w:rFonts w:ascii="Arial" w:hAnsi="Arial" w:cs="Arial"/>
          <w:sz w:val="24"/>
          <w:szCs w:val="28"/>
        </w:rPr>
      </w:pPr>
      <w:r w:rsidRPr="001D7342">
        <w:rPr>
          <w:rFonts w:ascii="Arial" w:hAnsi="Arial" w:cs="Arial"/>
          <w:sz w:val="24"/>
          <w:szCs w:val="28"/>
        </w:rPr>
        <w:t xml:space="preserve">Table S1. Multivariate Cox proportional hazards model of </w:t>
      </w:r>
      <w:r w:rsidRPr="001D7342">
        <w:rPr>
          <w:rFonts w:ascii="Arial" w:hAnsi="Arial" w:cs="Arial"/>
          <w:i/>
          <w:iCs/>
          <w:sz w:val="24"/>
          <w:szCs w:val="28"/>
        </w:rPr>
        <w:t>Aspergillus</w:t>
      </w:r>
      <w:r w:rsidRPr="001D7342">
        <w:rPr>
          <w:rFonts w:ascii="Arial" w:hAnsi="Arial" w:cs="Arial"/>
          <w:sz w:val="24"/>
          <w:szCs w:val="28"/>
        </w:rPr>
        <w:t xml:space="preserve"> and 28-day mortality</w:t>
      </w:r>
    </w:p>
    <w:tbl>
      <w:tblPr>
        <w:tblStyle w:val="a3"/>
        <w:tblpPr w:leftFromText="180" w:rightFromText="180" w:vertAnchor="page" w:horzAnchor="margin" w:tblpY="2501"/>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4"/>
        <w:gridCol w:w="2074"/>
        <w:gridCol w:w="2074"/>
        <w:gridCol w:w="2074"/>
      </w:tblGrid>
      <w:tr w:rsidR="001554C5" w:rsidRPr="00BF400A" w14:paraId="76A7942A" w14:textId="77777777" w:rsidTr="00931BB3">
        <w:tc>
          <w:tcPr>
            <w:tcW w:w="2074" w:type="dxa"/>
            <w:tcBorders>
              <w:top w:val="single" w:sz="4" w:space="0" w:color="auto"/>
              <w:bottom w:val="single" w:sz="4" w:space="0" w:color="auto"/>
            </w:tcBorders>
          </w:tcPr>
          <w:p w14:paraId="59554A9A" w14:textId="77777777" w:rsidR="001554C5" w:rsidRPr="00931BB3" w:rsidRDefault="001554C5" w:rsidP="00931BB3">
            <w:pPr>
              <w:spacing w:line="360" w:lineRule="auto"/>
              <w:rPr>
                <w:rFonts w:ascii="Arial" w:hAnsi="Arial" w:cs="Arial"/>
                <w:sz w:val="24"/>
                <w:szCs w:val="24"/>
              </w:rPr>
            </w:pPr>
          </w:p>
        </w:tc>
        <w:tc>
          <w:tcPr>
            <w:tcW w:w="2074" w:type="dxa"/>
            <w:tcBorders>
              <w:top w:val="single" w:sz="4" w:space="0" w:color="auto"/>
              <w:bottom w:val="single" w:sz="4" w:space="0" w:color="auto"/>
            </w:tcBorders>
          </w:tcPr>
          <w:p w14:paraId="381BD64E" w14:textId="77777777" w:rsidR="001554C5" w:rsidRPr="001D7342" w:rsidRDefault="001554C5" w:rsidP="00931BB3">
            <w:pPr>
              <w:spacing w:line="360" w:lineRule="auto"/>
              <w:jc w:val="center"/>
              <w:rPr>
                <w:rFonts w:ascii="Arial" w:hAnsi="Arial" w:cs="Arial"/>
                <w:sz w:val="24"/>
                <w:szCs w:val="24"/>
              </w:rPr>
            </w:pPr>
            <w:r w:rsidRPr="001D7342">
              <w:rPr>
                <w:rFonts w:ascii="Arial" w:hAnsi="Arial" w:cs="Arial"/>
                <w:sz w:val="24"/>
                <w:szCs w:val="24"/>
              </w:rPr>
              <w:t>Hazard ratio</w:t>
            </w:r>
          </w:p>
        </w:tc>
        <w:tc>
          <w:tcPr>
            <w:tcW w:w="2074" w:type="dxa"/>
            <w:tcBorders>
              <w:top w:val="single" w:sz="4" w:space="0" w:color="auto"/>
              <w:bottom w:val="single" w:sz="4" w:space="0" w:color="auto"/>
            </w:tcBorders>
          </w:tcPr>
          <w:p w14:paraId="1EF93871" w14:textId="77777777" w:rsidR="001554C5" w:rsidRPr="001D7342" w:rsidRDefault="001554C5" w:rsidP="00931BB3">
            <w:pPr>
              <w:spacing w:line="360" w:lineRule="auto"/>
              <w:jc w:val="center"/>
              <w:rPr>
                <w:rFonts w:ascii="Arial" w:hAnsi="Arial" w:cs="Arial"/>
                <w:sz w:val="24"/>
                <w:szCs w:val="24"/>
              </w:rPr>
            </w:pPr>
            <w:r w:rsidRPr="001D7342">
              <w:rPr>
                <w:rFonts w:ascii="Arial" w:hAnsi="Arial" w:cs="Arial"/>
                <w:sz w:val="24"/>
                <w:szCs w:val="24"/>
              </w:rPr>
              <w:t>95% CI</w:t>
            </w:r>
          </w:p>
        </w:tc>
        <w:tc>
          <w:tcPr>
            <w:tcW w:w="2074" w:type="dxa"/>
            <w:tcBorders>
              <w:top w:val="single" w:sz="4" w:space="0" w:color="auto"/>
              <w:bottom w:val="single" w:sz="4" w:space="0" w:color="auto"/>
            </w:tcBorders>
          </w:tcPr>
          <w:p w14:paraId="59F7132D" w14:textId="77777777" w:rsidR="001554C5" w:rsidRPr="001D7342" w:rsidRDefault="001554C5" w:rsidP="00931BB3">
            <w:pPr>
              <w:spacing w:line="360" w:lineRule="auto"/>
              <w:jc w:val="center"/>
              <w:rPr>
                <w:rFonts w:ascii="Arial" w:hAnsi="Arial" w:cs="Arial"/>
                <w:sz w:val="24"/>
                <w:szCs w:val="24"/>
              </w:rPr>
            </w:pPr>
            <w:r w:rsidRPr="001D7342">
              <w:rPr>
                <w:rFonts w:ascii="Arial" w:hAnsi="Arial" w:cs="Arial"/>
                <w:sz w:val="24"/>
                <w:szCs w:val="24"/>
              </w:rPr>
              <w:t>P value</w:t>
            </w:r>
          </w:p>
        </w:tc>
      </w:tr>
      <w:tr w:rsidR="001554C5" w:rsidRPr="00BF400A" w14:paraId="10E5C2A7" w14:textId="77777777" w:rsidTr="00931BB3">
        <w:tc>
          <w:tcPr>
            <w:tcW w:w="2074" w:type="dxa"/>
            <w:tcBorders>
              <w:top w:val="single" w:sz="4" w:space="0" w:color="auto"/>
            </w:tcBorders>
          </w:tcPr>
          <w:p w14:paraId="15EC01E7" w14:textId="77777777" w:rsidR="001554C5" w:rsidRPr="001D7342" w:rsidRDefault="001554C5" w:rsidP="00931BB3">
            <w:pPr>
              <w:spacing w:line="360" w:lineRule="auto"/>
              <w:rPr>
                <w:rFonts w:ascii="Arial" w:hAnsi="Arial" w:cs="Arial"/>
                <w:sz w:val="24"/>
                <w:szCs w:val="24"/>
              </w:rPr>
            </w:pPr>
            <w:r w:rsidRPr="001D7342">
              <w:rPr>
                <w:rFonts w:ascii="Arial" w:hAnsi="Arial" w:cs="Arial"/>
                <w:sz w:val="24"/>
                <w:szCs w:val="24"/>
              </w:rPr>
              <w:t>Model 1</w:t>
            </w:r>
          </w:p>
        </w:tc>
        <w:tc>
          <w:tcPr>
            <w:tcW w:w="2074" w:type="dxa"/>
            <w:tcBorders>
              <w:top w:val="single" w:sz="4" w:space="0" w:color="auto"/>
            </w:tcBorders>
          </w:tcPr>
          <w:p w14:paraId="1A11AB19" w14:textId="77777777" w:rsidR="001554C5" w:rsidRPr="001D7342" w:rsidRDefault="001554C5" w:rsidP="00931BB3">
            <w:pPr>
              <w:spacing w:line="360" w:lineRule="auto"/>
              <w:jc w:val="center"/>
              <w:rPr>
                <w:rFonts w:ascii="Arial" w:hAnsi="Arial" w:cs="Arial"/>
                <w:sz w:val="24"/>
                <w:szCs w:val="24"/>
              </w:rPr>
            </w:pPr>
            <w:r w:rsidRPr="001D7342">
              <w:rPr>
                <w:rFonts w:ascii="Arial" w:hAnsi="Arial" w:cs="Arial"/>
                <w:sz w:val="24"/>
                <w:szCs w:val="24"/>
              </w:rPr>
              <w:t>0.493</w:t>
            </w:r>
          </w:p>
        </w:tc>
        <w:tc>
          <w:tcPr>
            <w:tcW w:w="2074" w:type="dxa"/>
            <w:tcBorders>
              <w:top w:val="single" w:sz="4" w:space="0" w:color="auto"/>
            </w:tcBorders>
          </w:tcPr>
          <w:p w14:paraId="32DDB00E" w14:textId="77777777" w:rsidR="001554C5" w:rsidRPr="001D7342" w:rsidRDefault="001554C5" w:rsidP="00931BB3">
            <w:pPr>
              <w:spacing w:line="360" w:lineRule="auto"/>
              <w:jc w:val="center"/>
              <w:rPr>
                <w:rFonts w:ascii="Arial" w:hAnsi="Arial" w:cs="Arial"/>
                <w:sz w:val="24"/>
                <w:szCs w:val="24"/>
              </w:rPr>
            </w:pPr>
            <w:r w:rsidRPr="001D7342">
              <w:rPr>
                <w:rFonts w:ascii="Arial" w:hAnsi="Arial" w:cs="Arial"/>
                <w:sz w:val="24"/>
                <w:szCs w:val="24"/>
              </w:rPr>
              <w:t>0.056 - 4.286</w:t>
            </w:r>
          </w:p>
        </w:tc>
        <w:tc>
          <w:tcPr>
            <w:tcW w:w="2074" w:type="dxa"/>
            <w:tcBorders>
              <w:top w:val="single" w:sz="4" w:space="0" w:color="auto"/>
            </w:tcBorders>
          </w:tcPr>
          <w:p w14:paraId="7DB7D7FB" w14:textId="77777777" w:rsidR="001554C5" w:rsidRPr="001D7342" w:rsidRDefault="001554C5" w:rsidP="00931BB3">
            <w:pPr>
              <w:spacing w:line="360" w:lineRule="auto"/>
              <w:jc w:val="center"/>
              <w:rPr>
                <w:rFonts w:ascii="Arial" w:hAnsi="Arial" w:cs="Arial"/>
                <w:sz w:val="24"/>
                <w:szCs w:val="24"/>
              </w:rPr>
            </w:pPr>
            <w:r w:rsidRPr="001D7342">
              <w:rPr>
                <w:rFonts w:ascii="Arial" w:hAnsi="Arial" w:cs="Arial"/>
                <w:sz w:val="24"/>
                <w:szCs w:val="24"/>
              </w:rPr>
              <w:t>0.521</w:t>
            </w:r>
          </w:p>
        </w:tc>
      </w:tr>
      <w:tr w:rsidR="001554C5" w:rsidRPr="00BF400A" w14:paraId="6A742AD6" w14:textId="77777777" w:rsidTr="00931BB3">
        <w:tc>
          <w:tcPr>
            <w:tcW w:w="2074" w:type="dxa"/>
          </w:tcPr>
          <w:p w14:paraId="59694DEB" w14:textId="77777777" w:rsidR="001554C5" w:rsidRPr="001D7342" w:rsidRDefault="001554C5" w:rsidP="00931BB3">
            <w:pPr>
              <w:spacing w:line="360" w:lineRule="auto"/>
              <w:rPr>
                <w:rFonts w:ascii="Arial" w:hAnsi="Arial" w:cs="Arial"/>
                <w:sz w:val="24"/>
                <w:szCs w:val="24"/>
              </w:rPr>
            </w:pPr>
            <w:r w:rsidRPr="001D7342">
              <w:rPr>
                <w:rFonts w:ascii="Arial" w:hAnsi="Arial" w:cs="Arial"/>
                <w:sz w:val="24"/>
                <w:szCs w:val="24"/>
              </w:rPr>
              <w:t>Model 2</w:t>
            </w:r>
          </w:p>
        </w:tc>
        <w:tc>
          <w:tcPr>
            <w:tcW w:w="2074" w:type="dxa"/>
          </w:tcPr>
          <w:p w14:paraId="37DF14A0" w14:textId="77777777" w:rsidR="001554C5" w:rsidRPr="001D7342" w:rsidRDefault="001554C5" w:rsidP="00931BB3">
            <w:pPr>
              <w:spacing w:line="360" w:lineRule="auto"/>
              <w:jc w:val="center"/>
              <w:rPr>
                <w:rFonts w:ascii="Arial" w:hAnsi="Arial" w:cs="Arial"/>
                <w:sz w:val="24"/>
                <w:szCs w:val="24"/>
              </w:rPr>
            </w:pPr>
            <w:r w:rsidRPr="001D7342">
              <w:rPr>
                <w:rFonts w:ascii="Arial" w:hAnsi="Arial" w:cs="Arial"/>
                <w:sz w:val="24"/>
                <w:szCs w:val="24"/>
              </w:rPr>
              <w:t>1.000</w:t>
            </w:r>
          </w:p>
        </w:tc>
        <w:tc>
          <w:tcPr>
            <w:tcW w:w="2074" w:type="dxa"/>
          </w:tcPr>
          <w:p w14:paraId="04271951" w14:textId="77777777" w:rsidR="001554C5" w:rsidRPr="001D7342" w:rsidRDefault="001554C5" w:rsidP="00931BB3">
            <w:pPr>
              <w:spacing w:line="360" w:lineRule="auto"/>
              <w:jc w:val="center"/>
              <w:rPr>
                <w:rFonts w:ascii="Arial" w:hAnsi="Arial" w:cs="Arial"/>
                <w:sz w:val="24"/>
                <w:szCs w:val="24"/>
              </w:rPr>
            </w:pPr>
            <w:r w:rsidRPr="001D7342">
              <w:rPr>
                <w:rFonts w:ascii="Arial" w:hAnsi="Arial" w:cs="Arial"/>
                <w:sz w:val="24"/>
                <w:szCs w:val="24"/>
              </w:rPr>
              <w:t>0.999 - 1.000</w:t>
            </w:r>
          </w:p>
        </w:tc>
        <w:tc>
          <w:tcPr>
            <w:tcW w:w="2074" w:type="dxa"/>
          </w:tcPr>
          <w:p w14:paraId="6B02EE12" w14:textId="77777777" w:rsidR="001554C5" w:rsidRPr="001D7342" w:rsidRDefault="001554C5" w:rsidP="00931BB3">
            <w:pPr>
              <w:spacing w:line="360" w:lineRule="auto"/>
              <w:jc w:val="center"/>
              <w:rPr>
                <w:rFonts w:ascii="Arial" w:hAnsi="Arial" w:cs="Arial"/>
                <w:sz w:val="24"/>
                <w:szCs w:val="24"/>
              </w:rPr>
            </w:pPr>
            <w:r w:rsidRPr="001D7342">
              <w:rPr>
                <w:rFonts w:ascii="Arial" w:hAnsi="Arial" w:cs="Arial"/>
                <w:sz w:val="24"/>
                <w:szCs w:val="24"/>
              </w:rPr>
              <w:t>0.311</w:t>
            </w:r>
          </w:p>
        </w:tc>
      </w:tr>
      <w:tr w:rsidR="001554C5" w:rsidRPr="001D7342" w14:paraId="19C55DA8" w14:textId="77777777" w:rsidTr="00931BB3">
        <w:tc>
          <w:tcPr>
            <w:tcW w:w="2074" w:type="dxa"/>
          </w:tcPr>
          <w:p w14:paraId="059C4F27" w14:textId="77777777" w:rsidR="001554C5" w:rsidRPr="001D7342" w:rsidRDefault="001554C5" w:rsidP="00931BB3">
            <w:pPr>
              <w:spacing w:line="360" w:lineRule="auto"/>
              <w:rPr>
                <w:rFonts w:ascii="Arial" w:hAnsi="Arial" w:cs="Arial"/>
                <w:sz w:val="24"/>
                <w:szCs w:val="24"/>
              </w:rPr>
            </w:pPr>
            <w:r w:rsidRPr="001D7342">
              <w:rPr>
                <w:rFonts w:ascii="Arial" w:hAnsi="Arial" w:cs="Arial"/>
                <w:sz w:val="24"/>
                <w:szCs w:val="24"/>
              </w:rPr>
              <w:t>Model 3</w:t>
            </w:r>
          </w:p>
        </w:tc>
        <w:tc>
          <w:tcPr>
            <w:tcW w:w="2074" w:type="dxa"/>
          </w:tcPr>
          <w:p w14:paraId="589544DD" w14:textId="77777777" w:rsidR="001554C5" w:rsidRPr="001D7342" w:rsidRDefault="001554C5" w:rsidP="00931BB3">
            <w:pPr>
              <w:spacing w:line="360" w:lineRule="auto"/>
              <w:jc w:val="center"/>
              <w:rPr>
                <w:rFonts w:ascii="Arial" w:hAnsi="Arial" w:cs="Arial"/>
                <w:sz w:val="24"/>
                <w:szCs w:val="24"/>
              </w:rPr>
            </w:pPr>
            <w:r w:rsidRPr="001D7342">
              <w:rPr>
                <w:rFonts w:ascii="Arial" w:hAnsi="Arial" w:cs="Arial"/>
                <w:sz w:val="24"/>
                <w:szCs w:val="24"/>
              </w:rPr>
              <w:t>1.043</w:t>
            </w:r>
          </w:p>
        </w:tc>
        <w:tc>
          <w:tcPr>
            <w:tcW w:w="2074" w:type="dxa"/>
          </w:tcPr>
          <w:p w14:paraId="717FA6E0" w14:textId="77777777" w:rsidR="001554C5" w:rsidRPr="001D7342" w:rsidRDefault="001554C5" w:rsidP="00931BB3">
            <w:pPr>
              <w:spacing w:line="360" w:lineRule="auto"/>
              <w:jc w:val="center"/>
              <w:rPr>
                <w:rFonts w:ascii="Arial" w:hAnsi="Arial" w:cs="Arial"/>
                <w:sz w:val="24"/>
                <w:szCs w:val="24"/>
              </w:rPr>
            </w:pPr>
            <w:r w:rsidRPr="001D7342">
              <w:rPr>
                <w:rFonts w:ascii="Arial" w:hAnsi="Arial" w:cs="Arial"/>
                <w:sz w:val="24"/>
                <w:szCs w:val="24"/>
              </w:rPr>
              <w:t>0.677 - 1.605</w:t>
            </w:r>
          </w:p>
        </w:tc>
        <w:tc>
          <w:tcPr>
            <w:tcW w:w="2074" w:type="dxa"/>
          </w:tcPr>
          <w:p w14:paraId="4931E259" w14:textId="77777777" w:rsidR="001554C5" w:rsidRPr="001D7342" w:rsidRDefault="001554C5" w:rsidP="00931BB3">
            <w:pPr>
              <w:spacing w:line="360" w:lineRule="auto"/>
              <w:jc w:val="center"/>
              <w:rPr>
                <w:rFonts w:ascii="Arial" w:hAnsi="Arial" w:cs="Arial"/>
                <w:sz w:val="24"/>
                <w:szCs w:val="24"/>
              </w:rPr>
            </w:pPr>
            <w:r w:rsidRPr="001D7342">
              <w:rPr>
                <w:rFonts w:ascii="Arial" w:hAnsi="Arial" w:cs="Arial"/>
                <w:sz w:val="24"/>
                <w:szCs w:val="24"/>
              </w:rPr>
              <w:t>0.849</w:t>
            </w:r>
          </w:p>
        </w:tc>
      </w:tr>
    </w:tbl>
    <w:p w14:paraId="74826603" w14:textId="77777777" w:rsidR="001554C5" w:rsidRPr="001D7342" w:rsidRDefault="001554C5" w:rsidP="001554C5">
      <w:pPr>
        <w:spacing w:line="360" w:lineRule="auto"/>
        <w:rPr>
          <w:rFonts w:ascii="Arial" w:hAnsi="Arial" w:cs="Arial"/>
          <w:sz w:val="24"/>
          <w:szCs w:val="28"/>
        </w:rPr>
      </w:pPr>
    </w:p>
    <w:p w14:paraId="49908604" w14:textId="77777777" w:rsidR="001554C5" w:rsidRPr="001D7342" w:rsidRDefault="001554C5" w:rsidP="001554C5">
      <w:pPr>
        <w:spacing w:line="360" w:lineRule="auto"/>
        <w:rPr>
          <w:rFonts w:ascii="Arial" w:hAnsi="Arial" w:cs="Arial"/>
          <w:sz w:val="24"/>
          <w:szCs w:val="28"/>
        </w:rPr>
      </w:pPr>
      <w:r w:rsidRPr="001D7342">
        <w:rPr>
          <w:rFonts w:ascii="Arial" w:hAnsi="Arial" w:cs="Arial"/>
          <w:sz w:val="24"/>
          <w:szCs w:val="28"/>
        </w:rPr>
        <w:t>Note:</w:t>
      </w:r>
    </w:p>
    <w:p w14:paraId="48721AD9" w14:textId="77777777" w:rsidR="001554C5" w:rsidRPr="001D7342" w:rsidRDefault="001554C5" w:rsidP="001554C5">
      <w:pPr>
        <w:spacing w:line="360" w:lineRule="auto"/>
        <w:rPr>
          <w:rFonts w:ascii="Arial" w:hAnsi="Arial" w:cs="Arial"/>
          <w:sz w:val="24"/>
          <w:szCs w:val="28"/>
        </w:rPr>
      </w:pPr>
      <w:r w:rsidRPr="001D7342">
        <w:rPr>
          <w:rFonts w:ascii="Arial" w:hAnsi="Arial" w:cs="Arial"/>
          <w:sz w:val="24"/>
          <w:szCs w:val="28"/>
        </w:rPr>
        <w:t>Models 1-3 respectively show the correlation between the relative abundance, absolute load, and logarithm of absolute load of Aspergillus and the 28</w:t>
      </w:r>
      <w:r>
        <w:rPr>
          <w:rFonts w:ascii="Arial" w:hAnsi="Arial" w:cs="Arial"/>
          <w:sz w:val="24"/>
          <w:szCs w:val="28"/>
        </w:rPr>
        <w:t>-</w:t>
      </w:r>
      <w:r w:rsidRPr="001D7342">
        <w:rPr>
          <w:rFonts w:ascii="Arial" w:hAnsi="Arial" w:cs="Arial"/>
          <w:sz w:val="24"/>
          <w:szCs w:val="28"/>
        </w:rPr>
        <w:t>day mortality.</w:t>
      </w:r>
      <w:r>
        <w:rPr>
          <w:rFonts w:ascii="Arial" w:hAnsi="Arial" w:cs="Arial"/>
          <w:sz w:val="24"/>
          <w:szCs w:val="28"/>
        </w:rPr>
        <w:t xml:space="preserve"> </w:t>
      </w:r>
      <w:r w:rsidRPr="001D7342">
        <w:rPr>
          <w:rFonts w:ascii="Arial" w:hAnsi="Arial" w:cs="Arial"/>
          <w:sz w:val="24"/>
          <w:szCs w:val="28"/>
        </w:rPr>
        <w:t xml:space="preserve">All models </w:t>
      </w:r>
      <w:r>
        <w:rPr>
          <w:rFonts w:ascii="Arial" w:hAnsi="Arial" w:cs="Arial" w:hint="eastAsia"/>
          <w:sz w:val="24"/>
          <w:szCs w:val="28"/>
        </w:rPr>
        <w:t>were</w:t>
      </w:r>
      <w:r w:rsidRPr="001D7342">
        <w:rPr>
          <w:rFonts w:ascii="Arial" w:hAnsi="Arial" w:cs="Arial"/>
          <w:sz w:val="24"/>
          <w:szCs w:val="28"/>
        </w:rPr>
        <w:t xml:space="preserve"> adjusted for gender, age, and immun</w:t>
      </w:r>
      <w:r>
        <w:rPr>
          <w:rFonts w:ascii="Arial" w:hAnsi="Arial" w:cs="Arial"/>
          <w:sz w:val="24"/>
          <w:szCs w:val="28"/>
        </w:rPr>
        <w:t>o</w:t>
      </w:r>
      <w:r w:rsidRPr="001D7342">
        <w:rPr>
          <w:rFonts w:ascii="Arial" w:hAnsi="Arial" w:cs="Arial"/>
          <w:sz w:val="24"/>
          <w:szCs w:val="28"/>
        </w:rPr>
        <w:t>suppression</w:t>
      </w:r>
      <w:r>
        <w:rPr>
          <w:rFonts w:ascii="Arial" w:hAnsi="Arial" w:cs="Arial"/>
          <w:sz w:val="24"/>
          <w:szCs w:val="28"/>
        </w:rPr>
        <w:t xml:space="preserve">, </w:t>
      </w:r>
      <w:r w:rsidRPr="001D7342">
        <w:rPr>
          <w:rFonts w:ascii="Arial" w:hAnsi="Arial" w:cs="Arial"/>
          <w:sz w:val="24"/>
          <w:szCs w:val="28"/>
        </w:rPr>
        <w:t>Underlying diseases and SOFA score</w:t>
      </w:r>
      <w:r>
        <w:rPr>
          <w:rFonts w:ascii="Arial" w:hAnsi="Arial" w:cs="Arial"/>
          <w:sz w:val="24"/>
          <w:szCs w:val="28"/>
        </w:rPr>
        <w:t>.</w:t>
      </w:r>
    </w:p>
    <w:p w14:paraId="3C527D2A" w14:textId="1A71575A" w:rsidR="00DA50B3" w:rsidRPr="001554C5" w:rsidRDefault="001554C5" w:rsidP="001554C5">
      <w:pPr>
        <w:widowControl/>
        <w:spacing w:line="360" w:lineRule="auto"/>
        <w:jc w:val="left"/>
      </w:pPr>
      <w:r>
        <w:br w:type="page"/>
      </w:r>
    </w:p>
    <w:p w14:paraId="588A28D1" w14:textId="04BD2927" w:rsidR="001554C5" w:rsidRDefault="001554C5" w:rsidP="001554C5">
      <w:pPr>
        <w:spacing w:line="360" w:lineRule="auto"/>
        <w:rPr>
          <w:rFonts w:ascii="Arial" w:hAnsi="Arial" w:cs="Arial"/>
        </w:rPr>
      </w:pPr>
      <w:r>
        <w:rPr>
          <w:noProof/>
        </w:rPr>
        <w:lastRenderedPageBreak/>
        <w:drawing>
          <wp:inline distT="0" distB="0" distL="0" distR="0" wp14:anchorId="4053C1CB" wp14:editId="276264AE">
            <wp:extent cx="5274310" cy="198945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274310" cy="1989455"/>
                    </a:xfrm>
                    <a:prstGeom prst="rect">
                      <a:avLst/>
                    </a:prstGeom>
                  </pic:spPr>
                </pic:pic>
              </a:graphicData>
            </a:graphic>
          </wp:inline>
        </w:drawing>
      </w:r>
    </w:p>
    <w:p w14:paraId="67E06AA6" w14:textId="38AEEADE" w:rsidR="001554C5" w:rsidRDefault="001554C5" w:rsidP="001554C5">
      <w:pPr>
        <w:spacing w:line="360" w:lineRule="auto"/>
        <w:rPr>
          <w:rFonts w:ascii="Arial" w:hAnsi="Arial" w:cs="Arial"/>
        </w:rPr>
      </w:pPr>
    </w:p>
    <w:p w14:paraId="09BA77A2" w14:textId="77777777" w:rsidR="001554C5" w:rsidRPr="00874EF7" w:rsidRDefault="001554C5" w:rsidP="001554C5">
      <w:pPr>
        <w:spacing w:line="360" w:lineRule="auto"/>
        <w:rPr>
          <w:rFonts w:ascii="Arial" w:hAnsi="Arial" w:cs="Arial"/>
          <w:color w:val="000000" w:themeColor="text1"/>
          <w:sz w:val="24"/>
          <w:szCs w:val="24"/>
        </w:rPr>
      </w:pPr>
      <w:r w:rsidRPr="00874EF7">
        <w:rPr>
          <w:rFonts w:ascii="Arial" w:hAnsi="Arial" w:cs="Arial"/>
          <w:color w:val="000000" w:themeColor="text1"/>
          <w:sz w:val="24"/>
          <w:szCs w:val="24"/>
        </w:rPr>
        <w:t>Figure S1.</w:t>
      </w:r>
      <w:r>
        <w:rPr>
          <w:rFonts w:ascii="Arial" w:hAnsi="Arial" w:cs="Arial"/>
          <w:color w:val="000000" w:themeColor="text1"/>
          <w:sz w:val="24"/>
          <w:szCs w:val="24"/>
        </w:rPr>
        <w:t xml:space="preserve"> T</w:t>
      </w:r>
      <w:r w:rsidRPr="004B0C29">
        <w:rPr>
          <w:rFonts w:ascii="Arial" w:hAnsi="Arial" w:cs="Arial"/>
          <w:color w:val="000000" w:themeColor="text1"/>
          <w:sz w:val="24"/>
          <w:szCs w:val="24"/>
        </w:rPr>
        <w:t>he distribution of read counts for the ITS sequencing data</w:t>
      </w:r>
      <w:r>
        <w:rPr>
          <w:rFonts w:ascii="Arial" w:hAnsi="Arial" w:cs="Arial"/>
          <w:color w:val="000000" w:themeColor="text1"/>
          <w:sz w:val="24"/>
          <w:szCs w:val="24"/>
        </w:rPr>
        <w:t xml:space="preserve"> (A). T</w:t>
      </w:r>
      <w:r w:rsidRPr="004B0C29">
        <w:rPr>
          <w:rFonts w:ascii="Arial" w:hAnsi="Arial" w:cs="Arial"/>
          <w:color w:val="000000" w:themeColor="text1"/>
          <w:sz w:val="24"/>
          <w:szCs w:val="24"/>
        </w:rPr>
        <w:t>he relationship between reads counts and species richness in the ITS sequencing data</w:t>
      </w:r>
      <w:r>
        <w:rPr>
          <w:rFonts w:ascii="Arial" w:hAnsi="Arial" w:cs="Arial"/>
          <w:color w:val="000000" w:themeColor="text1"/>
          <w:sz w:val="24"/>
          <w:szCs w:val="24"/>
        </w:rPr>
        <w:t xml:space="preserve"> (B).</w:t>
      </w:r>
    </w:p>
    <w:p w14:paraId="297507D6" w14:textId="0930D883" w:rsidR="001554C5" w:rsidRDefault="001554C5" w:rsidP="001554C5">
      <w:pPr>
        <w:widowControl/>
        <w:spacing w:line="360" w:lineRule="auto"/>
        <w:jc w:val="left"/>
        <w:rPr>
          <w:rFonts w:ascii="Arial" w:hAnsi="Arial" w:cs="Arial"/>
        </w:rPr>
      </w:pPr>
      <w:r>
        <w:rPr>
          <w:rFonts w:ascii="Arial" w:hAnsi="Arial" w:cs="Arial"/>
        </w:rPr>
        <w:br w:type="page"/>
      </w:r>
    </w:p>
    <w:p w14:paraId="31EED1A3" w14:textId="4D5FBEE4" w:rsidR="001554C5" w:rsidRDefault="001554C5" w:rsidP="001554C5">
      <w:pPr>
        <w:spacing w:line="360" w:lineRule="auto"/>
        <w:rPr>
          <w:rFonts w:ascii="Arial" w:hAnsi="Arial" w:cs="Arial"/>
        </w:rPr>
      </w:pPr>
      <w:r>
        <w:rPr>
          <w:noProof/>
        </w:rPr>
        <w:lastRenderedPageBreak/>
        <w:drawing>
          <wp:inline distT="0" distB="0" distL="0" distR="0" wp14:anchorId="195F4120" wp14:editId="6EF5237F">
            <wp:extent cx="5274310" cy="6469380"/>
            <wp:effectExtent l="0" t="0" r="254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274310" cy="6469380"/>
                    </a:xfrm>
                    <a:prstGeom prst="rect">
                      <a:avLst/>
                    </a:prstGeom>
                  </pic:spPr>
                </pic:pic>
              </a:graphicData>
            </a:graphic>
          </wp:inline>
        </w:drawing>
      </w:r>
    </w:p>
    <w:p w14:paraId="3CF3D01B" w14:textId="77777777" w:rsidR="001554C5" w:rsidRPr="00874EF7" w:rsidRDefault="001554C5" w:rsidP="001554C5">
      <w:pPr>
        <w:spacing w:line="360" w:lineRule="auto"/>
        <w:rPr>
          <w:rFonts w:ascii="Arial" w:hAnsi="Arial" w:cs="Arial"/>
          <w:color w:val="000000" w:themeColor="text1"/>
          <w:sz w:val="24"/>
          <w:szCs w:val="24"/>
        </w:rPr>
      </w:pPr>
      <w:r w:rsidRPr="00874EF7">
        <w:rPr>
          <w:rFonts w:ascii="Arial" w:hAnsi="Arial" w:cs="Arial"/>
          <w:color w:val="000000" w:themeColor="text1"/>
          <w:sz w:val="24"/>
          <w:szCs w:val="24"/>
        </w:rPr>
        <w:t xml:space="preserve">Figure S2. The </w:t>
      </w:r>
      <w:bookmarkStart w:id="0" w:name="OLE_LINK1"/>
      <w:r w:rsidRPr="00874EF7">
        <w:rPr>
          <w:rFonts w:ascii="Arial" w:hAnsi="Arial" w:cs="Arial"/>
          <w:color w:val="000000" w:themeColor="text1"/>
          <w:sz w:val="24"/>
          <w:szCs w:val="24"/>
        </w:rPr>
        <w:t>association</w:t>
      </w:r>
      <w:bookmarkEnd w:id="0"/>
      <w:r w:rsidRPr="00874EF7">
        <w:rPr>
          <w:rFonts w:ascii="Arial" w:hAnsi="Arial" w:cs="Arial"/>
          <w:color w:val="000000" w:themeColor="text1"/>
          <w:sz w:val="24"/>
          <w:szCs w:val="24"/>
        </w:rPr>
        <w:t xml:space="preserve"> of clinical indicators with genera abundance</w:t>
      </w:r>
      <w:r>
        <w:rPr>
          <w:rFonts w:ascii="Arial" w:hAnsi="Arial" w:cs="Arial"/>
          <w:color w:val="000000" w:themeColor="text1"/>
          <w:sz w:val="24"/>
          <w:szCs w:val="24"/>
        </w:rPr>
        <w:t xml:space="preserve"> </w:t>
      </w:r>
      <w:r>
        <w:rPr>
          <w:rFonts w:ascii="Arial" w:hAnsi="Arial" w:cs="Arial" w:hint="eastAsia"/>
          <w:color w:val="000000" w:themeColor="text1"/>
          <w:sz w:val="24"/>
          <w:szCs w:val="24"/>
        </w:rPr>
        <w:t>on</w:t>
      </w:r>
      <w:r>
        <w:rPr>
          <w:rFonts w:ascii="Arial" w:hAnsi="Arial" w:cs="Arial"/>
          <w:color w:val="000000" w:themeColor="text1"/>
          <w:sz w:val="24"/>
          <w:szCs w:val="24"/>
        </w:rPr>
        <w:t xml:space="preserve"> day 1</w:t>
      </w:r>
      <w:r w:rsidRPr="00874EF7">
        <w:rPr>
          <w:rFonts w:ascii="Arial" w:hAnsi="Arial" w:cs="Arial"/>
          <w:color w:val="000000" w:themeColor="text1"/>
          <w:sz w:val="24"/>
          <w:szCs w:val="24"/>
        </w:rPr>
        <w:t xml:space="preserve"> (A, </w:t>
      </w:r>
      <w:r>
        <w:rPr>
          <w:rFonts w:ascii="Arial" w:hAnsi="Arial" w:cs="Arial"/>
          <w:color w:val="000000" w:themeColor="text1"/>
          <w:sz w:val="24"/>
          <w:szCs w:val="24"/>
        </w:rPr>
        <w:t>B</w:t>
      </w:r>
      <w:r w:rsidRPr="00874EF7">
        <w:rPr>
          <w:rFonts w:ascii="Arial" w:hAnsi="Arial" w:cs="Arial"/>
          <w:color w:val="000000" w:themeColor="text1"/>
          <w:sz w:val="24"/>
          <w:szCs w:val="24"/>
        </w:rPr>
        <w:t>)</w:t>
      </w:r>
      <w:r>
        <w:rPr>
          <w:rFonts w:ascii="Arial" w:hAnsi="Arial" w:cs="Arial"/>
          <w:color w:val="000000" w:themeColor="text1"/>
          <w:sz w:val="24"/>
          <w:szCs w:val="24"/>
        </w:rPr>
        <w:t xml:space="preserve"> and day 7 (C, D)</w:t>
      </w:r>
      <w:r w:rsidRPr="00874EF7">
        <w:rPr>
          <w:rFonts w:ascii="Arial" w:hAnsi="Arial" w:cs="Arial"/>
          <w:color w:val="000000" w:themeColor="text1"/>
          <w:sz w:val="24"/>
          <w:szCs w:val="24"/>
        </w:rPr>
        <w:t>.</w:t>
      </w:r>
      <w:r>
        <w:rPr>
          <w:rFonts w:ascii="Arial" w:hAnsi="Arial" w:cs="Arial"/>
          <w:color w:val="000000" w:themeColor="text1"/>
          <w:sz w:val="24"/>
          <w:szCs w:val="24"/>
        </w:rPr>
        <w:t xml:space="preserve"> </w:t>
      </w:r>
      <w:r w:rsidRPr="007A5862">
        <w:rPr>
          <w:rFonts w:ascii="Arial" w:hAnsi="Arial" w:cs="Arial"/>
          <w:color w:val="000000" w:themeColor="text1"/>
          <w:sz w:val="24"/>
          <w:szCs w:val="24"/>
        </w:rPr>
        <w:t xml:space="preserve">The </w:t>
      </w:r>
      <w:r w:rsidRPr="00874EF7">
        <w:rPr>
          <w:rFonts w:ascii="Arial" w:hAnsi="Arial" w:cs="Arial"/>
          <w:color w:val="000000" w:themeColor="text1"/>
          <w:sz w:val="24"/>
          <w:szCs w:val="24"/>
        </w:rPr>
        <w:t>association</w:t>
      </w:r>
      <w:r w:rsidRPr="007A5862">
        <w:rPr>
          <w:rFonts w:ascii="Arial" w:hAnsi="Arial" w:cs="Arial"/>
          <w:color w:val="000000" w:themeColor="text1"/>
          <w:sz w:val="24"/>
          <w:szCs w:val="24"/>
        </w:rPr>
        <w:t xml:space="preserve"> between baseline immunoglobulin, complement, lymphocyte, and cytokines of patients and</w:t>
      </w:r>
      <w:r>
        <w:rPr>
          <w:rFonts w:ascii="Arial" w:hAnsi="Arial" w:cs="Arial"/>
          <w:color w:val="000000" w:themeColor="text1"/>
          <w:sz w:val="24"/>
          <w:szCs w:val="24"/>
        </w:rPr>
        <w:t xml:space="preserve"> mycobiome</w:t>
      </w:r>
      <w:r w:rsidRPr="007A5862">
        <w:rPr>
          <w:rFonts w:ascii="Arial" w:hAnsi="Arial" w:cs="Arial"/>
          <w:color w:val="000000" w:themeColor="text1"/>
          <w:sz w:val="24"/>
          <w:szCs w:val="24"/>
        </w:rPr>
        <w:t xml:space="preserve"> on day</w:t>
      </w:r>
      <w:r>
        <w:rPr>
          <w:rFonts w:ascii="Arial" w:hAnsi="Arial" w:cs="Arial"/>
          <w:color w:val="000000" w:themeColor="text1"/>
          <w:sz w:val="24"/>
          <w:szCs w:val="24"/>
        </w:rPr>
        <w:t xml:space="preserve"> 1 (E)</w:t>
      </w:r>
      <w:r w:rsidRPr="007A5862">
        <w:rPr>
          <w:rFonts w:ascii="Arial" w:hAnsi="Arial" w:cs="Arial"/>
          <w:color w:val="000000" w:themeColor="text1"/>
          <w:sz w:val="24"/>
          <w:szCs w:val="24"/>
        </w:rPr>
        <w:t>.</w:t>
      </w:r>
    </w:p>
    <w:p w14:paraId="6D2B160E" w14:textId="70837379" w:rsidR="001554C5" w:rsidRDefault="001554C5" w:rsidP="001554C5">
      <w:pPr>
        <w:widowControl/>
        <w:spacing w:line="360" w:lineRule="auto"/>
        <w:jc w:val="left"/>
        <w:rPr>
          <w:rFonts w:ascii="Arial" w:hAnsi="Arial" w:cs="Arial"/>
        </w:rPr>
      </w:pPr>
      <w:r>
        <w:rPr>
          <w:rFonts w:ascii="Arial" w:hAnsi="Arial" w:cs="Arial"/>
        </w:rPr>
        <w:br w:type="page"/>
      </w:r>
    </w:p>
    <w:p w14:paraId="7DF1D6B9" w14:textId="67BE14AE" w:rsidR="001554C5" w:rsidRDefault="001554C5" w:rsidP="001554C5">
      <w:pPr>
        <w:spacing w:line="360" w:lineRule="auto"/>
        <w:rPr>
          <w:rFonts w:ascii="Arial" w:hAnsi="Arial" w:cs="Arial"/>
        </w:rPr>
      </w:pPr>
      <w:r>
        <w:rPr>
          <w:noProof/>
        </w:rPr>
        <w:lastRenderedPageBreak/>
        <w:drawing>
          <wp:inline distT="0" distB="0" distL="0" distR="0" wp14:anchorId="3745A5C3" wp14:editId="2C4ED7EB">
            <wp:extent cx="5274310" cy="5652770"/>
            <wp:effectExtent l="0" t="0" r="2540" b="50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274310" cy="5652770"/>
                    </a:xfrm>
                    <a:prstGeom prst="rect">
                      <a:avLst/>
                    </a:prstGeom>
                  </pic:spPr>
                </pic:pic>
              </a:graphicData>
            </a:graphic>
          </wp:inline>
        </w:drawing>
      </w:r>
    </w:p>
    <w:p w14:paraId="28600D7E" w14:textId="77777777" w:rsidR="001554C5" w:rsidRDefault="001554C5" w:rsidP="001554C5">
      <w:pPr>
        <w:spacing w:line="360" w:lineRule="auto"/>
        <w:rPr>
          <w:rFonts w:ascii="Arial" w:hAnsi="Arial" w:cs="Arial"/>
          <w:color w:val="000000" w:themeColor="text1"/>
          <w:sz w:val="24"/>
          <w:szCs w:val="24"/>
        </w:rPr>
      </w:pPr>
      <w:r w:rsidRPr="00874EF7">
        <w:rPr>
          <w:rFonts w:ascii="Arial" w:hAnsi="Arial" w:cs="Arial"/>
          <w:color w:val="000000" w:themeColor="text1"/>
          <w:sz w:val="24"/>
          <w:szCs w:val="24"/>
        </w:rPr>
        <w:t xml:space="preserve">Figure S3. </w:t>
      </w:r>
      <w:r w:rsidRPr="00E27F6E">
        <w:rPr>
          <w:rFonts w:ascii="Arial" w:hAnsi="Arial" w:cs="Arial"/>
          <w:color w:val="000000" w:themeColor="text1"/>
          <w:sz w:val="24"/>
          <w:szCs w:val="24"/>
        </w:rPr>
        <w:t>Landscape of antibiotic use for all patients within 21 days after enrollment.</w:t>
      </w:r>
    </w:p>
    <w:p w14:paraId="022C4DE7" w14:textId="07F25BE4" w:rsidR="001554C5" w:rsidRDefault="001554C5" w:rsidP="001554C5">
      <w:pPr>
        <w:widowControl/>
        <w:spacing w:line="360" w:lineRule="auto"/>
        <w:jc w:val="left"/>
        <w:rPr>
          <w:rFonts w:ascii="Arial" w:hAnsi="Arial" w:cs="Arial"/>
        </w:rPr>
      </w:pPr>
      <w:r>
        <w:rPr>
          <w:rFonts w:ascii="Arial" w:hAnsi="Arial" w:cs="Arial"/>
        </w:rPr>
        <w:br w:type="page"/>
      </w:r>
    </w:p>
    <w:p w14:paraId="77BBE762" w14:textId="42CD6E86" w:rsidR="001554C5" w:rsidRDefault="001554C5" w:rsidP="001554C5">
      <w:pPr>
        <w:spacing w:line="360" w:lineRule="auto"/>
        <w:rPr>
          <w:rFonts w:ascii="Arial" w:hAnsi="Arial" w:cs="Arial"/>
        </w:rPr>
      </w:pPr>
      <w:r>
        <w:rPr>
          <w:noProof/>
        </w:rPr>
        <w:lastRenderedPageBreak/>
        <w:drawing>
          <wp:inline distT="0" distB="0" distL="0" distR="0" wp14:anchorId="1592AC0F" wp14:editId="309798CB">
            <wp:extent cx="5274310" cy="4367530"/>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274310" cy="4367530"/>
                    </a:xfrm>
                    <a:prstGeom prst="rect">
                      <a:avLst/>
                    </a:prstGeom>
                  </pic:spPr>
                </pic:pic>
              </a:graphicData>
            </a:graphic>
          </wp:inline>
        </w:drawing>
      </w:r>
    </w:p>
    <w:p w14:paraId="5E15EF28" w14:textId="02698103" w:rsidR="001554C5" w:rsidRDefault="001554C5" w:rsidP="001554C5">
      <w:pPr>
        <w:spacing w:line="360" w:lineRule="auto"/>
        <w:rPr>
          <w:rFonts w:ascii="Arial" w:hAnsi="Arial" w:cs="Arial"/>
          <w:color w:val="000000" w:themeColor="text1"/>
          <w:sz w:val="24"/>
          <w:szCs w:val="24"/>
        </w:rPr>
      </w:pPr>
      <w:r w:rsidRPr="00874EF7">
        <w:rPr>
          <w:rFonts w:ascii="Arial" w:hAnsi="Arial" w:cs="Arial"/>
          <w:color w:val="000000" w:themeColor="text1"/>
          <w:sz w:val="24"/>
          <w:szCs w:val="24"/>
        </w:rPr>
        <w:t>Figure S</w:t>
      </w:r>
      <w:r>
        <w:rPr>
          <w:rFonts w:ascii="Arial" w:hAnsi="Arial" w:cs="Arial"/>
          <w:color w:val="000000" w:themeColor="text1"/>
          <w:sz w:val="24"/>
          <w:szCs w:val="24"/>
        </w:rPr>
        <w:t>4</w:t>
      </w:r>
      <w:r w:rsidRPr="00874EF7">
        <w:rPr>
          <w:rFonts w:ascii="Arial" w:hAnsi="Arial" w:cs="Arial"/>
          <w:color w:val="000000" w:themeColor="text1"/>
          <w:sz w:val="24"/>
          <w:szCs w:val="24"/>
        </w:rPr>
        <w:t>.</w:t>
      </w:r>
      <w:r>
        <w:rPr>
          <w:rFonts w:ascii="Arial" w:hAnsi="Arial" w:cs="Arial"/>
          <w:color w:val="000000" w:themeColor="text1"/>
          <w:sz w:val="24"/>
          <w:szCs w:val="24"/>
        </w:rPr>
        <w:t xml:space="preserve"> </w:t>
      </w:r>
      <w:r w:rsidRPr="00874EF7">
        <w:rPr>
          <w:rFonts w:ascii="Arial" w:hAnsi="Arial" w:cs="Arial"/>
          <w:color w:val="000000" w:themeColor="text1"/>
          <w:sz w:val="24"/>
          <w:szCs w:val="24"/>
        </w:rPr>
        <w:t xml:space="preserve">The relative abundances of mycobiome </w:t>
      </w:r>
      <w:r>
        <w:rPr>
          <w:rFonts w:ascii="Arial" w:hAnsi="Arial" w:cs="Arial"/>
          <w:color w:val="000000" w:themeColor="text1"/>
          <w:sz w:val="24"/>
          <w:szCs w:val="24"/>
        </w:rPr>
        <w:t xml:space="preserve">(A). </w:t>
      </w:r>
      <w:proofErr w:type="spellStart"/>
      <w:r w:rsidRPr="00874EF7">
        <w:rPr>
          <w:rFonts w:ascii="Arial" w:hAnsi="Arial" w:cs="Arial"/>
          <w:color w:val="000000" w:themeColor="text1"/>
          <w:sz w:val="24"/>
          <w:szCs w:val="24"/>
        </w:rPr>
        <w:t>PCoA</w:t>
      </w:r>
      <w:proofErr w:type="spellEnd"/>
      <w:r w:rsidRPr="00874EF7">
        <w:rPr>
          <w:rFonts w:ascii="Arial" w:hAnsi="Arial" w:cs="Arial"/>
          <w:color w:val="000000" w:themeColor="text1"/>
          <w:sz w:val="24"/>
          <w:szCs w:val="24"/>
        </w:rPr>
        <w:t xml:space="preserve"> at the genus level dissimilarities in the gut </w:t>
      </w:r>
      <w:r>
        <w:rPr>
          <w:rFonts w:ascii="Arial" w:hAnsi="Arial" w:cs="Arial"/>
          <w:color w:val="000000" w:themeColor="text1"/>
          <w:sz w:val="24"/>
          <w:szCs w:val="24"/>
        </w:rPr>
        <w:t>mycobiome (B)</w:t>
      </w:r>
      <w:r w:rsidRPr="00874EF7">
        <w:rPr>
          <w:rFonts w:ascii="Arial" w:hAnsi="Arial" w:cs="Arial"/>
          <w:color w:val="000000" w:themeColor="text1"/>
          <w:sz w:val="24"/>
          <w:szCs w:val="24"/>
        </w:rPr>
        <w:t xml:space="preserve">. </w:t>
      </w:r>
      <w:r w:rsidRPr="00E27F6E">
        <w:rPr>
          <w:rFonts w:ascii="Arial" w:hAnsi="Arial" w:cs="Arial"/>
          <w:color w:val="000000" w:themeColor="text1"/>
          <w:sz w:val="24"/>
          <w:szCs w:val="24"/>
        </w:rPr>
        <w:t xml:space="preserve">Changes in </w:t>
      </w:r>
      <w:r>
        <w:rPr>
          <w:rFonts w:ascii="Arial" w:hAnsi="Arial" w:cs="Arial"/>
          <w:color w:val="000000" w:themeColor="text1"/>
          <w:sz w:val="24"/>
          <w:szCs w:val="24"/>
        </w:rPr>
        <w:t xml:space="preserve">different </w:t>
      </w:r>
      <w:r w:rsidRPr="00E27F6E">
        <w:rPr>
          <w:rFonts w:ascii="Arial" w:hAnsi="Arial" w:cs="Arial"/>
          <w:color w:val="000000" w:themeColor="text1"/>
          <w:sz w:val="24"/>
          <w:szCs w:val="24"/>
        </w:rPr>
        <w:t>fungal abundance at three different time points</w:t>
      </w:r>
      <w:r>
        <w:rPr>
          <w:rFonts w:ascii="Arial" w:hAnsi="Arial" w:cs="Arial"/>
          <w:color w:val="000000" w:themeColor="text1"/>
          <w:sz w:val="24"/>
          <w:szCs w:val="24"/>
        </w:rPr>
        <w:t xml:space="preserve"> (C).</w:t>
      </w:r>
    </w:p>
    <w:p w14:paraId="2486FEC6" w14:textId="77777777" w:rsidR="001554C5" w:rsidRDefault="001554C5" w:rsidP="001554C5">
      <w:pPr>
        <w:widowControl/>
        <w:spacing w:line="360" w:lineRule="auto"/>
        <w:jc w:val="left"/>
        <w:rPr>
          <w:rFonts w:ascii="Arial" w:hAnsi="Arial" w:cs="Arial"/>
          <w:color w:val="000000" w:themeColor="text1"/>
          <w:sz w:val="24"/>
          <w:szCs w:val="24"/>
        </w:rPr>
      </w:pPr>
      <w:r>
        <w:rPr>
          <w:rFonts w:ascii="Arial" w:hAnsi="Arial" w:cs="Arial"/>
          <w:color w:val="000000" w:themeColor="text1"/>
          <w:sz w:val="24"/>
          <w:szCs w:val="24"/>
        </w:rPr>
        <w:br w:type="page"/>
      </w:r>
    </w:p>
    <w:p w14:paraId="74267528" w14:textId="0E7D7C13" w:rsidR="001554C5" w:rsidRDefault="001554C5" w:rsidP="001554C5">
      <w:pPr>
        <w:spacing w:line="360" w:lineRule="auto"/>
        <w:rPr>
          <w:rFonts w:ascii="Arial" w:hAnsi="Arial" w:cs="Arial"/>
        </w:rPr>
      </w:pPr>
      <w:r>
        <w:rPr>
          <w:noProof/>
        </w:rPr>
        <w:lastRenderedPageBreak/>
        <w:drawing>
          <wp:inline distT="0" distB="0" distL="0" distR="0" wp14:anchorId="477A9DCF" wp14:editId="6A9FC60B">
            <wp:extent cx="5274310" cy="5586730"/>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274310" cy="5586730"/>
                    </a:xfrm>
                    <a:prstGeom prst="rect">
                      <a:avLst/>
                    </a:prstGeom>
                  </pic:spPr>
                </pic:pic>
              </a:graphicData>
            </a:graphic>
          </wp:inline>
        </w:drawing>
      </w:r>
    </w:p>
    <w:p w14:paraId="4F93FC81" w14:textId="77777777" w:rsidR="001554C5" w:rsidRPr="00874EF7" w:rsidRDefault="001554C5" w:rsidP="001554C5">
      <w:pPr>
        <w:spacing w:line="360" w:lineRule="auto"/>
        <w:rPr>
          <w:rFonts w:ascii="Arial" w:hAnsi="Arial" w:cs="Arial"/>
          <w:sz w:val="24"/>
          <w:szCs w:val="24"/>
        </w:rPr>
      </w:pPr>
      <w:r w:rsidRPr="004B0C29">
        <w:rPr>
          <w:rFonts w:ascii="Arial" w:hAnsi="Arial" w:cs="Arial"/>
          <w:sz w:val="24"/>
          <w:szCs w:val="24"/>
        </w:rPr>
        <w:t>Figure S5. Comparative analysis of α and β diversity between the survival group (A) and the deceased group (B). β diversity analysis on Day 1 between patients with different outcomes (C). Association network diagrams of fungi in the gut and lung (D). ROC curve comparison in the random forest model using the gut mycobiome (E). ROC curve comparison in the random forest model using either the gut or lung mycobiome combined with clinical characteristics (F).</w:t>
      </w:r>
    </w:p>
    <w:p w14:paraId="7F0DA3D7" w14:textId="77777777" w:rsidR="001554C5" w:rsidRPr="001554C5" w:rsidRDefault="001554C5">
      <w:pPr>
        <w:rPr>
          <w:rFonts w:ascii="Arial" w:hAnsi="Arial" w:cs="Arial"/>
        </w:rPr>
      </w:pPr>
    </w:p>
    <w:sectPr w:rsidR="001554C5" w:rsidRPr="001554C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3892"/>
    <w:rsid w:val="00093892"/>
    <w:rsid w:val="001554C5"/>
    <w:rsid w:val="0060622A"/>
    <w:rsid w:val="00931BB3"/>
    <w:rsid w:val="00DA50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9888A1"/>
  <w15:chartTrackingRefBased/>
  <w15:docId w15:val="{63A2889A-9528-4111-A934-7B53FE3E6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554C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1554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6</Pages>
  <Words>247</Words>
  <Characters>1413</Characters>
  <Application>Microsoft Office Word</Application>
  <DocSecurity>0</DocSecurity>
  <Lines>11</Lines>
  <Paragraphs>3</Paragraphs>
  <ScaleCrop>false</ScaleCrop>
  <Company/>
  <LinksUpToDate>false</LinksUpToDate>
  <CharactersWithSpaces>1657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Lingtong</dc:creator>
  <cp:keywords/>
  <dc:description/>
  <cp:lastModifiedBy>Lingtong</cp:lastModifiedBy>
  <cp:revision>3</cp:revision>
  <dcterms:created xsi:type="dcterms:W3CDTF">2025-02-05T15:02:00Z</dcterms:created>
  <dcterms:modified xsi:type="dcterms:W3CDTF">2025-02-25T14:47:00Z</dcterms:modified>
</cp:coreProperties>
</file>